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Maisey Simon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07/12/2021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5"/>
        <w:spacing w:after="0"/>
        <w:rPr>
          <w:sz w:val="20"/>
          <w:szCs w:val="20"/>
          <w:color w:val="auto"/>
        </w:rPr>
      </w:pPr>
      <w:r>
        <w:rPr>
          <w:rFonts w:ascii="Arial" w:cs="Arial" w:eastAsia="Arial" w:hAnsi="Arial"/>
          <w:sz w:val="17"/>
          <w:szCs w:val="17"/>
          <w:color w:val="0000FF"/>
        </w:rPr>
        <w:t>Managing Director, Corp. Dev.</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07/12/2021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750</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87.02</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83,697</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15, 2020.</w:t>
      </w:r>
    </w:p>
    <w:p>
      <w:pPr>
        <w:spacing w:after="0" w:line="50" w:lineRule="exact"/>
        <w:rPr>
          <w:rFonts w:ascii="Arial" w:cs="Arial" w:eastAsia="Arial" w:hAnsi="Arial"/>
          <w:sz w:val="13"/>
          <w:szCs w:val="13"/>
          <w:color w:val="008000"/>
        </w:rPr>
      </w:pPr>
    </w:p>
    <w:p>
      <w:pPr>
        <w:ind w:left="40" w:right="240" w:firstLine="7"/>
        <w:spacing w:after="0" w:line="27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39,604 unvested restricted stock units ("RSUs") in respect of the issuer's Class A common stock ("Class A Common Stock") which are scheduled to vest on January 1, 2022, (ii) 6,860 unvested RSUs in respect of Class A Common Stock which are scheduled to vest in equal installments on each of March 17, 2022 and March 17, 2023, (iii) 20,580 unvested RSUs in respect of Class A Common Stock which are scheduled to vest on January 1, 2023, and (iv) 5,825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07/12/2021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Simon Maisey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402"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2021-07-12T19:52:49Z</dcterms:created>
  <dcterms:modified xsi:type="dcterms:W3CDTF">2021-07-12T19:52:49Z</dcterms:modified>
</cp:coreProperties>
</file>