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5"/>
              </w:rPr>
              <w:t>2,283</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72.75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83,623</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4"/>
                <w:vertAlign w:val="subscript"/>
              </w:rPr>
              <w:t>8</w:t>
            </w:r>
            <w:r>
              <w:rPr>
                <w:rFonts w:ascii="Arial" w:cs="Arial" w:eastAsia="Arial" w:hAnsi="Arial"/>
                <w:sz w:val="11"/>
                <w:szCs w:val="11"/>
                <w:color w:val="008000"/>
                <w:w w:val="84"/>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83,631</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72.8891</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82,531</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913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73.6239</w:t>
            </w:r>
            <w:r>
              <w:rPr>
                <w:rFonts w:ascii="Arial" w:cs="Arial" w:eastAsia="Arial" w:hAnsi="Arial"/>
                <w:sz w:val="22"/>
                <w:szCs w:val="22"/>
                <w:color w:val="008000"/>
                <w:w w:val="87"/>
                <w:vertAlign w:val="superscript"/>
              </w:rPr>
              <w:t>(6)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81,618</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35,204 unvested RSUs in respect of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8,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$72.26 to $73.25,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$73.42 to $73.78,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2021-03-22T20:28:02Z</dcterms:created>
  <dcterms:modified xsi:type="dcterms:W3CDTF">2021-03-22T20:28:02Z</dcterms:modified>
</cp:coreProperties>
</file>