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780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80859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Spencer James</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01/24/2020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4"/>
        <w:spacing w:after="0"/>
        <w:rPr>
          <w:sz w:val="20"/>
          <w:szCs w:val="20"/>
          <w:color w:val="auto"/>
        </w:rPr>
      </w:pPr>
      <w:r>
        <w:rPr>
          <w:rFonts w:ascii="Arial" w:cs="Arial" w:eastAsia="Arial" w:hAnsi="Arial"/>
          <w:sz w:val="17"/>
          <w:szCs w:val="17"/>
          <w:color w:val="0000FF"/>
        </w:rPr>
        <w:t>Chief Technology Officer</w:t>
      </w:r>
    </w:p>
    <w:p>
      <w:pPr>
        <w:spacing w:after="0" w:line="406" w:lineRule="exact"/>
        <w:rPr>
          <w:sz w:val="24"/>
          <w:szCs w:val="24"/>
          <w:color w:val="auto"/>
        </w:rPr>
      </w:pPr>
    </w:p>
    <w:p>
      <w:pPr>
        <w:sectPr>
          <w:pgSz w:w="11900" w:h="16838" w:orient="portrait"/>
          <w:cols w:equalWidth="0" w:num="3">
            <w:col w:w="3340" w:space="720"/>
            <w:col w:w="3256" w:space="720"/>
            <w:col w:w="3484"/>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70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5"/>
                <w:szCs w:val="15"/>
                <w:color w:val="auto"/>
              </w:rPr>
            </w:pPr>
          </w:p>
        </w:tc>
        <w:tc>
          <w:tcPr>
            <w:tcW w:w="3880" w:type="dxa"/>
            <w:vAlign w:val="bottom"/>
            <w:gridSpan w:val="10"/>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80" w:type="dxa"/>
            <w:vAlign w:val="bottom"/>
            <w:gridSpan w:val="10"/>
            <w:vMerge w:val="restart"/>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290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3"/>
          </w:tcPr>
          <w:p>
            <w:pPr>
              <w:jc w:val="center"/>
              <w:ind w:left="44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45"/>
              <w:spacing w:after="0"/>
              <w:rPr>
                <w:sz w:val="20"/>
                <w:szCs w:val="20"/>
                <w:color w:val="auto"/>
              </w:rPr>
            </w:pPr>
            <w:r>
              <w:rPr>
                <w:rFonts w:ascii="Arial" w:cs="Arial" w:eastAsia="Arial" w:hAnsi="Arial"/>
                <w:sz w:val="17"/>
                <w:szCs w:val="17"/>
                <w:color w:val="0000FF"/>
                <w:w w:val="91"/>
              </w:rPr>
              <w:t>01/24/2020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0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80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92"/>
              </w:rPr>
              <w:t>73,465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146,839</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45"/>
              <w:spacing w:after="0"/>
              <w:rPr>
                <w:sz w:val="20"/>
                <w:szCs w:val="20"/>
                <w:color w:val="auto"/>
              </w:rPr>
            </w:pPr>
            <w:r>
              <w:rPr>
                <w:rFonts w:ascii="Arial" w:cs="Arial" w:eastAsia="Arial" w:hAnsi="Arial"/>
                <w:sz w:val="17"/>
                <w:szCs w:val="17"/>
                <w:color w:val="0000FF"/>
                <w:w w:val="91"/>
              </w:rPr>
              <w:t>01/24/2020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92"/>
              </w:rPr>
              <w:t>73,465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44.972</w:t>
            </w:r>
            <w:r>
              <w:rPr>
                <w:rFonts w:ascii="Arial" w:cs="Arial" w:eastAsia="Arial" w:hAnsi="Arial"/>
                <w:sz w:val="22"/>
                <w:szCs w:val="22"/>
                <w:color w:val="008000"/>
                <w:w w:val="88"/>
                <w:vertAlign w:val="superscript"/>
              </w:rPr>
              <w:t>(3)</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73,374</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45"/>
              <w:spacing w:after="0"/>
              <w:rPr>
                <w:sz w:val="20"/>
                <w:szCs w:val="20"/>
                <w:color w:val="auto"/>
              </w:rPr>
            </w:pPr>
            <w:r>
              <w:rPr>
                <w:rFonts w:ascii="Arial" w:cs="Arial" w:eastAsia="Arial" w:hAnsi="Arial"/>
                <w:sz w:val="17"/>
                <w:szCs w:val="17"/>
                <w:color w:val="0000FF"/>
                <w:w w:val="91"/>
              </w:rPr>
              <w:t>01/27/2020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0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80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92"/>
              </w:rPr>
              <w:t>39,256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112,630</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45"/>
              <w:spacing w:after="0"/>
              <w:rPr>
                <w:sz w:val="20"/>
                <w:szCs w:val="20"/>
                <w:color w:val="auto"/>
              </w:rPr>
            </w:pPr>
            <w:r>
              <w:rPr>
                <w:rFonts w:ascii="Arial" w:cs="Arial" w:eastAsia="Arial" w:hAnsi="Arial"/>
                <w:sz w:val="17"/>
                <w:szCs w:val="17"/>
                <w:color w:val="0000FF"/>
                <w:w w:val="91"/>
              </w:rPr>
              <w:t>01/27/2020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92"/>
              </w:rPr>
              <w:t>39,256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44.5394</w:t>
            </w:r>
            <w:r>
              <w:rPr>
                <w:rFonts w:ascii="Arial" w:cs="Arial" w:eastAsia="Arial" w:hAnsi="Arial"/>
                <w:sz w:val="22"/>
                <w:szCs w:val="22"/>
                <w:color w:val="008000"/>
                <w:w w:val="87"/>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73,374</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45"/>
              <w:spacing w:after="0"/>
              <w:rPr>
                <w:sz w:val="20"/>
                <w:szCs w:val="20"/>
                <w:color w:val="auto"/>
              </w:rPr>
            </w:pPr>
            <w:r>
              <w:rPr>
                <w:rFonts w:ascii="Arial" w:cs="Arial" w:eastAsia="Arial" w:hAnsi="Arial"/>
                <w:sz w:val="17"/>
                <w:szCs w:val="17"/>
                <w:color w:val="0000FF"/>
                <w:w w:val="91"/>
              </w:rPr>
              <w:t>01/28/2020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0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80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85"/>
              </w:rPr>
              <w:t>6,766</w:t>
            </w:r>
            <w:r>
              <w:rPr>
                <w:rFonts w:ascii="Arial" w:cs="Arial" w:eastAsia="Arial" w:hAnsi="Arial"/>
                <w:sz w:val="22"/>
                <w:szCs w:val="22"/>
                <w:color w:val="008000"/>
                <w:w w:val="85"/>
                <w:vertAlign w:val="superscript"/>
              </w:rPr>
              <w:t>(5)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6"/>
              <w:spacing w:after="0"/>
              <w:rPr>
                <w:sz w:val="20"/>
                <w:szCs w:val="20"/>
                <w:color w:val="auto"/>
              </w:rPr>
            </w:pPr>
            <w:r>
              <w:rPr>
                <w:rFonts w:ascii="Arial" w:cs="Arial" w:eastAsia="Arial" w:hAnsi="Arial"/>
                <w:sz w:val="11"/>
                <w:szCs w:val="11"/>
                <w:color w:val="008000"/>
              </w:rPr>
              <w:t>(5)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80,140</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3"/>
          </w:tcPr>
          <w:p>
            <w:pPr>
              <w:jc w:val="center"/>
              <w:ind w:left="445"/>
              <w:spacing w:after="0"/>
              <w:rPr>
                <w:sz w:val="20"/>
                <w:szCs w:val="20"/>
                <w:color w:val="auto"/>
              </w:rPr>
            </w:pPr>
            <w:r>
              <w:rPr>
                <w:rFonts w:ascii="Arial" w:cs="Arial" w:eastAsia="Arial" w:hAnsi="Arial"/>
                <w:sz w:val="17"/>
                <w:szCs w:val="17"/>
                <w:color w:val="0000FF"/>
                <w:w w:val="91"/>
              </w:rPr>
              <w:t>01/28/2020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93"/>
              </w:rPr>
              <w:t>6,766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45.0219</w:t>
            </w:r>
            <w:r>
              <w:rPr>
                <w:rFonts w:ascii="Arial" w:cs="Arial" w:eastAsia="Arial" w:hAnsi="Arial"/>
                <w:sz w:val="22"/>
                <w:szCs w:val="22"/>
                <w:color w:val="008000"/>
                <w:w w:val="87"/>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73,374</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restart"/>
          </w:tcPr>
          <w:p>
            <w:pPr>
              <w:ind w:left="20"/>
              <w:spacing w:after="0" w:line="214"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2"/>
              </w:rPr>
              <w:t>73,465</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restart"/>
          </w:tcPr>
          <w:p>
            <w:pPr>
              <w:jc w:val="center"/>
              <w:ind w:left="81"/>
              <w:spacing w:after="0" w:line="14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20.59</w:t>
            </w:r>
          </w:p>
        </w:tc>
        <w:tc>
          <w:tcPr>
            <w:tcW w:w="140" w:type="dxa"/>
            <w:vAlign w:val="bottom"/>
          </w:tcPr>
          <w:p>
            <w:pPr>
              <w:spacing w:after="0"/>
              <w:rPr>
                <w:sz w:val="6"/>
                <w:szCs w:val="6"/>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01/24/2020</w:t>
            </w: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gridSpan w:val="2"/>
            <w:vMerge w:val="restart"/>
          </w:tcPr>
          <w:p>
            <w:pPr>
              <w:jc w:val="center"/>
              <w:ind w:left="278"/>
              <w:spacing w:after="0" w:line="148" w:lineRule="exact"/>
              <w:rPr>
                <w:sz w:val="20"/>
                <w:szCs w:val="20"/>
                <w:color w:val="auto"/>
              </w:rPr>
            </w:pPr>
            <w:r>
              <w:rPr>
                <w:rFonts w:ascii="Arial" w:cs="Arial" w:eastAsia="Arial" w:hAnsi="Arial"/>
                <w:sz w:val="13"/>
                <w:szCs w:val="13"/>
                <w:color w:val="0000FF"/>
                <w:w w:val="90"/>
              </w:rPr>
              <w:t>73,465</w:t>
            </w:r>
          </w:p>
        </w:tc>
        <w:tc>
          <w:tcPr>
            <w:tcW w:w="800" w:type="dxa"/>
            <w:vAlign w:val="bottom"/>
            <w:vMerge w:val="continue"/>
          </w:tcPr>
          <w:p>
            <w:pPr>
              <w:spacing w:after="0"/>
              <w:rPr>
                <w:sz w:val="6"/>
                <w:szCs w:val="6"/>
                <w:color w:val="auto"/>
              </w:rPr>
            </w:pPr>
          </w:p>
        </w:tc>
        <w:tc>
          <w:tcPr>
            <w:tcW w:w="800" w:type="dxa"/>
            <w:vAlign w:val="bottom"/>
            <w:vMerge w:val="restart"/>
          </w:tcPr>
          <w:p>
            <w:pPr>
              <w:jc w:val="center"/>
              <w:ind w:left="29"/>
              <w:spacing w:after="0" w:line="148" w:lineRule="exact"/>
              <w:rPr>
                <w:sz w:val="20"/>
                <w:szCs w:val="20"/>
                <w:color w:val="auto"/>
              </w:rPr>
            </w:pPr>
            <w:r>
              <w:rPr>
                <w:rFonts w:ascii="Arial" w:cs="Arial" w:eastAsia="Arial" w:hAnsi="Arial"/>
                <w:sz w:val="13"/>
                <w:szCs w:val="13"/>
                <w:color w:val="0000FF"/>
                <w:w w:val="95"/>
              </w:rPr>
              <w:t>10/26/2028</w:t>
            </w:r>
          </w:p>
        </w:tc>
        <w:tc>
          <w:tcPr>
            <w:tcW w:w="580" w:type="dxa"/>
            <w:vAlign w:val="bottom"/>
            <w:gridSpan w:val="2"/>
            <w:vMerge w:val="restart"/>
          </w:tcPr>
          <w:p>
            <w:pPr>
              <w:ind w:left="10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89"/>
              </w:rPr>
              <w:t>349,239</w:t>
            </w: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restart"/>
          </w:tcPr>
          <w:p>
            <w:pPr>
              <w:ind w:left="20"/>
              <w:spacing w:after="0" w:line="214"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2"/>
              </w:rPr>
              <w:t>39,256</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restart"/>
          </w:tcPr>
          <w:p>
            <w:pPr>
              <w:jc w:val="center"/>
              <w:ind w:left="81"/>
              <w:spacing w:after="0" w:line="14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20.59</w:t>
            </w:r>
          </w:p>
        </w:tc>
        <w:tc>
          <w:tcPr>
            <w:tcW w:w="140" w:type="dxa"/>
            <w:vAlign w:val="bottom"/>
          </w:tcPr>
          <w:p>
            <w:pPr>
              <w:spacing w:after="0"/>
              <w:rPr>
                <w:sz w:val="6"/>
                <w:szCs w:val="6"/>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01/27/2020</w:t>
            </w: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gridSpan w:val="2"/>
            <w:vMerge w:val="restart"/>
          </w:tcPr>
          <w:p>
            <w:pPr>
              <w:jc w:val="center"/>
              <w:ind w:left="278"/>
              <w:spacing w:after="0" w:line="148" w:lineRule="exact"/>
              <w:rPr>
                <w:sz w:val="20"/>
                <w:szCs w:val="20"/>
                <w:color w:val="auto"/>
              </w:rPr>
            </w:pPr>
            <w:r>
              <w:rPr>
                <w:rFonts w:ascii="Arial" w:cs="Arial" w:eastAsia="Arial" w:hAnsi="Arial"/>
                <w:sz w:val="13"/>
                <w:szCs w:val="13"/>
                <w:color w:val="0000FF"/>
                <w:w w:val="90"/>
              </w:rPr>
              <w:t>39,256</w:t>
            </w:r>
          </w:p>
        </w:tc>
        <w:tc>
          <w:tcPr>
            <w:tcW w:w="800" w:type="dxa"/>
            <w:vAlign w:val="bottom"/>
            <w:vMerge w:val="continue"/>
          </w:tcPr>
          <w:p>
            <w:pPr>
              <w:spacing w:after="0"/>
              <w:rPr>
                <w:sz w:val="6"/>
                <w:szCs w:val="6"/>
                <w:color w:val="auto"/>
              </w:rPr>
            </w:pPr>
          </w:p>
        </w:tc>
        <w:tc>
          <w:tcPr>
            <w:tcW w:w="800" w:type="dxa"/>
            <w:vAlign w:val="bottom"/>
            <w:vMerge w:val="restart"/>
          </w:tcPr>
          <w:p>
            <w:pPr>
              <w:jc w:val="center"/>
              <w:ind w:left="29"/>
              <w:spacing w:after="0" w:line="148" w:lineRule="exact"/>
              <w:rPr>
                <w:sz w:val="20"/>
                <w:szCs w:val="20"/>
                <w:color w:val="auto"/>
              </w:rPr>
            </w:pPr>
            <w:r>
              <w:rPr>
                <w:rFonts w:ascii="Arial" w:cs="Arial" w:eastAsia="Arial" w:hAnsi="Arial"/>
                <w:sz w:val="13"/>
                <w:szCs w:val="13"/>
                <w:color w:val="0000FF"/>
                <w:w w:val="95"/>
              </w:rPr>
              <w:t>10/26/2028</w:t>
            </w:r>
          </w:p>
        </w:tc>
        <w:tc>
          <w:tcPr>
            <w:tcW w:w="580" w:type="dxa"/>
            <w:vAlign w:val="bottom"/>
            <w:gridSpan w:val="2"/>
            <w:vMerge w:val="restart"/>
          </w:tcPr>
          <w:p>
            <w:pPr>
              <w:ind w:left="10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89"/>
              </w:rPr>
              <w:t>309,983</w:t>
            </w: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voting</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restart"/>
          </w:tcPr>
          <w:p>
            <w:pPr>
              <w:jc w:val="center"/>
              <w:ind w:left="81"/>
              <w:spacing w:after="0"/>
              <w:rPr>
                <w:sz w:val="20"/>
                <w:szCs w:val="20"/>
                <w:color w:val="auto"/>
              </w:rPr>
            </w:pPr>
            <w:r>
              <w:rPr>
                <w:rFonts w:ascii="Arial" w:cs="Arial" w:eastAsia="Arial" w:hAnsi="Arial"/>
                <w:sz w:val="11"/>
                <w:szCs w:val="11"/>
                <w:color w:val="008000"/>
                <w:w w:val="88"/>
              </w:rPr>
              <w:t>(8)</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restart"/>
          </w:tcPr>
          <w:p>
            <w:pPr>
              <w:ind w:left="2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(8)</w:t>
            </w:r>
          </w:p>
        </w:tc>
        <w:tc>
          <w:tcPr>
            <w:tcW w:w="800" w:type="dxa"/>
            <w:vAlign w:val="bottom"/>
            <w:vMerge w:val="restart"/>
          </w:tcPr>
          <w:p>
            <w:pPr>
              <w:jc w:val="center"/>
              <w:ind w:left="29"/>
              <w:spacing w:after="0"/>
              <w:rPr>
                <w:sz w:val="20"/>
                <w:szCs w:val="20"/>
                <w:color w:val="auto"/>
              </w:rPr>
            </w:pPr>
            <w:r>
              <w:rPr>
                <w:rFonts w:ascii="Arial" w:cs="Arial" w:eastAsia="Arial" w:hAnsi="Arial"/>
                <w:sz w:val="11"/>
                <w:szCs w:val="11"/>
                <w:color w:val="008000"/>
              </w:rPr>
              <w:t>(8)</w:t>
            </w:r>
          </w:p>
        </w:tc>
        <w:tc>
          <w:tcPr>
            <w:tcW w:w="540" w:type="dxa"/>
            <w:vAlign w:val="bottom"/>
          </w:tcPr>
          <w:p>
            <w:pPr>
              <w:ind w:left="120"/>
              <w:spacing w:after="0" w:line="148" w:lineRule="exact"/>
              <w:rPr>
                <w:sz w:val="20"/>
                <w:szCs w:val="20"/>
                <w:color w:val="auto"/>
              </w:rPr>
            </w:pPr>
            <w:r>
              <w:rPr>
                <w:rFonts w:ascii="Arial" w:cs="Arial" w:eastAsia="Arial" w:hAnsi="Arial"/>
                <w:sz w:val="13"/>
                <w:szCs w:val="13"/>
                <w:color w:val="0000FF"/>
                <w:w w:val="89"/>
              </w:rPr>
              <w:t>Class A</w:t>
            </w:r>
          </w:p>
        </w:tc>
        <w:tc>
          <w:tcPr>
            <w:tcW w:w="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3"/>
              </w:rPr>
              <w:t>6,766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(8)</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units of</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color w:val="0000FF"/>
                <w:w w:val="95"/>
              </w:rPr>
              <w:t>01/28/2020</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2"/>
          </w:tcPr>
          <w:p>
            <w:pPr>
              <w:jc w:val="center"/>
              <w:ind w:left="298"/>
              <w:spacing w:after="0" w:line="148" w:lineRule="exact"/>
              <w:rPr>
                <w:sz w:val="20"/>
                <w:szCs w:val="20"/>
                <w:color w:val="auto"/>
              </w:rPr>
            </w:pPr>
            <w:r>
              <w:rPr>
                <w:rFonts w:ascii="Arial" w:cs="Arial" w:eastAsia="Arial" w:hAnsi="Arial"/>
                <w:sz w:val="13"/>
                <w:szCs w:val="13"/>
                <w:color w:val="0000FF"/>
                <w:w w:val="92"/>
              </w:rPr>
              <w:t>6,766</w:t>
            </w: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580" w:type="dxa"/>
            <w:vAlign w:val="bottom"/>
            <w:gridSpan w:val="2"/>
          </w:tcPr>
          <w:p>
            <w:pPr>
              <w:ind w:left="10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tcPr>
          <w:p>
            <w:pPr>
              <w:jc w:val="center"/>
              <w:ind w:left="178"/>
              <w:spacing w:after="0" w:line="148" w:lineRule="exact"/>
              <w:rPr>
                <w:sz w:val="20"/>
                <w:szCs w:val="20"/>
                <w:color w:val="auto"/>
              </w:rPr>
            </w:pPr>
            <w:r>
              <w:rPr>
                <w:rFonts w:ascii="Arial" w:cs="Arial" w:eastAsia="Arial" w:hAnsi="Arial"/>
                <w:sz w:val="13"/>
                <w:szCs w:val="13"/>
                <w:color w:val="0000FF"/>
                <w:w w:val="95"/>
              </w:rPr>
              <w:t>35,367</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Tradeweb</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Markets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LLC</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D</w:t>
            </w:r>
          </w:p>
        </w:tc>
        <w:tc>
          <w:tcPr>
            <w:tcW w:w="660" w:type="dxa"/>
            <w:vAlign w:val="bottom"/>
            <w:vMerge w:val="restart"/>
          </w:tcPr>
          <w:p>
            <w:pPr>
              <w:jc w:val="center"/>
              <w:ind w:left="81"/>
              <w:spacing w:after="0"/>
              <w:rPr>
                <w:sz w:val="20"/>
                <w:szCs w:val="20"/>
                <w:color w:val="auto"/>
              </w:rPr>
            </w:pPr>
            <w:r>
              <w:rPr>
                <w:rFonts w:ascii="Arial" w:cs="Arial" w:eastAsia="Arial" w:hAnsi="Arial"/>
                <w:sz w:val="11"/>
                <w:szCs w:val="11"/>
                <w:color w:val="008000"/>
                <w:w w:val="88"/>
              </w:rPr>
              <w:t>(9)</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26"/>
                <w:szCs w:val="26"/>
                <w:color w:val="0000FF"/>
                <w:w w:val="95"/>
                <w:vertAlign w:val="subscript"/>
              </w:rPr>
              <w:t>J</w:t>
            </w:r>
            <w:r>
              <w:rPr>
                <w:rFonts w:ascii="Arial" w:cs="Arial" w:eastAsia="Arial" w:hAnsi="Arial"/>
                <w:sz w:val="11"/>
                <w:szCs w:val="11"/>
                <w:color w:val="008000"/>
                <w:w w:val="95"/>
              </w:rPr>
              <w:t>(1)(10)</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800" w:type="dxa"/>
            <w:vAlign w:val="bottom"/>
            <w:vMerge w:val="restart"/>
          </w:tcPr>
          <w:p>
            <w:pPr>
              <w:jc w:val="center"/>
              <w:ind w:left="29"/>
              <w:spacing w:after="0"/>
              <w:rPr>
                <w:sz w:val="20"/>
                <w:szCs w:val="20"/>
                <w:color w:val="auto"/>
              </w:rPr>
            </w:pPr>
            <w:r>
              <w:rPr>
                <w:rFonts w:ascii="Arial" w:cs="Arial" w:eastAsia="Arial" w:hAnsi="Arial"/>
                <w:sz w:val="11"/>
                <w:szCs w:val="11"/>
                <w:color w:val="008000"/>
              </w:rPr>
              <w:t>(9)</w:t>
            </w:r>
          </w:p>
        </w:tc>
        <w:tc>
          <w:tcPr>
            <w:tcW w:w="540" w:type="dxa"/>
            <w:vAlign w:val="bottom"/>
          </w:tcPr>
          <w:p>
            <w:pPr>
              <w:ind w:left="120"/>
              <w:spacing w:after="0"/>
              <w:rPr>
                <w:sz w:val="20"/>
                <w:szCs w:val="20"/>
                <w:color w:val="auto"/>
              </w:rPr>
            </w:pPr>
            <w:r>
              <w:rPr>
                <w:rFonts w:ascii="Arial" w:cs="Arial" w:eastAsia="Arial" w:hAnsi="Arial"/>
                <w:sz w:val="13"/>
                <w:szCs w:val="13"/>
                <w:color w:val="0000FF"/>
                <w:w w:val="89"/>
              </w:rPr>
              <w:t>Class A</w:t>
            </w:r>
          </w:p>
        </w:tc>
        <w:tc>
          <w:tcPr>
            <w:tcW w:w="4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3"/>
              </w:rPr>
              <w:t>6,766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(9)</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color w:val="0000FF"/>
                <w:w w:val="95"/>
              </w:rPr>
              <w:t>01/28/2020</w:t>
            </w:r>
          </w:p>
        </w:tc>
        <w:tc>
          <w:tcPr>
            <w:tcW w:w="11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2"/>
          </w:tcPr>
          <w:p>
            <w:pPr>
              <w:jc w:val="center"/>
              <w:ind w:left="298"/>
              <w:spacing w:after="0" w:line="148" w:lineRule="exact"/>
              <w:rPr>
                <w:sz w:val="20"/>
                <w:szCs w:val="20"/>
                <w:color w:val="auto"/>
              </w:rPr>
            </w:pPr>
            <w:r>
              <w:rPr>
                <w:rFonts w:ascii="Arial" w:cs="Arial" w:eastAsia="Arial" w:hAnsi="Arial"/>
                <w:sz w:val="13"/>
                <w:szCs w:val="13"/>
                <w:color w:val="0000FF"/>
                <w:w w:val="92"/>
              </w:rPr>
              <w:t>6,766</w:t>
            </w: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580" w:type="dxa"/>
            <w:vAlign w:val="bottom"/>
            <w:gridSpan w:val="2"/>
          </w:tcPr>
          <w:p>
            <w:pPr>
              <w:ind w:left="10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tcPr>
          <w:p>
            <w:pPr>
              <w:jc w:val="center"/>
              <w:ind w:left="178"/>
              <w:spacing w:after="0" w:line="148" w:lineRule="exact"/>
              <w:rPr>
                <w:sz w:val="20"/>
                <w:szCs w:val="20"/>
                <w:color w:val="auto"/>
              </w:rPr>
            </w:pPr>
            <w:r>
              <w:rPr>
                <w:rFonts w:ascii="Arial" w:cs="Arial" w:eastAsia="Arial" w:hAnsi="Arial"/>
                <w:sz w:val="13"/>
                <w:szCs w:val="13"/>
                <w:color w:val="0000FF"/>
                <w:w w:val="95"/>
              </w:rPr>
              <w:t>35,367</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0000FF"/>
              </w:rPr>
              <w:t>stock</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1" w:lineRule="exact"/>
        <w:rPr>
          <w:rFonts w:ascii="Arial" w:cs="Arial" w:eastAsia="Arial" w:hAnsi="Arial"/>
          <w:sz w:val="13"/>
          <w:szCs w:val="13"/>
          <w:color w:val="008000"/>
        </w:rPr>
      </w:pPr>
    </w:p>
    <w:p>
      <w:pPr>
        <w:ind w:left="40" w:right="14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31,664 unvested restricted stock units ("RSUs") in respect of the issuer's Class A common stock ("Class A Common Stock") which are scheduled to vest on January 1, 2021, subject to the reporting person's continued employment through the vesting date. This amount also includes 35,712 vested RSUs which will be settled on February 3, 2020.</w:t>
      </w:r>
    </w:p>
    <w:p>
      <w:pPr>
        <w:spacing w:after="0" w:line="10" w:lineRule="exact"/>
        <w:rPr>
          <w:rFonts w:ascii="Arial" w:cs="Arial" w:eastAsia="Arial" w:hAnsi="Arial"/>
          <w:sz w:val="13"/>
          <w:szCs w:val="13"/>
          <w:color w:val="008000"/>
        </w:rPr>
      </w:pPr>
    </w:p>
    <w:p>
      <w:pPr>
        <w:ind w:left="40" w:right="280" w:firstLine="7"/>
        <w:spacing w:after="0" w:line="25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$44.52 to $45.13,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6 to this Form 4.</w:t>
      </w:r>
    </w:p>
    <w:p>
      <w:pPr>
        <w:spacing w:after="0" w:line="22"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$44.14 to $44.82, inclusive.</w:t>
      </w:r>
    </w:p>
    <w:p>
      <w:pPr>
        <w:spacing w:after="0" w:line="51" w:lineRule="exact"/>
        <w:rPr>
          <w:rFonts w:ascii="Arial" w:cs="Arial" w:eastAsia="Arial" w:hAnsi="Arial"/>
          <w:sz w:val="13"/>
          <w:szCs w:val="13"/>
          <w:color w:val="008000"/>
        </w:rPr>
      </w:pPr>
    </w:p>
    <w:p>
      <w:pPr>
        <w:ind w:left="40" w:right="40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that were obtained in exchange for an equal number of non-voting common units of Tradeweb Markets LLC, a subsidiary of the issuer (the "LLC Units"). The LLC Units may be exchanged for an equal number of shares of Class A Common Stock, as described in footnote 8 to this Form 4.</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$45.09, inclusive.</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w:t>
      </w:r>
    </w:p>
    <w:p>
      <w:pPr>
        <w:sectPr>
          <w:pgSz w:w="11900" w:h="16838" w:orient="portrait"/>
          <w:cols w:equalWidth="0" w:num="1">
            <w:col w:w="11520"/>
          </w:cols>
          <w:pgMar w:left="240" w:top="225" w:right="139" w:bottom="0" w:gutter="0" w:footer="0" w:header="0"/>
          <w:type w:val="continuous"/>
        </w:sectPr>
      </w:pPr>
    </w:p>
    <w:bookmarkStart w:id="1" w:name="page2"/>
    <w:bookmarkEnd w:id="1"/>
    <w:p>
      <w:pPr>
        <w:ind w:right="120"/>
        <w:spacing w:after="0" w:line="253" w:lineRule="auto"/>
        <w:rPr>
          <w:sz w:val="20"/>
          <w:szCs w:val="20"/>
          <w:color w:val="auto"/>
        </w:rPr>
      </w:pPr>
      <w:r>
        <w:rPr>
          <w:rFonts w:ascii="Arial" w:cs="Arial" w:eastAsia="Arial" w:hAnsi="Arial"/>
          <w:sz w:val="13"/>
          <w:szCs w:val="13"/>
          <w:color w:val="008000"/>
        </w:rPr>
        <w:t>each case, on a one-for-one basis at the discretion of the holder. Upon such an exchange, a corresponding number of shares of Class D common stock of the issuer ("Class D Common Stock") (or shares of the issuer's Class C common stock ("Class C Common Stock"), in the event the reporting person exchanged their shares of Class D Common Stock as described in footnote 9 to this Form 4) will be canceled. These exchange rights do not expire.</w:t>
      </w:r>
    </w:p>
    <w:p>
      <w:pPr>
        <w:spacing w:after="0" w:line="22" w:lineRule="exact"/>
        <w:rPr>
          <w:sz w:val="20"/>
          <w:szCs w:val="20"/>
          <w:color w:val="auto"/>
        </w:rPr>
      </w:pPr>
    </w:p>
    <w:p>
      <w:pPr>
        <w:ind w:right="220" w:firstLine="7"/>
        <w:spacing w:after="0" w:line="253"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of Class D Common Stock have ten votes per share but no economic rights (including rights to dividends or, other than their par value, any distribution upon liquidation) and are issued in an equal amount to the number of LLC Units held. Shares of Class D Common Stock are exchangeable for shares of Class C Common Stock, which have one vote per share but no economic rights (other than their par value upon liquidation), on a one-for-one basis at the discretion of the holder. These exchange rights do not expire.</w:t>
      </w:r>
    </w:p>
    <w:p>
      <w:pPr>
        <w:spacing w:after="0" w:line="22" w:lineRule="exact"/>
        <w:rPr>
          <w:rFonts w:ascii="Arial" w:cs="Arial" w:eastAsia="Arial" w:hAnsi="Arial"/>
          <w:sz w:val="13"/>
          <w:szCs w:val="13"/>
          <w:color w:val="008000"/>
        </w:rPr>
      </w:pPr>
    </w:p>
    <w:p>
      <w:pPr>
        <w:ind w:firstLine="7"/>
        <w:spacing w:after="0" w:line="271" w:lineRule="auto"/>
        <w:tabs>
          <w:tab w:leader="none" w:pos="201"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Reflects the cancellation for no consideration of a number of shares of Class D Common Stock in connection with the exchange by the reporting person of an equal number of LLC Units for Class A Common Stock.</w:t>
      </w:r>
    </w:p>
    <w:p>
      <w:pPr>
        <w:spacing w:after="0" w:line="2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01/28/2020</w:t>
            </w:r>
          </w:p>
        </w:tc>
        <w:tc>
          <w:tcPr>
            <w:tcW w:w="0" w:type="dxa"/>
            <w:vAlign w:val="bottom"/>
          </w:tcPr>
          <w:p>
            <w:pPr>
              <w:spacing w:after="0"/>
              <w:rPr>
                <w:sz w:val="1"/>
                <w:szCs w:val="1"/>
                <w:color w:val="auto"/>
              </w:rPr>
            </w:pPr>
          </w:p>
        </w:tc>
      </w:tr>
      <w:tr>
        <w:trPr>
          <w:trHeight w:val="92"/>
        </w:trPr>
        <w:tc>
          <w:tcPr>
            <w:tcW w:w="16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88"/>
              </w:rPr>
              <w:t>Fact for James Spencer</w:t>
            </w:r>
          </w:p>
        </w:tc>
        <w:tc>
          <w:tcPr>
            <w:tcW w:w="42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20" w:type="dxa"/>
            <w:vAlign w:val="bottom"/>
            <w:tcBorders>
              <w:bottom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62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2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296"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2020-01-28T19:00:02Z</dcterms:created>
  <dcterms:modified xsi:type="dcterms:W3CDTF">2020-01-28T19:00:02Z</dcterms:modified>
</cp:coreProperties>
</file>