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ind w:right="-63"/>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63"/>
        <w:spacing w:after="0"/>
        <w:rPr>
          <w:sz w:val="20"/>
          <w:szCs w:val="20"/>
          <w:color w:val="auto"/>
        </w:rPr>
      </w:pPr>
      <w:r>
        <w:rPr>
          <w:rFonts w:ascii="Arial" w:cs="Arial" w:eastAsia="Arial" w:hAnsi="Arial"/>
          <w:sz w:val="31"/>
          <w:szCs w:val="31"/>
          <w:b w:val="1"/>
          <w:bCs w:val="1"/>
          <w:color w:val="auto"/>
        </w:rPr>
        <w:t>SCHEDULE 14A</w:t>
      </w:r>
    </w:p>
    <w:p>
      <w:pPr>
        <w:spacing w:after="0" w:line="220"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0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9" w:lineRule="exact"/>
        <w:rPr>
          <w:rFonts w:ascii="MS PGothic" w:cs="MS PGothic" w:eastAsia="MS PGothic" w:hAnsi="MS PGothic"/>
          <w:sz w:val="18"/>
          <w:szCs w:val="18"/>
          <w:color w:val="auto"/>
        </w:rPr>
      </w:pPr>
    </w:p>
    <w:p>
      <w:pPr>
        <w:ind w:left="4"/>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49"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-3773805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-3328035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-2745105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-2299335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-1853565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44"/>
          </w:cols>
          <w:pgMar w:left="436" w:top="211" w:right="519" w:bottom="497" w:gutter="0" w:footer="0" w:header="0"/>
        </w:sectPr>
      </w:pPr>
    </w:p>
    <w:bookmarkStart w:id="1" w:name="page2"/>
    <w:bookmarkEnd w:id="1"/>
    <w:p>
      <w:pPr>
        <w:ind w:left="537" w:hanging="537"/>
        <w:spacing w:after="0"/>
        <w:tabs>
          <w:tab w:leader="none" w:pos="537"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2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9224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177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80"/>
        <w:spacing w:after="0"/>
        <w:rPr>
          <w:sz w:val="20"/>
          <w:szCs w:val="20"/>
          <w:color w:val="auto"/>
        </w:rPr>
      </w:pPr>
      <w:r>
        <w:rPr>
          <w:rFonts w:ascii="Arial" w:cs="Arial" w:eastAsia="Arial" w:hAnsi="Arial"/>
          <w:sz w:val="47"/>
          <w:szCs w:val="47"/>
          <w:color w:val="00ADD8"/>
        </w:rPr>
        <w:t>Dear Stockholder,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80" w:right="1620"/>
        <w:spacing w:after="0" w:line="291" w:lineRule="auto"/>
        <w:rPr>
          <w:sz w:val="20"/>
          <w:szCs w:val="20"/>
          <w:color w:val="auto"/>
        </w:rPr>
      </w:pPr>
      <w:r>
        <w:rPr>
          <w:rFonts w:ascii="Arial" w:cs="Arial" w:eastAsia="Arial" w:hAnsi="Arial"/>
          <w:sz w:val="16"/>
          <w:szCs w:val="16"/>
          <w:color w:val="auto"/>
        </w:rPr>
        <w:t>You are cordially invited to attend the Annual Meeting of Stockholders of Tradeweb Markets Inc. which will be held virtually at 12:15 p.m., Eastern Time, on Tuesday, May 11, 2021, at www.virtualshareholdermeeting.com/TW2021.</w:t>
      </w:r>
    </w:p>
    <w:p>
      <w:pPr>
        <w:ind w:left="980" w:right="1100" w:firstLine="361"/>
        <w:spacing w:after="0" w:line="250" w:lineRule="auto"/>
        <w:rPr>
          <w:sz w:val="20"/>
          <w:szCs w:val="20"/>
          <w:color w:val="auto"/>
        </w:rPr>
      </w:pPr>
      <w:r>
        <w:rPr>
          <w:rFonts w:ascii="Arial" w:cs="Arial" w:eastAsia="Arial" w:hAnsi="Arial"/>
          <w:sz w:val="18"/>
          <w:szCs w:val="18"/>
          <w:color w:val="auto"/>
        </w:rPr>
        <w:t>The attached Notice of the Annual Meeting of Stockholders and Proxy Statement describes the formal business that we will transact at the virtual Annual Meeting.</w:t>
      </w:r>
    </w:p>
    <w:p>
      <w:pPr>
        <w:spacing w:after="0" w:line="1" w:lineRule="exact"/>
        <w:rPr>
          <w:sz w:val="20"/>
          <w:szCs w:val="20"/>
          <w:color w:val="auto"/>
        </w:rPr>
      </w:pPr>
    </w:p>
    <w:p>
      <w:pPr>
        <w:ind w:left="980" w:right="1040" w:firstLine="361"/>
        <w:spacing w:after="0" w:line="250" w:lineRule="auto"/>
        <w:rPr>
          <w:sz w:val="20"/>
          <w:szCs w:val="20"/>
          <w:color w:val="auto"/>
        </w:rPr>
      </w:pPr>
      <w:r>
        <w:rPr>
          <w:rFonts w:ascii="Arial" w:cs="Arial" w:eastAsia="Arial" w:hAnsi="Arial"/>
          <w:sz w:val="18"/>
          <w:szCs w:val="18"/>
          <w:color w:val="auto"/>
        </w:rPr>
        <w:t>The Board of Directors of Tradeweb Markets Inc. has determined that an affirmative vote on each matter that calls for an affirmative vote is in the best interest of Tradeweb Markets Inc. and its stockholders and unanimously recommends a vote “FOR” all such matters considered at the Annual Meeting.</w:t>
      </w:r>
    </w:p>
    <w:p>
      <w:pPr>
        <w:spacing w:after="0" w:line="1" w:lineRule="exact"/>
        <w:rPr>
          <w:sz w:val="20"/>
          <w:szCs w:val="20"/>
          <w:color w:val="auto"/>
        </w:rPr>
      </w:pPr>
    </w:p>
    <w:p>
      <w:pPr>
        <w:ind w:left="980" w:right="1040" w:firstLine="361"/>
        <w:spacing w:after="0" w:line="265" w:lineRule="auto"/>
        <w:rPr>
          <w:sz w:val="20"/>
          <w:szCs w:val="20"/>
          <w:color w:val="auto"/>
        </w:rPr>
      </w:pPr>
      <w:r>
        <w:rPr>
          <w:rFonts w:ascii="Arial" w:cs="Arial" w:eastAsia="Arial" w:hAnsi="Arial"/>
          <w:sz w:val="17"/>
          <w:szCs w:val="17"/>
          <w:color w:val="auto"/>
        </w:rPr>
        <w:t>We have elected to take advantage of the rules of the U.S. Securities and Exchange Commission that allow us to furnish our proxy materials over the Internet.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 materials on the Internet and for voting over the Internet.</w:t>
      </w:r>
    </w:p>
    <w:p>
      <w:pPr>
        <w:spacing w:after="0" w:line="1" w:lineRule="exact"/>
        <w:rPr>
          <w:sz w:val="20"/>
          <w:szCs w:val="20"/>
          <w:color w:val="auto"/>
        </w:rPr>
      </w:pPr>
    </w:p>
    <w:p>
      <w:pPr>
        <w:ind w:left="980" w:right="1060" w:firstLine="361"/>
        <w:spacing w:after="0" w:line="250" w:lineRule="auto"/>
        <w:rPr>
          <w:sz w:val="20"/>
          <w:szCs w:val="20"/>
          <w:color w:val="auto"/>
        </w:rPr>
      </w:pPr>
      <w:r>
        <w:rPr>
          <w:rFonts w:ascii="Arial" w:cs="Arial" w:eastAsia="Arial" w:hAnsi="Arial"/>
          <w:sz w:val="18"/>
          <w:szCs w:val="18"/>
          <w:color w:val="auto"/>
        </w:rPr>
        <w:t xml:space="preserve">Whether or not you plan to virtually attend the Annual Meeting, please vote your shares promptly by following the voting instructions that you have received. </w:t>
      </w:r>
      <w:r>
        <w:rPr>
          <w:rFonts w:ascii="Arial" w:cs="Arial" w:eastAsia="Arial" w:hAnsi="Arial"/>
          <w:sz w:val="18"/>
          <w:szCs w:val="18"/>
          <w:b w:val="1"/>
          <w:bCs w:val="1"/>
          <w:color w:val="auto"/>
        </w:rPr>
        <w:t>Your vote is important regardless of the number of shares you own. Voting</w:t>
      </w:r>
      <w:r>
        <w:rPr>
          <w:rFonts w:ascii="Arial" w:cs="Arial" w:eastAsia="Arial" w:hAnsi="Arial"/>
          <w:sz w:val="18"/>
          <w:szCs w:val="18"/>
          <w:color w:val="auto"/>
        </w:rPr>
        <w:t xml:space="preserve"> </w:t>
      </w:r>
      <w:r>
        <w:rPr>
          <w:rFonts w:ascii="Arial" w:cs="Arial" w:eastAsia="Arial" w:hAnsi="Arial"/>
          <w:sz w:val="18"/>
          <w:szCs w:val="18"/>
          <w:b w:val="1"/>
          <w:bCs w:val="1"/>
          <w:color w:val="auto"/>
        </w:rPr>
        <w:t>by proxy will not prevent you from voting virtually at the Annual Meeting, but will assure that your vote is counted if you cannot virtually attend.</w:t>
      </w:r>
    </w:p>
    <w:p>
      <w:pPr>
        <w:spacing w:after="0" w:line="2" w:lineRule="exact"/>
        <w:rPr>
          <w:sz w:val="20"/>
          <w:szCs w:val="20"/>
          <w:color w:val="auto"/>
        </w:rPr>
      </w:pPr>
    </w:p>
    <w:p>
      <w:pPr>
        <w:ind w:left="980" w:right="1360" w:firstLine="361"/>
        <w:spacing w:after="0" w:line="260" w:lineRule="auto"/>
        <w:rPr>
          <w:sz w:val="20"/>
          <w:szCs w:val="20"/>
          <w:color w:val="auto"/>
        </w:rPr>
      </w:pPr>
      <w:r>
        <w:rPr>
          <w:rFonts w:ascii="Arial" w:cs="Arial" w:eastAsia="Arial" w:hAnsi="Arial"/>
          <w:sz w:val="18"/>
          <w:szCs w:val="18"/>
          <w:color w:val="auto"/>
        </w:rPr>
        <w:t>On behalf of the Board of Directors and the employees of Tradeweb Markets Inc., we thank you for your continued support and look forward to seeing you at the virtual Annual Meeting.</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92075</wp:posOffset>
            </wp:positionV>
            <wp:extent cx="78867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March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840" w:type="dxa"/>
            <w:vAlign w:val="bottom"/>
          </w:tcPr>
          <w:p>
            <w:pPr>
              <w:jc w:val="right"/>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020"/>
          </w:cols>
          <w:pgMar w:left="440" w:top="1440" w:right="439" w:bottom="1440" w:gutter="0" w:footer="0" w:header="0"/>
        </w:sectPr>
      </w:pPr>
    </w:p>
    <w:bookmarkStart w:id="4" w:name="page5"/>
    <w:bookmarkEnd w:id="4"/>
    <w:p>
      <w:pPr>
        <w:spacing w:after="0"/>
        <w:rPr>
          <w:sz w:val="20"/>
          <w:szCs w:val="20"/>
          <w:color w:val="auto"/>
        </w:rPr>
      </w:pPr>
      <w:r>
        <w:rPr>
          <w:rFonts w:ascii="Arial" w:cs="Arial" w:eastAsia="Arial" w:hAnsi="Arial"/>
          <w:sz w:val="47"/>
          <w:szCs w:val="47"/>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2021 Virtual</w:t>
      </w:r>
    </w:p>
    <w:p>
      <w:pPr>
        <w:spacing w:after="0" w:line="14" w:lineRule="exact"/>
        <w:rPr>
          <w:sz w:val="20"/>
          <w:szCs w:val="20"/>
          <w:color w:val="auto"/>
        </w:rPr>
      </w:pPr>
    </w:p>
    <w:p>
      <w:pPr>
        <w:spacing w:after="0"/>
        <w:rPr>
          <w:sz w:val="20"/>
          <w:szCs w:val="20"/>
          <w:color w:val="auto"/>
        </w:rPr>
      </w:pPr>
      <w:r>
        <w:rPr>
          <w:rFonts w:ascii="Arial" w:cs="Arial" w:eastAsia="Arial" w:hAnsi="Arial"/>
          <w:sz w:val="47"/>
          <w:szCs w:val="47"/>
          <w:color w:val="00ADD8"/>
        </w:rPr>
        <w:t>Annual Meeting of</w:t>
      </w:r>
    </w:p>
    <w:p>
      <w:pPr>
        <w:spacing w:after="0"/>
        <w:rPr>
          <w:sz w:val="20"/>
          <w:szCs w:val="20"/>
          <w:color w:val="auto"/>
        </w:rPr>
      </w:pPr>
      <w:r>
        <w:rPr>
          <w:rFonts w:ascii="Arial" w:cs="Arial" w:eastAsia="Arial" w:hAnsi="Arial"/>
          <w:sz w:val="47"/>
          <w:szCs w:val="47"/>
          <w:color w:val="00ADD8"/>
        </w:rPr>
        <w:t>Stockholders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2021 Annual Meeting of Stockholders (the “Annual Meeting”) of Tradeweb Markets Inc. (“Tradeweb” or the “Company”) will be held virtually at 12:15 p.m., Eastern Time, on Tuesday, May 11, 2021, at www.virtualshareholdermeeting.com/TW2021 for the following purposes:</w:t>
      </w:r>
    </w:p>
    <w:p>
      <w:pPr>
        <w:spacing w:after="0" w:line="52" w:lineRule="exact"/>
        <w:rPr>
          <w:sz w:val="20"/>
          <w:szCs w:val="20"/>
          <w:color w:val="auto"/>
        </w:rPr>
      </w:pPr>
    </w:p>
    <w:p>
      <w:pPr>
        <w:ind w:left="420" w:right="260" w:hanging="208"/>
        <w:spacing w:after="0" w:line="258"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three nominees for director named in the attached Proxy Statement to serve on the Board of Directors for a three year term until the 2024 Annual Meeting of Stockholders or their respective successors are elected and qualified;</w:t>
      </w:r>
    </w:p>
    <w:p>
      <w:pPr>
        <w:spacing w:after="0" w:line="1" w:lineRule="exact"/>
        <w:rPr>
          <w:rFonts w:ascii="Arial" w:cs="Arial" w:eastAsia="Arial" w:hAnsi="Arial"/>
          <w:sz w:val="18"/>
          <w:szCs w:val="18"/>
          <w:color w:val="auto"/>
        </w:rPr>
      </w:pPr>
    </w:p>
    <w:p>
      <w:pPr>
        <w:ind w:left="420" w:right="200" w:hanging="208"/>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(“Deloitte”) as our independent registered public accounting firm for our fiscal year ending December 31, 2021;</w:t>
      </w:r>
    </w:p>
    <w:p>
      <w:pPr>
        <w:ind w:left="420" w:hanging="208"/>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determine, on an advisory basis, the frequency with which stockholders will participate in any advisory vote on executive compensation; and</w:t>
      </w:r>
    </w:p>
    <w:p>
      <w:pPr>
        <w:spacing w:after="0" w:line="32" w:lineRule="exact"/>
        <w:rPr>
          <w:rFonts w:ascii="Arial" w:cs="Arial" w:eastAsia="Arial" w:hAnsi="Arial"/>
          <w:sz w:val="16"/>
          <w:szCs w:val="16"/>
          <w:color w:val="auto"/>
        </w:rPr>
      </w:pPr>
    </w:p>
    <w:p>
      <w:pPr>
        <w:ind w:left="420" w:hanging="208"/>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0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Our Board of Directors recommends you vote (i) “FOR” the election of each of the nominees to the Board of Directors; (ii) “FOR” the ratification of the appointment of Deloitte as our independent registered public accounting firm; (iii) “FOR” the approval, on an advisory basis, of the compensation of the Company’s named executive officers; and (iv) “Three Year” for the frequency with which stockholders of the Company shall be entitled to have an advisory vote on executive compensation.</w:t>
      </w:r>
    </w:p>
    <w:p>
      <w:pPr>
        <w:spacing w:after="0" w:line="2" w:lineRule="exact"/>
        <w:rPr>
          <w:sz w:val="20"/>
          <w:szCs w:val="20"/>
          <w:color w:val="auto"/>
        </w:rPr>
      </w:pPr>
    </w:p>
    <w:p>
      <w:pPr>
        <w:ind w:right="80" w:firstLine="440"/>
        <w:spacing w:after="0" w:line="250" w:lineRule="auto"/>
        <w:rPr>
          <w:sz w:val="20"/>
          <w:szCs w:val="20"/>
          <w:color w:val="auto"/>
        </w:rPr>
      </w:pPr>
      <w:r>
        <w:rPr>
          <w:rFonts w:ascii="Arial" w:cs="Arial" w:eastAsia="Arial" w:hAnsi="Arial"/>
          <w:sz w:val="18"/>
          <w:szCs w:val="18"/>
          <w:color w:val="auto"/>
        </w:rPr>
        <w:t>The Board of Directors has fixed March 15, 2021 as the record date for determining stockholders entitled to receive notice of, and to vote at, the virtual Annual Meeting or any adjournment or postponement thereof. Only stockholders of record at the close of business on that date will be entitled to notice of, and to vote at, the virtual Annual Meeting.</w:t>
      </w:r>
    </w:p>
    <w:p>
      <w:pPr>
        <w:spacing w:after="0" w:line="1"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color w:val="auto"/>
        </w:rPr>
        <w:t>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9692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2914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Douglas Friedman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2021</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001F5B"/>
        </w:rPr>
        <w:t>Important Notice Regarding the Availability of Proxy Materials for the Tradeweb Markets Inc. Annual Meeting of Stockholders To Be Held on Tuesday, May 11, 2021</w:t>
      </w:r>
    </w:p>
    <w:p>
      <w:pPr>
        <w:spacing w:after="0" w:line="158"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i w:val="1"/>
          <w:iCs w:val="1"/>
          <w:color w:val="001F5B"/>
        </w:rPr>
        <w:t xml:space="preserve">This Notice, our Proxy Statement, and our combined Annual Report to Stockholders and Annual Report on Form 10-K for the year ended December 31, 2020 are available at </w:t>
      </w:r>
      <w:r>
        <w:rPr>
          <w:rFonts w:ascii="Arial" w:cs="Arial" w:eastAsia="Arial" w:hAnsi="Arial"/>
          <w:sz w:val="18"/>
          <w:szCs w:val="18"/>
          <w:i w:val="1"/>
          <w:iCs w:val="1"/>
          <w:u w:val="single" w:color="auto"/>
          <w:color w:val="001F5B"/>
        </w:rPr>
        <w:t>www.proxyvote.com</w:t>
      </w:r>
      <w:r>
        <w:rPr>
          <w:rFonts w:ascii="Arial" w:cs="Arial" w:eastAsia="Arial" w:hAnsi="Arial"/>
          <w:sz w:val="18"/>
          <w:szCs w:val="18"/>
          <w:i w:val="1"/>
          <w:iCs w:val="1"/>
          <w:color w:val="001F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248" w:right="439" w:bottom="1440" w:gutter="0" w:footer="0" w:header="0"/>
        </w:sectPr>
      </w:pPr>
    </w:p>
    <w:bookmarkStart w:id="5" w:name="page6"/>
    <w:bookmarkEnd w:id="5"/>
    <w:p>
      <w:pPr>
        <w:ind w:right="3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8028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280285" cy="257175"/>
                    </a:xfrm>
                    <a:prstGeom prst="rect">
                      <a:avLst/>
                    </a:prstGeom>
                    <a:noFill/>
                  </pic:spPr>
                </pic:pic>
              </a:graphicData>
            </a:graphic>
          </wp:anchor>
        </w:drawing>
        <w:t>The Board of Directors (the “Board”) of Tradeweb Markets Inc. (“Tradeweb” or the “Company”) is providing the Notice of 2021 Annual Meeting of Stockholders, this Proxy Statement and proxy card in connection with the Company’s solicitation of proxies for the 2021 Annual Meeting of Stockholders of the Company to be held virtually at 12:15 p.m., Eastern Time, on Tuesday, May 11, 2021, at www.virtualshareholdermeeting.com/TW2021 and at any adjournment or postponement thereof.</w:t>
      </w:r>
    </w:p>
    <w:p>
      <w:pPr>
        <w:spacing w:after="0" w:line="2" w:lineRule="exact"/>
        <w:rPr>
          <w:sz w:val="20"/>
          <w:szCs w:val="20"/>
          <w:color w:val="auto"/>
        </w:rPr>
      </w:pPr>
    </w:p>
    <w:p>
      <w:pPr>
        <w:ind w:right="200" w:firstLine="440"/>
        <w:spacing w:after="0" w:line="260" w:lineRule="auto"/>
        <w:rPr>
          <w:sz w:val="20"/>
          <w:szCs w:val="20"/>
          <w:color w:val="auto"/>
        </w:rPr>
      </w:pPr>
      <w:r>
        <w:rPr>
          <w:rFonts w:ascii="Arial" w:cs="Arial" w:eastAsia="Arial" w:hAnsi="Arial"/>
          <w:sz w:val="18"/>
          <w:szCs w:val="18"/>
          <w:color w:val="auto"/>
        </w:rPr>
        <w:t>This proxy summary highlights information contained elsewhere in our Proxy Statement. The summary does not contain all the information that you should consider, and we encourage you to read the entire Proxy Statement carefully.</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ADD8"/>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1525905" cy="951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5905" cy="95123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00" w:type="dxa"/>
            <w:vAlign w:val="bottom"/>
            <w:tcBorders>
              <w:top w:val="single" w:sz="8" w:color="00ADD8"/>
            </w:tcBorders>
            <w:shd w:val="clear" w:color="auto" w:fill="EDEDED"/>
          </w:tcPr>
          <w:p>
            <w:pPr>
              <w:spacing w:after="0"/>
              <w:rPr>
                <w:sz w:val="22"/>
                <w:szCs w:val="22"/>
                <w:color w:val="auto"/>
              </w:rPr>
            </w:pPr>
          </w:p>
        </w:tc>
        <w:tc>
          <w:tcPr>
            <w:tcW w:w="9320" w:type="dxa"/>
            <w:vAlign w:val="bottom"/>
            <w:tcBorders>
              <w:top w:val="single" w:sz="8" w:color="00ADD8"/>
            </w:tcBorders>
            <w:shd w:val="clear" w:color="auto" w:fill="EDEDED"/>
          </w:tcPr>
          <w:p>
            <w:pPr>
              <w:spacing w:after="0"/>
              <w:rPr>
                <w:sz w:val="22"/>
                <w:szCs w:val="22"/>
                <w:color w:val="auto"/>
              </w:rPr>
            </w:pPr>
          </w:p>
        </w:tc>
      </w:tr>
      <w:tr>
        <w:trPr>
          <w:trHeight w:val="202"/>
        </w:trPr>
        <w:tc>
          <w:tcPr>
            <w:tcW w:w="1700" w:type="dxa"/>
            <w:vAlign w:val="bottom"/>
          </w:tcPr>
          <w:p>
            <w:pPr>
              <w:ind w:left="260"/>
              <w:spacing w:after="0" w:line="201" w:lineRule="exact"/>
              <w:rPr>
                <w:sz w:val="20"/>
                <w:szCs w:val="20"/>
                <w:color w:val="auto"/>
              </w:rPr>
            </w:pPr>
            <w:r>
              <w:rPr>
                <w:rFonts w:ascii="Arial" w:cs="Arial" w:eastAsia="Arial" w:hAnsi="Arial"/>
                <w:sz w:val="18"/>
                <w:szCs w:val="18"/>
                <w:b w:val="1"/>
                <w:bCs w:val="1"/>
                <w:color w:val="001F5B"/>
              </w:rPr>
              <w:t>Item 1</w:t>
            </w:r>
          </w:p>
        </w:tc>
        <w:tc>
          <w:tcPr>
            <w:tcW w:w="9320" w:type="dxa"/>
            <w:vAlign w:val="bottom"/>
          </w:tcPr>
          <w:p>
            <w:pPr>
              <w:ind w:left="960"/>
              <w:spacing w:after="0" w:line="201" w:lineRule="exact"/>
              <w:rPr>
                <w:sz w:val="20"/>
                <w:szCs w:val="20"/>
                <w:color w:val="auto"/>
              </w:rPr>
            </w:pPr>
            <w:r>
              <w:rPr>
                <w:rFonts w:ascii="Arial" w:cs="Arial" w:eastAsia="Arial" w:hAnsi="Arial"/>
                <w:sz w:val="18"/>
                <w:szCs w:val="18"/>
                <w:b w:val="1"/>
                <w:bCs w:val="1"/>
                <w:color w:val="001F5B"/>
              </w:rPr>
              <w:t>Election of Directors</w:t>
            </w:r>
          </w:p>
        </w:tc>
      </w:tr>
      <w:tr>
        <w:trPr>
          <w:trHeight w:val="217"/>
        </w:trPr>
        <w:tc>
          <w:tcPr>
            <w:tcW w:w="1700" w:type="dxa"/>
            <w:vAlign w:val="bottom"/>
          </w:tcPr>
          <w:p>
            <w:pPr>
              <w:spacing w:after="0"/>
              <w:rPr>
                <w:sz w:val="18"/>
                <w:szCs w:val="18"/>
                <w:color w:val="auto"/>
              </w:rPr>
            </w:pPr>
          </w:p>
        </w:tc>
        <w:tc>
          <w:tcPr>
            <w:tcW w:w="9320" w:type="dxa"/>
            <w:vAlign w:val="bottom"/>
          </w:tcPr>
          <w:p>
            <w:pPr>
              <w:ind w:left="960"/>
              <w:spacing w:after="0"/>
              <w:rPr>
                <w:sz w:val="20"/>
                <w:szCs w:val="20"/>
                <w:color w:val="auto"/>
              </w:rPr>
            </w:pPr>
            <w:r>
              <w:rPr>
                <w:rFonts w:ascii="Arial" w:cs="Arial" w:eastAsia="Arial" w:hAnsi="Arial"/>
                <w:sz w:val="18"/>
                <w:szCs w:val="18"/>
                <w:color w:val="001F5B"/>
              </w:rPr>
              <w:t>The Board recommends a vote “FOR” each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-265430</wp:posOffset>
            </wp:positionV>
            <wp:extent cx="5469255" cy="788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69255" cy="788670"/>
                    </a:xfrm>
                    <a:prstGeom prst="rect">
                      <a:avLst/>
                    </a:prstGeom>
                    <a:noFill/>
                  </pic:spPr>
                </pic:pic>
              </a:graphicData>
            </a:graphic>
          </wp:anchor>
        </w:drawing>
      </w:r>
    </w:p>
    <w:p>
      <w:pPr>
        <w:spacing w:after="0" w:line="2" w:lineRule="exact"/>
        <w:rPr>
          <w:sz w:val="20"/>
          <w:szCs w:val="20"/>
          <w:color w:val="auto"/>
        </w:rPr>
      </w:pPr>
    </w:p>
    <w:p>
      <w:pPr>
        <w:ind w:left="8820"/>
        <w:spacing w:after="0"/>
        <w:rPr>
          <w:sz w:val="20"/>
          <w:szCs w:val="20"/>
          <w:color w:val="auto"/>
        </w:rPr>
      </w:pPr>
      <w:r>
        <w:rPr>
          <w:rFonts w:ascii="Arial" w:cs="Arial" w:eastAsia="Arial" w:hAnsi="Arial"/>
          <w:sz w:val="18"/>
          <w:szCs w:val="18"/>
          <w:color w:val="001F5B"/>
        </w:rPr>
        <w:t>See page 8 for</w:t>
      </w:r>
    </w:p>
    <w:p>
      <w:pPr>
        <w:ind w:left="8820"/>
        <w:spacing w:after="0"/>
        <w:rPr>
          <w:sz w:val="20"/>
          <w:szCs w:val="20"/>
          <w:color w:val="auto"/>
        </w:rPr>
      </w:pPr>
      <w:r>
        <w:rPr>
          <w:rFonts w:ascii="Arial" w:cs="Arial" w:eastAsia="Arial" w:hAnsi="Arial"/>
          <w:sz w:val="18"/>
          <w:szCs w:val="18"/>
          <w:color w:val="001F5B"/>
        </w:rPr>
        <w:t>further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436"/>
        </w:trPr>
        <w:tc>
          <w:tcPr>
            <w:tcW w:w="2400" w:type="dxa"/>
            <w:vAlign w:val="bottom"/>
            <w:tcBorders>
              <w:top w:val="single" w:sz="8" w:color="00ADD8"/>
            </w:tcBorders>
            <w:shd w:val="clear" w:color="auto" w:fill="EDEDED"/>
          </w:tcPr>
          <w:p>
            <w:pPr>
              <w:ind w:left="260"/>
              <w:spacing w:after="0"/>
              <w:rPr>
                <w:sz w:val="20"/>
                <w:szCs w:val="20"/>
                <w:color w:val="auto"/>
              </w:rPr>
            </w:pPr>
            <w:r>
              <w:rPr>
                <w:rFonts w:ascii="Arial" w:cs="Arial" w:eastAsia="Arial" w:hAnsi="Arial"/>
                <w:sz w:val="18"/>
                <w:szCs w:val="18"/>
                <w:b w:val="1"/>
                <w:bCs w:val="1"/>
                <w:color w:val="001F5B"/>
              </w:rPr>
              <w:t>Item 2</w:t>
            </w:r>
          </w:p>
        </w:tc>
        <w:tc>
          <w:tcPr>
            <w:tcW w:w="6040" w:type="dxa"/>
            <w:vAlign w:val="bottom"/>
            <w:tcBorders>
              <w:top w:val="single" w:sz="8" w:color="00ADD8"/>
            </w:tcBorders>
            <w:shd w:val="clear" w:color="auto" w:fill="EDEDED"/>
          </w:tcPr>
          <w:p>
            <w:pPr>
              <w:ind w:left="260"/>
              <w:spacing w:after="0"/>
              <w:rPr>
                <w:sz w:val="20"/>
                <w:szCs w:val="20"/>
                <w:color w:val="auto"/>
              </w:rPr>
            </w:pPr>
            <w:r>
              <w:rPr>
                <w:rFonts w:ascii="Arial" w:cs="Arial" w:eastAsia="Arial" w:hAnsi="Arial"/>
                <w:sz w:val="18"/>
                <w:szCs w:val="18"/>
                <w:b w:val="1"/>
                <w:bCs w:val="1"/>
                <w:color w:val="001F5B"/>
              </w:rPr>
              <w:t>Ratification of Appointment of Deloitte &amp; Touche LLP as</w:t>
            </w:r>
          </w:p>
        </w:tc>
        <w:tc>
          <w:tcPr>
            <w:tcW w:w="2580" w:type="dxa"/>
            <w:vAlign w:val="bottom"/>
            <w:tcBorders>
              <w:top w:val="single" w:sz="8" w:color="00ADD8"/>
            </w:tcBorders>
            <w:shd w:val="clear" w:color="auto" w:fill="EDEDED"/>
          </w:tcPr>
          <w:p>
            <w:pPr>
              <w:spacing w:after="0"/>
              <w:rPr>
                <w:sz w:val="24"/>
                <w:szCs w:val="24"/>
                <w:color w:val="auto"/>
              </w:rPr>
            </w:pPr>
          </w:p>
        </w:tc>
      </w:tr>
      <w:tr>
        <w:trPr>
          <w:trHeight w:val="224"/>
        </w:trPr>
        <w:tc>
          <w:tcPr>
            <w:tcW w:w="2400" w:type="dxa"/>
            <w:vAlign w:val="bottom"/>
            <w:shd w:val="clear" w:color="auto" w:fill="EDEDED"/>
          </w:tcPr>
          <w:p>
            <w:pPr>
              <w:spacing w:after="0"/>
              <w:rPr>
                <w:sz w:val="19"/>
                <w:szCs w:val="19"/>
                <w:color w:val="auto"/>
              </w:rPr>
            </w:pPr>
          </w:p>
        </w:tc>
        <w:tc>
          <w:tcPr>
            <w:tcW w:w="6040" w:type="dxa"/>
            <w:vAlign w:val="bottom"/>
            <w:shd w:val="clear" w:color="auto" w:fill="EDEDED"/>
          </w:tcPr>
          <w:p>
            <w:pPr>
              <w:ind w:left="260"/>
              <w:spacing w:after="0"/>
              <w:rPr>
                <w:sz w:val="20"/>
                <w:szCs w:val="20"/>
                <w:color w:val="auto"/>
              </w:rPr>
            </w:pPr>
            <w:r>
              <w:rPr>
                <w:rFonts w:ascii="Arial" w:cs="Arial" w:eastAsia="Arial" w:hAnsi="Arial"/>
                <w:sz w:val="18"/>
                <w:szCs w:val="18"/>
                <w:b w:val="1"/>
                <w:bCs w:val="1"/>
                <w:color w:val="001F5B"/>
              </w:rPr>
              <w:t>Independent Registered Public Accounting Firm</w:t>
            </w:r>
          </w:p>
        </w:tc>
        <w:tc>
          <w:tcPr>
            <w:tcW w:w="2580" w:type="dxa"/>
            <w:vAlign w:val="bottom"/>
            <w:shd w:val="clear" w:color="auto" w:fill="EDEDED"/>
          </w:tcPr>
          <w:p>
            <w:pPr>
              <w:spacing w:after="0"/>
              <w:rPr>
                <w:sz w:val="19"/>
                <w:szCs w:val="19"/>
                <w:color w:val="auto"/>
              </w:rPr>
            </w:pPr>
          </w:p>
        </w:tc>
      </w:tr>
      <w:tr>
        <w:trPr>
          <w:trHeight w:val="203"/>
        </w:trPr>
        <w:tc>
          <w:tcPr>
            <w:tcW w:w="2400" w:type="dxa"/>
            <w:vAlign w:val="bottom"/>
            <w:shd w:val="clear" w:color="auto" w:fill="EDEDED"/>
          </w:tcPr>
          <w:p>
            <w:pPr>
              <w:spacing w:after="0"/>
              <w:rPr>
                <w:sz w:val="17"/>
                <w:szCs w:val="17"/>
                <w:color w:val="auto"/>
              </w:rPr>
            </w:pPr>
          </w:p>
        </w:tc>
        <w:tc>
          <w:tcPr>
            <w:tcW w:w="6040" w:type="dxa"/>
            <w:vAlign w:val="bottom"/>
            <w:shd w:val="clear" w:color="auto" w:fill="EDEDED"/>
          </w:tcPr>
          <w:p>
            <w:pPr>
              <w:ind w:left="260"/>
              <w:spacing w:after="0" w:line="202" w:lineRule="exact"/>
              <w:rPr>
                <w:sz w:val="20"/>
                <w:szCs w:val="20"/>
                <w:color w:val="auto"/>
              </w:rPr>
            </w:pPr>
            <w:r>
              <w:rPr>
                <w:rFonts w:ascii="Arial" w:cs="Arial" w:eastAsia="Arial" w:hAnsi="Arial"/>
                <w:sz w:val="18"/>
                <w:szCs w:val="18"/>
                <w:color w:val="001F5B"/>
              </w:rPr>
              <w:t>The Board recommends a vote “FOR” ratification of the appointment</w:t>
            </w:r>
          </w:p>
        </w:tc>
        <w:tc>
          <w:tcPr>
            <w:tcW w:w="2580" w:type="dxa"/>
            <w:vAlign w:val="bottom"/>
            <w:shd w:val="clear" w:color="auto" w:fill="EDEDED"/>
          </w:tcPr>
          <w:p>
            <w:pPr>
              <w:ind w:left="380"/>
              <w:spacing w:after="0" w:line="202" w:lineRule="exact"/>
              <w:rPr>
                <w:sz w:val="20"/>
                <w:szCs w:val="20"/>
                <w:color w:val="auto"/>
              </w:rPr>
            </w:pPr>
            <w:r>
              <w:rPr>
                <w:rFonts w:ascii="Arial" w:cs="Arial" w:eastAsia="Arial" w:hAnsi="Arial"/>
                <w:sz w:val="18"/>
                <w:szCs w:val="18"/>
                <w:color w:val="001F5B"/>
              </w:rPr>
              <w:t>See page 21 for</w:t>
            </w:r>
          </w:p>
        </w:tc>
      </w:tr>
      <w:tr>
        <w:trPr>
          <w:trHeight w:val="203"/>
        </w:trPr>
        <w:tc>
          <w:tcPr>
            <w:tcW w:w="2400" w:type="dxa"/>
            <w:vAlign w:val="bottom"/>
            <w:shd w:val="clear" w:color="auto" w:fill="EDEDED"/>
          </w:tcPr>
          <w:p>
            <w:pPr>
              <w:spacing w:after="0"/>
              <w:rPr>
                <w:sz w:val="17"/>
                <w:szCs w:val="17"/>
                <w:color w:val="auto"/>
              </w:rPr>
            </w:pPr>
          </w:p>
        </w:tc>
        <w:tc>
          <w:tcPr>
            <w:tcW w:w="6040" w:type="dxa"/>
            <w:vAlign w:val="bottom"/>
            <w:shd w:val="clear" w:color="auto" w:fill="EDEDED"/>
          </w:tcPr>
          <w:p>
            <w:pPr>
              <w:ind w:left="260"/>
              <w:spacing w:after="0" w:line="203" w:lineRule="exact"/>
              <w:rPr>
                <w:sz w:val="20"/>
                <w:szCs w:val="20"/>
                <w:color w:val="auto"/>
              </w:rPr>
            </w:pPr>
            <w:r>
              <w:rPr>
                <w:rFonts w:ascii="Arial" w:cs="Arial" w:eastAsia="Arial" w:hAnsi="Arial"/>
                <w:sz w:val="18"/>
                <w:szCs w:val="18"/>
                <w:color w:val="001F5B"/>
              </w:rPr>
              <w:t>of Deloitte &amp; Touche LLP as our independent registered public</w:t>
            </w:r>
          </w:p>
        </w:tc>
        <w:tc>
          <w:tcPr>
            <w:tcW w:w="2580" w:type="dxa"/>
            <w:vAlign w:val="bottom"/>
            <w:shd w:val="clear" w:color="auto" w:fill="EDEDED"/>
          </w:tcPr>
          <w:p>
            <w:pPr>
              <w:ind w:left="380"/>
              <w:spacing w:after="0" w:line="203" w:lineRule="exact"/>
              <w:rPr>
                <w:sz w:val="20"/>
                <w:szCs w:val="20"/>
                <w:color w:val="auto"/>
              </w:rPr>
            </w:pPr>
            <w:r>
              <w:rPr>
                <w:rFonts w:ascii="Arial" w:cs="Arial" w:eastAsia="Arial" w:hAnsi="Arial"/>
                <w:sz w:val="18"/>
                <w:szCs w:val="18"/>
                <w:color w:val="001F5B"/>
              </w:rPr>
              <w:t>further information.</w:t>
            </w:r>
          </w:p>
        </w:tc>
      </w:tr>
      <w:tr>
        <w:trPr>
          <w:trHeight w:val="217"/>
        </w:trPr>
        <w:tc>
          <w:tcPr>
            <w:tcW w:w="2400" w:type="dxa"/>
            <w:vAlign w:val="bottom"/>
            <w:shd w:val="clear" w:color="auto" w:fill="EDEDED"/>
          </w:tcPr>
          <w:p>
            <w:pPr>
              <w:spacing w:after="0"/>
              <w:rPr>
                <w:sz w:val="18"/>
                <w:szCs w:val="18"/>
                <w:color w:val="auto"/>
              </w:rPr>
            </w:pPr>
          </w:p>
        </w:tc>
        <w:tc>
          <w:tcPr>
            <w:tcW w:w="6040" w:type="dxa"/>
            <w:vAlign w:val="bottom"/>
            <w:shd w:val="clear" w:color="auto" w:fill="EDEDED"/>
          </w:tcPr>
          <w:p>
            <w:pPr>
              <w:ind w:left="260"/>
              <w:spacing w:after="0"/>
              <w:rPr>
                <w:sz w:val="20"/>
                <w:szCs w:val="20"/>
                <w:color w:val="auto"/>
              </w:rPr>
            </w:pPr>
            <w:r>
              <w:rPr>
                <w:rFonts w:ascii="Arial" w:cs="Arial" w:eastAsia="Arial" w:hAnsi="Arial"/>
                <w:sz w:val="18"/>
                <w:szCs w:val="18"/>
                <w:color w:val="001F5B"/>
              </w:rPr>
              <w:t>accounting firm for the fiscal year ending December 31, 2021.</w:t>
            </w:r>
          </w:p>
        </w:tc>
        <w:tc>
          <w:tcPr>
            <w:tcW w:w="2580" w:type="dxa"/>
            <w:vAlign w:val="bottom"/>
            <w:shd w:val="clear" w:color="auto" w:fill="EDEDED"/>
          </w:tcPr>
          <w:p>
            <w:pPr>
              <w:spacing w:after="0"/>
              <w:rPr>
                <w:sz w:val="18"/>
                <w:szCs w:val="18"/>
                <w:color w:val="auto"/>
              </w:rPr>
            </w:pPr>
          </w:p>
        </w:tc>
      </w:tr>
      <w:tr>
        <w:trPr>
          <w:trHeight w:val="377"/>
        </w:trPr>
        <w:tc>
          <w:tcPr>
            <w:tcW w:w="2400" w:type="dxa"/>
            <w:vAlign w:val="bottom"/>
            <w:shd w:val="clear" w:color="auto" w:fill="EDEDED"/>
          </w:tcPr>
          <w:p>
            <w:pPr>
              <w:spacing w:after="0"/>
              <w:rPr>
                <w:sz w:val="24"/>
                <w:szCs w:val="24"/>
                <w:color w:val="auto"/>
              </w:rPr>
            </w:pPr>
          </w:p>
        </w:tc>
        <w:tc>
          <w:tcPr>
            <w:tcW w:w="6040" w:type="dxa"/>
            <w:vAlign w:val="bottom"/>
            <w:shd w:val="clear" w:color="auto" w:fill="EDEDED"/>
          </w:tcPr>
          <w:p>
            <w:pPr>
              <w:spacing w:after="0"/>
              <w:rPr>
                <w:sz w:val="24"/>
                <w:szCs w:val="24"/>
                <w:color w:val="auto"/>
              </w:rPr>
            </w:pPr>
          </w:p>
        </w:tc>
        <w:tc>
          <w:tcPr>
            <w:tcW w:w="2580" w:type="dxa"/>
            <w:vAlign w:val="bottom"/>
            <w:shd w:val="clear" w:color="auto" w:fill="EDEDED"/>
          </w:tcPr>
          <w:p>
            <w:pPr>
              <w:spacing w:after="0"/>
              <w:rPr>
                <w:sz w:val="24"/>
                <w:szCs w:val="24"/>
                <w:color w:val="auto"/>
              </w:rPr>
            </w:pPr>
          </w:p>
        </w:tc>
      </w:tr>
      <w:tr>
        <w:trPr>
          <w:trHeight w:val="365"/>
        </w:trPr>
        <w:tc>
          <w:tcPr>
            <w:tcW w:w="2400" w:type="dxa"/>
            <w:vAlign w:val="bottom"/>
            <w:tcBorders>
              <w:bottom w:val="single" w:sz="8" w:color="00ADD8"/>
            </w:tcBorders>
          </w:tcPr>
          <w:p>
            <w:pPr>
              <w:spacing w:after="0"/>
              <w:rPr>
                <w:sz w:val="24"/>
                <w:szCs w:val="24"/>
                <w:color w:val="auto"/>
              </w:rPr>
            </w:pPr>
          </w:p>
        </w:tc>
        <w:tc>
          <w:tcPr>
            <w:tcW w:w="6040" w:type="dxa"/>
            <w:vAlign w:val="bottom"/>
            <w:tcBorders>
              <w:bottom w:val="single" w:sz="8" w:color="00ADD8"/>
            </w:tcBorders>
          </w:tcPr>
          <w:p>
            <w:pPr>
              <w:spacing w:after="0"/>
              <w:rPr>
                <w:sz w:val="24"/>
                <w:szCs w:val="24"/>
                <w:color w:val="auto"/>
              </w:rPr>
            </w:pPr>
          </w:p>
        </w:tc>
        <w:tc>
          <w:tcPr>
            <w:tcW w:w="2580" w:type="dxa"/>
            <w:vAlign w:val="bottom"/>
            <w:tcBorders>
              <w:bottom w:val="single" w:sz="8" w:color="00ADD8"/>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-1130935</wp:posOffset>
            </wp:positionV>
            <wp:extent cx="240030"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6995160" cy="925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92583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ind w:left="260"/>
              <w:spacing w:after="0"/>
              <w:rPr>
                <w:sz w:val="20"/>
                <w:szCs w:val="20"/>
                <w:color w:val="auto"/>
              </w:rPr>
            </w:pPr>
            <w:r>
              <w:rPr>
                <w:rFonts w:ascii="Arial" w:cs="Arial" w:eastAsia="Arial" w:hAnsi="Arial"/>
                <w:sz w:val="18"/>
                <w:szCs w:val="18"/>
                <w:b w:val="1"/>
                <w:bCs w:val="1"/>
                <w:color w:val="001F5B"/>
              </w:rPr>
              <w:t>Item 3</w:t>
            </w:r>
          </w:p>
        </w:tc>
        <w:tc>
          <w:tcPr>
            <w:tcW w:w="6000" w:type="dxa"/>
            <w:vAlign w:val="bottom"/>
            <w:shd w:val="clear" w:color="auto" w:fill="EDEDED"/>
          </w:tcPr>
          <w:p>
            <w:pPr>
              <w:ind w:left="260"/>
              <w:spacing w:after="0"/>
              <w:rPr>
                <w:sz w:val="20"/>
                <w:szCs w:val="20"/>
                <w:color w:val="auto"/>
              </w:rPr>
            </w:pPr>
            <w:r>
              <w:rPr>
                <w:rFonts w:ascii="Arial" w:cs="Arial" w:eastAsia="Arial" w:hAnsi="Arial"/>
                <w:sz w:val="18"/>
                <w:szCs w:val="18"/>
                <w:b w:val="1"/>
                <w:bCs w:val="1"/>
                <w:color w:val="001F5B"/>
              </w:rPr>
              <w:t>Advisory Vote on Executive Compensation</w:t>
            </w:r>
          </w:p>
        </w:tc>
        <w:tc>
          <w:tcPr>
            <w:tcW w:w="2620" w:type="dxa"/>
            <w:vAlign w:val="bottom"/>
            <w:shd w:val="clear" w:color="auto" w:fill="EDEDED"/>
          </w:tcPr>
          <w:p>
            <w:pPr>
              <w:spacing w:after="0"/>
              <w:rPr>
                <w:sz w:val="19"/>
                <w:szCs w:val="19"/>
                <w:color w:val="auto"/>
              </w:rPr>
            </w:pPr>
          </w:p>
        </w:tc>
      </w:tr>
      <w:tr>
        <w:trPr>
          <w:trHeight w:val="203"/>
        </w:trPr>
        <w:tc>
          <w:tcPr>
            <w:tcW w:w="2400" w:type="dxa"/>
            <w:vAlign w:val="bottom"/>
          </w:tcPr>
          <w:p>
            <w:pPr>
              <w:spacing w:after="0"/>
              <w:rPr>
                <w:sz w:val="17"/>
                <w:szCs w:val="17"/>
                <w:color w:val="auto"/>
              </w:rPr>
            </w:pPr>
          </w:p>
        </w:tc>
        <w:tc>
          <w:tcPr>
            <w:tcW w:w="6000" w:type="dxa"/>
            <w:vAlign w:val="bottom"/>
            <w:shd w:val="clear" w:color="auto" w:fill="EDEDED"/>
          </w:tcPr>
          <w:p>
            <w:pPr>
              <w:ind w:left="260"/>
              <w:spacing w:after="0" w:line="202" w:lineRule="exact"/>
              <w:rPr>
                <w:sz w:val="20"/>
                <w:szCs w:val="20"/>
                <w:color w:val="auto"/>
              </w:rPr>
            </w:pPr>
            <w:r>
              <w:rPr>
                <w:rFonts w:ascii="Arial" w:cs="Arial" w:eastAsia="Arial" w:hAnsi="Arial"/>
                <w:sz w:val="18"/>
                <w:szCs w:val="18"/>
                <w:color w:val="001F5B"/>
              </w:rPr>
              <w:t>The Board recommends a vote “FOR” the approval, on an advisory</w:t>
            </w:r>
          </w:p>
        </w:tc>
        <w:tc>
          <w:tcPr>
            <w:tcW w:w="2620" w:type="dxa"/>
            <w:vAlign w:val="bottom"/>
            <w:shd w:val="clear" w:color="auto" w:fill="EDEDED"/>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6000" w:type="dxa"/>
            <w:vAlign w:val="bottom"/>
            <w:shd w:val="clear" w:color="auto" w:fill="EDEDED"/>
          </w:tcPr>
          <w:p>
            <w:pPr>
              <w:ind w:left="260"/>
              <w:spacing w:after="0" w:line="202" w:lineRule="exact"/>
              <w:rPr>
                <w:sz w:val="20"/>
                <w:szCs w:val="20"/>
                <w:color w:val="auto"/>
              </w:rPr>
            </w:pPr>
            <w:r>
              <w:rPr>
                <w:rFonts w:ascii="Arial" w:cs="Arial" w:eastAsia="Arial" w:hAnsi="Arial"/>
                <w:sz w:val="18"/>
                <w:szCs w:val="18"/>
                <w:color w:val="001F5B"/>
              </w:rPr>
              <w:t>basis, of the compensation of the Company’s named executive</w:t>
            </w:r>
          </w:p>
        </w:tc>
        <w:tc>
          <w:tcPr>
            <w:tcW w:w="2620" w:type="dxa"/>
            <w:vAlign w:val="bottom"/>
            <w:shd w:val="clear" w:color="auto" w:fill="EDEDED"/>
          </w:tcPr>
          <w:p>
            <w:pPr>
              <w:ind w:left="420"/>
              <w:spacing w:after="0" w:line="202" w:lineRule="exact"/>
              <w:rPr>
                <w:sz w:val="20"/>
                <w:szCs w:val="20"/>
                <w:color w:val="auto"/>
              </w:rPr>
            </w:pPr>
            <w:r>
              <w:rPr>
                <w:rFonts w:ascii="Arial" w:cs="Arial" w:eastAsia="Arial" w:hAnsi="Arial"/>
                <w:sz w:val="18"/>
                <w:szCs w:val="18"/>
                <w:color w:val="001F5B"/>
              </w:rPr>
              <w:t>See page 25 for</w:t>
            </w:r>
          </w:p>
        </w:tc>
      </w:tr>
      <w:tr>
        <w:trPr>
          <w:trHeight w:val="257"/>
        </w:trPr>
        <w:tc>
          <w:tcPr>
            <w:tcW w:w="2400" w:type="dxa"/>
            <w:vAlign w:val="bottom"/>
          </w:tcPr>
          <w:p>
            <w:pPr>
              <w:spacing w:after="0"/>
              <w:rPr>
                <w:sz w:val="22"/>
                <w:szCs w:val="22"/>
                <w:color w:val="auto"/>
              </w:rPr>
            </w:pPr>
          </w:p>
        </w:tc>
        <w:tc>
          <w:tcPr>
            <w:tcW w:w="6000" w:type="dxa"/>
            <w:vAlign w:val="bottom"/>
            <w:shd w:val="clear" w:color="auto" w:fill="EDEDED"/>
          </w:tcPr>
          <w:p>
            <w:pPr>
              <w:ind w:left="260"/>
              <w:spacing w:after="0"/>
              <w:rPr>
                <w:sz w:val="20"/>
                <w:szCs w:val="20"/>
                <w:color w:val="auto"/>
              </w:rPr>
            </w:pPr>
            <w:r>
              <w:rPr>
                <w:rFonts w:ascii="Arial" w:cs="Arial" w:eastAsia="Arial" w:hAnsi="Arial"/>
                <w:sz w:val="18"/>
                <w:szCs w:val="18"/>
                <w:color w:val="001F5B"/>
              </w:rPr>
              <w:t>officers.</w:t>
            </w:r>
          </w:p>
        </w:tc>
        <w:tc>
          <w:tcPr>
            <w:tcW w:w="2620" w:type="dxa"/>
            <w:vAlign w:val="bottom"/>
            <w:shd w:val="clear" w:color="auto" w:fill="EDEDED"/>
          </w:tcPr>
          <w:p>
            <w:pPr>
              <w:ind w:left="420"/>
              <w:spacing w:after="0"/>
              <w:rPr>
                <w:sz w:val="20"/>
                <w:szCs w:val="20"/>
                <w:color w:val="auto"/>
              </w:rPr>
            </w:pPr>
            <w:r>
              <w:rPr>
                <w:rFonts w:ascii="Arial" w:cs="Arial" w:eastAsia="Arial" w:hAnsi="Arial"/>
                <w:sz w:val="18"/>
                <w:szCs w:val="18"/>
                <w:color w:val="001F5B"/>
              </w:rPr>
              <w:t>further information.</w:t>
            </w:r>
          </w:p>
        </w:tc>
      </w:tr>
      <w:tr>
        <w:trPr>
          <w:trHeight w:val="337"/>
        </w:trPr>
        <w:tc>
          <w:tcPr>
            <w:tcW w:w="2400" w:type="dxa"/>
            <w:vAlign w:val="bottom"/>
          </w:tcPr>
          <w:p>
            <w:pPr>
              <w:spacing w:after="0"/>
              <w:rPr>
                <w:sz w:val="24"/>
                <w:szCs w:val="24"/>
                <w:color w:val="auto"/>
              </w:rPr>
            </w:pPr>
          </w:p>
        </w:tc>
        <w:tc>
          <w:tcPr>
            <w:tcW w:w="6000" w:type="dxa"/>
            <w:vAlign w:val="bottom"/>
            <w:shd w:val="clear" w:color="auto" w:fill="EDEDED"/>
          </w:tcPr>
          <w:p>
            <w:pPr>
              <w:spacing w:after="0"/>
              <w:rPr>
                <w:sz w:val="24"/>
                <w:szCs w:val="24"/>
                <w:color w:val="auto"/>
              </w:rPr>
            </w:pPr>
          </w:p>
        </w:tc>
        <w:tc>
          <w:tcPr>
            <w:tcW w:w="2620" w:type="dxa"/>
            <w:vAlign w:val="bottom"/>
            <w:shd w:val="clear" w:color="auto" w:fill="EDEDED"/>
          </w:tcPr>
          <w:p>
            <w:pPr>
              <w:spacing w:after="0"/>
              <w:rPr>
                <w:sz w:val="24"/>
                <w:szCs w:val="24"/>
                <w:color w:val="auto"/>
              </w:rPr>
            </w:pPr>
          </w:p>
        </w:tc>
      </w:tr>
      <w:tr>
        <w:trPr>
          <w:trHeight w:val="392"/>
        </w:trPr>
        <w:tc>
          <w:tcPr>
            <w:tcW w:w="2400" w:type="dxa"/>
            <w:vAlign w:val="bottom"/>
            <w:tcBorders>
              <w:bottom w:val="single" w:sz="8" w:color="00ADD8"/>
            </w:tcBorders>
          </w:tcPr>
          <w:p>
            <w:pPr>
              <w:spacing w:after="0"/>
              <w:rPr>
                <w:sz w:val="24"/>
                <w:szCs w:val="24"/>
                <w:color w:val="auto"/>
              </w:rPr>
            </w:pPr>
          </w:p>
        </w:tc>
        <w:tc>
          <w:tcPr>
            <w:tcW w:w="6000" w:type="dxa"/>
            <w:vAlign w:val="bottom"/>
            <w:tcBorders>
              <w:bottom w:val="single" w:sz="8" w:color="00ADD8"/>
            </w:tcBorders>
          </w:tcPr>
          <w:p>
            <w:pPr>
              <w:spacing w:after="0"/>
              <w:rPr>
                <w:sz w:val="24"/>
                <w:szCs w:val="24"/>
                <w:color w:val="auto"/>
              </w:rPr>
            </w:pPr>
          </w:p>
        </w:tc>
        <w:tc>
          <w:tcPr>
            <w:tcW w:w="2620" w:type="dxa"/>
            <w:vAlign w:val="bottom"/>
            <w:tcBorders>
              <w:bottom w:val="single" w:sz="8" w:color="00ADD8"/>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995160" cy="1062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ind w:left="260"/>
              <w:spacing w:after="0"/>
              <w:rPr>
                <w:sz w:val="20"/>
                <w:szCs w:val="20"/>
                <w:color w:val="auto"/>
              </w:rPr>
            </w:pPr>
            <w:r>
              <w:rPr>
                <w:rFonts w:ascii="Arial" w:cs="Arial" w:eastAsia="Arial" w:hAnsi="Arial"/>
                <w:sz w:val="18"/>
                <w:szCs w:val="18"/>
                <w:b w:val="1"/>
                <w:bCs w:val="1"/>
                <w:color w:val="001F5B"/>
              </w:rPr>
              <w:t>Item 4</w:t>
            </w:r>
          </w:p>
        </w:tc>
        <w:tc>
          <w:tcPr>
            <w:tcW w:w="6040" w:type="dxa"/>
            <w:vAlign w:val="bottom"/>
            <w:shd w:val="clear" w:color="auto" w:fill="EDEDED"/>
          </w:tcPr>
          <w:p>
            <w:pPr>
              <w:ind w:left="260"/>
              <w:spacing w:after="0"/>
              <w:rPr>
                <w:sz w:val="20"/>
                <w:szCs w:val="20"/>
                <w:color w:val="auto"/>
              </w:rPr>
            </w:pPr>
            <w:r>
              <w:rPr>
                <w:rFonts w:ascii="Arial" w:cs="Arial" w:eastAsia="Arial" w:hAnsi="Arial"/>
                <w:sz w:val="18"/>
                <w:szCs w:val="18"/>
                <w:b w:val="1"/>
                <w:bCs w:val="1"/>
                <w:color w:val="001F5B"/>
              </w:rPr>
              <w:t>Advisory Vote on Frequency of Future Advisory Votes on</w:t>
            </w:r>
          </w:p>
        </w:tc>
        <w:tc>
          <w:tcPr>
            <w:tcW w:w="2580" w:type="dxa"/>
            <w:vAlign w:val="bottom"/>
            <w:shd w:val="clear" w:color="auto" w:fill="EDEDED"/>
          </w:tcPr>
          <w:p>
            <w:pPr>
              <w:spacing w:after="0"/>
              <w:rPr>
                <w:sz w:val="18"/>
                <w:szCs w:val="18"/>
                <w:color w:val="auto"/>
              </w:rPr>
            </w:pPr>
          </w:p>
        </w:tc>
      </w:tr>
      <w:tr>
        <w:trPr>
          <w:trHeight w:val="225"/>
        </w:trPr>
        <w:tc>
          <w:tcPr>
            <w:tcW w:w="2400" w:type="dxa"/>
            <w:vAlign w:val="bottom"/>
          </w:tcPr>
          <w:p>
            <w:pPr>
              <w:spacing w:after="0"/>
              <w:rPr>
                <w:sz w:val="19"/>
                <w:szCs w:val="19"/>
                <w:color w:val="auto"/>
              </w:rPr>
            </w:pPr>
          </w:p>
        </w:tc>
        <w:tc>
          <w:tcPr>
            <w:tcW w:w="6040" w:type="dxa"/>
            <w:vAlign w:val="bottom"/>
            <w:shd w:val="clear" w:color="auto" w:fill="EDEDED"/>
          </w:tcPr>
          <w:p>
            <w:pPr>
              <w:ind w:left="260"/>
              <w:spacing w:after="0"/>
              <w:rPr>
                <w:sz w:val="20"/>
                <w:szCs w:val="20"/>
                <w:color w:val="auto"/>
              </w:rPr>
            </w:pPr>
            <w:r>
              <w:rPr>
                <w:rFonts w:ascii="Arial" w:cs="Arial" w:eastAsia="Arial" w:hAnsi="Arial"/>
                <w:sz w:val="18"/>
                <w:szCs w:val="18"/>
                <w:b w:val="1"/>
                <w:bCs w:val="1"/>
                <w:color w:val="001F5B"/>
              </w:rPr>
              <w:t>Executive Compensation</w:t>
            </w:r>
          </w:p>
        </w:tc>
        <w:tc>
          <w:tcPr>
            <w:tcW w:w="2580" w:type="dxa"/>
            <w:vAlign w:val="bottom"/>
            <w:shd w:val="clear" w:color="auto" w:fill="EDEDED"/>
          </w:tcPr>
          <w:p>
            <w:pPr>
              <w:spacing w:after="0"/>
              <w:rPr>
                <w:sz w:val="19"/>
                <w:szCs w:val="19"/>
                <w:color w:val="auto"/>
              </w:rPr>
            </w:pPr>
          </w:p>
        </w:tc>
      </w:tr>
      <w:tr>
        <w:trPr>
          <w:trHeight w:val="203"/>
        </w:trPr>
        <w:tc>
          <w:tcPr>
            <w:tcW w:w="2400" w:type="dxa"/>
            <w:vAlign w:val="bottom"/>
          </w:tcPr>
          <w:p>
            <w:pPr>
              <w:spacing w:after="0"/>
              <w:rPr>
                <w:sz w:val="17"/>
                <w:szCs w:val="17"/>
                <w:color w:val="auto"/>
              </w:rPr>
            </w:pPr>
          </w:p>
        </w:tc>
        <w:tc>
          <w:tcPr>
            <w:tcW w:w="6040" w:type="dxa"/>
            <w:vAlign w:val="bottom"/>
            <w:shd w:val="clear" w:color="auto" w:fill="EDEDED"/>
          </w:tcPr>
          <w:p>
            <w:pPr>
              <w:ind w:left="260"/>
              <w:spacing w:after="0" w:line="203" w:lineRule="exact"/>
              <w:rPr>
                <w:sz w:val="20"/>
                <w:szCs w:val="20"/>
                <w:color w:val="auto"/>
              </w:rPr>
            </w:pPr>
            <w:r>
              <w:rPr>
                <w:rFonts w:ascii="Arial" w:cs="Arial" w:eastAsia="Arial" w:hAnsi="Arial"/>
                <w:sz w:val="18"/>
                <w:szCs w:val="18"/>
                <w:color w:val="001F5B"/>
              </w:rPr>
              <w:t>The Board recommends a vote “THREE YEAR” for the frequency</w:t>
            </w:r>
          </w:p>
        </w:tc>
        <w:tc>
          <w:tcPr>
            <w:tcW w:w="2580" w:type="dxa"/>
            <w:vAlign w:val="bottom"/>
            <w:shd w:val="clear" w:color="auto" w:fill="EDEDED"/>
          </w:tcPr>
          <w:p>
            <w:pPr>
              <w:ind w:left="380"/>
              <w:spacing w:after="0" w:line="203" w:lineRule="exact"/>
              <w:rPr>
                <w:sz w:val="20"/>
                <w:szCs w:val="20"/>
                <w:color w:val="auto"/>
              </w:rPr>
            </w:pPr>
            <w:r>
              <w:rPr>
                <w:rFonts w:ascii="Arial" w:cs="Arial" w:eastAsia="Arial" w:hAnsi="Arial"/>
                <w:sz w:val="18"/>
                <w:szCs w:val="18"/>
                <w:color w:val="001F5B"/>
              </w:rPr>
              <w:t>See page 26 for</w:t>
            </w:r>
          </w:p>
        </w:tc>
      </w:tr>
      <w:tr>
        <w:trPr>
          <w:trHeight w:val="203"/>
        </w:trPr>
        <w:tc>
          <w:tcPr>
            <w:tcW w:w="2400" w:type="dxa"/>
            <w:vAlign w:val="bottom"/>
          </w:tcPr>
          <w:p>
            <w:pPr>
              <w:spacing w:after="0"/>
              <w:rPr>
                <w:sz w:val="17"/>
                <w:szCs w:val="17"/>
                <w:color w:val="auto"/>
              </w:rPr>
            </w:pPr>
          </w:p>
        </w:tc>
        <w:tc>
          <w:tcPr>
            <w:tcW w:w="6040" w:type="dxa"/>
            <w:vAlign w:val="bottom"/>
            <w:shd w:val="clear" w:color="auto" w:fill="EDEDED"/>
          </w:tcPr>
          <w:p>
            <w:pPr>
              <w:ind w:left="260"/>
              <w:spacing w:after="0" w:line="202" w:lineRule="exact"/>
              <w:rPr>
                <w:sz w:val="20"/>
                <w:szCs w:val="20"/>
                <w:color w:val="auto"/>
              </w:rPr>
            </w:pPr>
            <w:r>
              <w:rPr>
                <w:rFonts w:ascii="Arial" w:cs="Arial" w:eastAsia="Arial" w:hAnsi="Arial"/>
                <w:sz w:val="18"/>
                <w:szCs w:val="18"/>
                <w:color w:val="001F5B"/>
              </w:rPr>
              <w:t>with which stockholders of the Company shall be entitled to have an</w:t>
            </w:r>
          </w:p>
        </w:tc>
        <w:tc>
          <w:tcPr>
            <w:tcW w:w="2580" w:type="dxa"/>
            <w:vAlign w:val="bottom"/>
            <w:shd w:val="clear" w:color="auto" w:fill="EDEDED"/>
          </w:tcPr>
          <w:p>
            <w:pPr>
              <w:ind w:left="380"/>
              <w:spacing w:after="0" w:line="202" w:lineRule="exact"/>
              <w:rPr>
                <w:sz w:val="20"/>
                <w:szCs w:val="20"/>
                <w:color w:val="auto"/>
              </w:rPr>
            </w:pPr>
            <w:r>
              <w:rPr>
                <w:rFonts w:ascii="Arial" w:cs="Arial" w:eastAsia="Arial" w:hAnsi="Arial"/>
                <w:sz w:val="18"/>
                <w:szCs w:val="18"/>
                <w:color w:val="001F5B"/>
              </w:rPr>
              <w:t>further information.</w:t>
            </w:r>
          </w:p>
        </w:tc>
      </w:tr>
      <w:tr>
        <w:trPr>
          <w:trHeight w:val="217"/>
        </w:trPr>
        <w:tc>
          <w:tcPr>
            <w:tcW w:w="2400" w:type="dxa"/>
            <w:vAlign w:val="bottom"/>
          </w:tcPr>
          <w:p>
            <w:pPr>
              <w:spacing w:after="0"/>
              <w:rPr>
                <w:sz w:val="18"/>
                <w:szCs w:val="18"/>
                <w:color w:val="auto"/>
              </w:rPr>
            </w:pPr>
          </w:p>
        </w:tc>
        <w:tc>
          <w:tcPr>
            <w:tcW w:w="6040" w:type="dxa"/>
            <w:vAlign w:val="bottom"/>
            <w:shd w:val="clear" w:color="auto" w:fill="EDEDED"/>
          </w:tcPr>
          <w:p>
            <w:pPr>
              <w:ind w:left="260"/>
              <w:spacing w:after="0"/>
              <w:rPr>
                <w:sz w:val="20"/>
                <w:szCs w:val="20"/>
                <w:color w:val="auto"/>
              </w:rPr>
            </w:pPr>
            <w:r>
              <w:rPr>
                <w:rFonts w:ascii="Arial" w:cs="Arial" w:eastAsia="Arial" w:hAnsi="Arial"/>
                <w:sz w:val="18"/>
                <w:szCs w:val="18"/>
                <w:color w:val="001F5B"/>
              </w:rPr>
              <w:t>advisory vote on executive compensation.</w:t>
            </w:r>
          </w:p>
        </w:tc>
        <w:tc>
          <w:tcPr>
            <w:tcW w:w="2580" w:type="dxa"/>
            <w:vAlign w:val="bottom"/>
            <w:shd w:val="clear" w:color="auto" w:fill="EDEDED"/>
          </w:tcPr>
          <w:p>
            <w:pPr>
              <w:spacing w:after="0"/>
              <w:rPr>
                <w:sz w:val="18"/>
                <w:szCs w:val="18"/>
                <w:color w:val="auto"/>
              </w:rPr>
            </w:pPr>
          </w:p>
        </w:tc>
      </w:tr>
      <w:tr>
        <w:trPr>
          <w:trHeight w:val="391"/>
        </w:trPr>
        <w:tc>
          <w:tcPr>
            <w:tcW w:w="2400" w:type="dxa"/>
            <w:vAlign w:val="bottom"/>
          </w:tcPr>
          <w:p>
            <w:pPr>
              <w:spacing w:after="0"/>
              <w:rPr>
                <w:sz w:val="24"/>
                <w:szCs w:val="24"/>
                <w:color w:val="auto"/>
              </w:rPr>
            </w:pPr>
          </w:p>
        </w:tc>
        <w:tc>
          <w:tcPr>
            <w:tcW w:w="6040" w:type="dxa"/>
            <w:vAlign w:val="bottom"/>
            <w:shd w:val="clear" w:color="auto" w:fill="EDEDED"/>
          </w:tcPr>
          <w:p>
            <w:pPr>
              <w:spacing w:after="0"/>
              <w:rPr>
                <w:sz w:val="24"/>
                <w:szCs w:val="24"/>
                <w:color w:val="auto"/>
              </w:rPr>
            </w:pPr>
          </w:p>
        </w:tc>
        <w:tc>
          <w:tcPr>
            <w:tcW w:w="2580" w:type="dxa"/>
            <w:vAlign w:val="bottom"/>
            <w:shd w:val="clear" w:color="auto" w:fill="EDEDED"/>
          </w:tcPr>
          <w:p>
            <w:pPr>
              <w:spacing w:after="0"/>
              <w:rPr>
                <w:sz w:val="24"/>
                <w:szCs w:val="24"/>
                <w:color w:val="auto"/>
              </w:rPr>
            </w:pPr>
          </w:p>
        </w:tc>
      </w:tr>
      <w:tr>
        <w:trPr>
          <w:trHeight w:val="162"/>
        </w:trPr>
        <w:tc>
          <w:tcPr>
            <w:tcW w:w="240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r>
      <w:tr>
        <w:trPr>
          <w:trHeight w:val="271"/>
        </w:trPr>
        <w:tc>
          <w:tcPr>
            <w:tcW w:w="2400" w:type="dxa"/>
            <w:vAlign w:val="bottom"/>
          </w:tcPr>
          <w:p>
            <w:pPr>
              <w:spacing w:after="0"/>
              <w:rPr>
                <w:sz w:val="20"/>
                <w:szCs w:val="20"/>
                <w:color w:val="auto"/>
              </w:rPr>
            </w:pPr>
            <w:r>
              <w:rPr>
                <w:rFonts w:ascii="Arial" w:cs="Arial" w:eastAsia="Arial" w:hAnsi="Arial"/>
                <w:sz w:val="14"/>
                <w:szCs w:val="14"/>
                <w:color w:val="00ADD8"/>
              </w:rPr>
              <w:t>2021 Proxy Statement</w:t>
            </w:r>
          </w:p>
        </w:tc>
        <w:tc>
          <w:tcPr>
            <w:tcW w:w="6040" w:type="dxa"/>
            <w:vAlign w:val="bottom"/>
          </w:tcPr>
          <w:p>
            <w:pPr>
              <w:spacing w:after="0"/>
              <w:rPr>
                <w:sz w:val="23"/>
                <w:szCs w:val="23"/>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020"/>
          </w:cols>
          <w:pgMar w:left="440" w:top="1327" w:right="439" w:bottom="1440" w:gutter="0" w:footer="0" w:header="0"/>
        </w:sectPr>
      </w:pPr>
    </w:p>
    <w:bookmarkStart w:id="6" w:name="page7"/>
    <w:bookmarkEnd w:id="6"/>
    <w:p>
      <w:pPr>
        <w:spacing w:after="0"/>
        <w:rPr>
          <w:sz w:val="20"/>
          <w:szCs w:val="20"/>
          <w:color w:val="auto"/>
        </w:rPr>
      </w:pPr>
      <w:r>
        <w:rPr>
          <w:rFonts w:ascii="Arial" w:cs="Arial" w:eastAsia="Arial" w:hAnsi="Arial"/>
          <w:sz w:val="47"/>
          <w:szCs w:val="47"/>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Tradeweb Markets Inc.</w:t>
      </w:r>
    </w:p>
    <w:p>
      <w:pPr>
        <w:spacing w:after="0" w:line="14" w:lineRule="exact"/>
        <w:rPr>
          <w:sz w:val="20"/>
          <w:szCs w:val="20"/>
          <w:color w:val="auto"/>
        </w:rPr>
      </w:pPr>
    </w:p>
    <w:p>
      <w:pPr>
        <w:spacing w:after="0"/>
        <w:rPr>
          <w:sz w:val="20"/>
          <w:szCs w:val="20"/>
          <w:color w:val="auto"/>
        </w:rPr>
      </w:pPr>
      <w:r>
        <w:rPr>
          <w:rFonts w:ascii="Arial" w:cs="Arial" w:eastAsia="Arial" w:hAnsi="Arial"/>
          <w:sz w:val="47"/>
          <w:szCs w:val="47"/>
          <w:color w:val="00ADD8"/>
        </w:rPr>
        <w:t>Proxy Statement</w:t>
      </w:r>
    </w:p>
    <w:p>
      <w:pPr>
        <w:spacing w:after="0"/>
        <w:rPr>
          <w:sz w:val="20"/>
          <w:szCs w:val="20"/>
          <w:color w:val="auto"/>
        </w:rPr>
      </w:pPr>
      <w:r>
        <w:rPr>
          <w:rFonts w:ascii="Arial" w:cs="Arial" w:eastAsia="Arial" w:hAnsi="Arial"/>
          <w:sz w:val="47"/>
          <w:szCs w:val="47"/>
          <w:color w:val="00ADD8"/>
        </w:rPr>
        <w:t>Annual Meeting of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color w:val="00ADD8"/>
        </w:rPr>
        <w:t>To Be Held on Tuesday, May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80022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02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enclosed proxy is solicited by the Board of Directors (the “Board”) of Tradeweb Markets Inc. (“Tradeweb” or the “Company”) for use at the Annual Meeting of Stockholders (the “Annual Meeting”) to be held virtually at 12:15 p.m., Eastern Time, on Tuesday, May 11, 2021, at www.virtualshareholdermeeting.com/TW2021 and at any adjournment or postponement thereof. Our principal offices are located at 1177 Avenue of the Americas, New York, New York 10036. This Proxy Statement is first being made available to our stockholders on or about March 30, 2021. 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ADD8"/>
        </w:rPr>
        <w:t>Outstanding Securities and Quorum</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Only holders of record of our Class A common stock, Class B common stock, Class C common stock and Class D common stock (each such designation having par value $0.00001 per share) at the close of business on March 15, 2021, the record date, will be entitled to notice of, and to vote at, the Annual Meeting. On that date, we had 104,148,335 shares of Class A common stock outstanding and entitled to vote, 96,933,192 shares of Class B common stock outstanding and entitled to vote, 1,654,825 shares of Class C common stock outstanding and entitled to vote and 28,877,108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5"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ten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ind w:right="145"/>
              <w:spacing w:after="0"/>
              <w:rPr>
                <w:sz w:val="20"/>
                <w:szCs w:val="20"/>
                <w:color w:val="auto"/>
              </w:rPr>
            </w:pPr>
            <w:r>
              <w:rPr>
                <w:rFonts w:ascii="Arial" w:cs="Arial" w:eastAsia="Arial" w:hAnsi="Arial"/>
                <w:sz w:val="13"/>
                <w:szCs w:val="13"/>
                <w:color w:val="auto"/>
              </w:rPr>
              <w:t>Economic</w:t>
            </w:r>
          </w:p>
        </w:tc>
      </w:tr>
      <w:tr>
        <w:trPr>
          <w:trHeight w:val="161"/>
        </w:trPr>
        <w:tc>
          <w:tcPr>
            <w:tcW w:w="84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Class of Common Stock</w:t>
            </w: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color w:val="auto"/>
              </w:rPr>
              <w:t>Par Value</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Votes</w:t>
            </w:r>
          </w:p>
        </w:tc>
        <w:tc>
          <w:tcPr>
            <w:tcW w:w="8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color w:val="auto"/>
              </w:rPr>
              <w:t>Rights</w:t>
            </w:r>
          </w:p>
        </w:tc>
      </w:tr>
      <w:tr>
        <w:trPr>
          <w:trHeight w:val="245"/>
        </w:trPr>
        <w:tc>
          <w:tcPr>
            <w:tcW w:w="8440" w:type="dxa"/>
            <w:vAlign w:val="bottom"/>
            <w:shd w:val="clear" w:color="auto" w:fill="CCEEF7"/>
          </w:tcPr>
          <w:p>
            <w:pPr>
              <w:ind w:left="60"/>
              <w:spacing w:after="0"/>
              <w:rPr>
                <w:sz w:val="20"/>
                <w:szCs w:val="20"/>
                <w:color w:val="auto"/>
              </w:rPr>
            </w:pPr>
            <w:r>
              <w:rPr>
                <w:rFonts w:ascii="Arial" w:cs="Arial" w:eastAsia="Arial" w:hAnsi="Arial"/>
                <w:sz w:val="16"/>
                <w:szCs w:val="16"/>
                <w:color w:val="auto"/>
              </w:rPr>
              <w:t>Class A common stock</w:t>
            </w:r>
          </w:p>
        </w:tc>
        <w:tc>
          <w:tcPr>
            <w:tcW w:w="1220" w:type="dxa"/>
            <w:vAlign w:val="bottom"/>
            <w:shd w:val="clear" w:color="auto" w:fill="CCEEF7"/>
          </w:tcPr>
          <w:p>
            <w:pPr>
              <w:jc w:val="right"/>
              <w:ind w:right="123"/>
              <w:spacing w:after="0"/>
              <w:rPr>
                <w:sz w:val="20"/>
                <w:szCs w:val="20"/>
                <w:color w:val="auto"/>
              </w:rPr>
            </w:pPr>
            <w:r>
              <w:rPr>
                <w:rFonts w:ascii="Arial" w:cs="Arial" w:eastAsia="Arial" w:hAnsi="Arial"/>
                <w:sz w:val="16"/>
                <w:szCs w:val="16"/>
                <w:color w:val="auto"/>
              </w:rPr>
              <w:t>$0.00001</w:t>
            </w:r>
          </w:p>
        </w:tc>
        <w:tc>
          <w:tcPr>
            <w:tcW w:w="540" w:type="dxa"/>
            <w:vAlign w:val="bottom"/>
            <w:shd w:val="clear" w:color="auto" w:fill="CCEEF7"/>
          </w:tcPr>
          <w:p>
            <w:pPr>
              <w:jc w:val="right"/>
              <w:ind w:right="3"/>
              <w:spacing w:after="0"/>
              <w:rPr>
                <w:sz w:val="20"/>
                <w:szCs w:val="20"/>
                <w:color w:val="auto"/>
              </w:rPr>
            </w:pPr>
            <w:r>
              <w:rPr>
                <w:rFonts w:ascii="Arial" w:cs="Arial" w:eastAsia="Arial" w:hAnsi="Arial"/>
                <w:sz w:val="16"/>
                <w:szCs w:val="16"/>
                <w:color w:val="auto"/>
              </w:rPr>
              <w:t>1</w:t>
            </w:r>
          </w:p>
        </w:tc>
        <w:tc>
          <w:tcPr>
            <w:tcW w:w="820" w:type="dxa"/>
            <w:vAlign w:val="bottom"/>
            <w:shd w:val="clear" w:color="auto" w:fill="CCEEF7"/>
          </w:tcPr>
          <w:p>
            <w:pPr>
              <w:jc w:val="right"/>
              <w:ind w:right="145"/>
              <w:spacing w:after="0"/>
              <w:rPr>
                <w:sz w:val="20"/>
                <w:szCs w:val="20"/>
                <w:color w:val="auto"/>
              </w:rPr>
            </w:pPr>
            <w:r>
              <w:rPr>
                <w:rFonts w:ascii="Arial" w:cs="Arial" w:eastAsia="Arial" w:hAnsi="Arial"/>
                <w:sz w:val="16"/>
                <w:szCs w:val="16"/>
                <w:color w:val="auto"/>
              </w:rPr>
              <w:t>Yes</w:t>
            </w:r>
          </w:p>
        </w:tc>
      </w:tr>
      <w:tr>
        <w:trPr>
          <w:trHeight w:val="60"/>
        </w:trPr>
        <w:tc>
          <w:tcPr>
            <w:tcW w:w="8440" w:type="dxa"/>
            <w:vAlign w:val="bottom"/>
            <w:shd w:val="clear" w:color="auto" w:fill="CCEEF7"/>
          </w:tcPr>
          <w:p>
            <w:pPr>
              <w:spacing w:after="0"/>
              <w:rPr>
                <w:sz w:val="5"/>
                <w:szCs w:val="5"/>
                <w:color w:val="auto"/>
              </w:rPr>
            </w:pPr>
          </w:p>
        </w:tc>
        <w:tc>
          <w:tcPr>
            <w:tcW w:w="1220" w:type="dxa"/>
            <w:vAlign w:val="bottom"/>
            <w:shd w:val="clear" w:color="auto" w:fill="CCEEF7"/>
          </w:tcPr>
          <w:p>
            <w:pPr>
              <w:spacing w:after="0"/>
              <w:rPr>
                <w:sz w:val="5"/>
                <w:szCs w:val="5"/>
                <w:color w:val="auto"/>
              </w:rPr>
            </w:pPr>
          </w:p>
        </w:tc>
        <w:tc>
          <w:tcPr>
            <w:tcW w:w="540" w:type="dxa"/>
            <w:vAlign w:val="bottom"/>
            <w:shd w:val="clear" w:color="auto" w:fill="CCEEF7"/>
          </w:tcPr>
          <w:p>
            <w:pPr>
              <w:spacing w:after="0"/>
              <w:rPr>
                <w:sz w:val="5"/>
                <w:szCs w:val="5"/>
                <w:color w:val="auto"/>
              </w:rPr>
            </w:pPr>
          </w:p>
        </w:tc>
        <w:tc>
          <w:tcPr>
            <w:tcW w:w="820" w:type="dxa"/>
            <w:vAlign w:val="bottom"/>
            <w:shd w:val="clear" w:color="auto" w:fill="CCEEF7"/>
          </w:tcPr>
          <w:p>
            <w:pPr>
              <w:spacing w:after="0"/>
              <w:rPr>
                <w:sz w:val="5"/>
                <w:szCs w:val="5"/>
                <w:color w:val="auto"/>
              </w:rPr>
            </w:pPr>
          </w:p>
        </w:tc>
      </w:tr>
      <w:tr>
        <w:trPr>
          <w:trHeight w:val="264"/>
        </w:trPr>
        <w:tc>
          <w:tcPr>
            <w:tcW w:w="8440" w:type="dxa"/>
            <w:vAlign w:val="bottom"/>
          </w:tcPr>
          <w:p>
            <w:pPr>
              <w:ind w:left="60"/>
              <w:spacing w:after="0"/>
              <w:rPr>
                <w:sz w:val="20"/>
                <w:szCs w:val="20"/>
                <w:color w:val="auto"/>
              </w:rPr>
            </w:pPr>
            <w:r>
              <w:rPr>
                <w:rFonts w:ascii="Arial" w:cs="Arial" w:eastAsia="Arial" w:hAnsi="Arial"/>
                <w:sz w:val="16"/>
                <w:szCs w:val="16"/>
                <w:color w:val="auto"/>
              </w:rPr>
              <w:t>Class B common stock</w:t>
            </w: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$0.00001</w:t>
            </w: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820" w:type="dxa"/>
            <w:vAlign w:val="bottom"/>
          </w:tcPr>
          <w:p>
            <w:pPr>
              <w:jc w:val="right"/>
              <w:ind w:right="145"/>
              <w:spacing w:after="0"/>
              <w:rPr>
                <w:sz w:val="20"/>
                <w:szCs w:val="20"/>
                <w:color w:val="auto"/>
              </w:rPr>
            </w:pPr>
            <w:r>
              <w:rPr>
                <w:rFonts w:ascii="Arial" w:cs="Arial" w:eastAsia="Arial" w:hAnsi="Arial"/>
                <w:sz w:val="16"/>
                <w:szCs w:val="16"/>
                <w:color w:val="auto"/>
              </w:rPr>
              <w:t>Yes</w:t>
            </w:r>
          </w:p>
        </w:tc>
      </w:tr>
      <w:tr>
        <w:trPr>
          <w:trHeight w:val="60"/>
        </w:trPr>
        <w:tc>
          <w:tcPr>
            <w:tcW w:w="8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304"/>
        </w:trPr>
        <w:tc>
          <w:tcPr>
            <w:tcW w:w="84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Class C common stock</w:t>
            </w:r>
          </w:p>
        </w:tc>
        <w:tc>
          <w:tcPr>
            <w:tcW w:w="1220" w:type="dxa"/>
            <w:vAlign w:val="bottom"/>
            <w:tcBorders>
              <w:bottom w:val="single" w:sz="8" w:color="CCEEF7"/>
            </w:tcBorders>
            <w:shd w:val="clear" w:color="auto" w:fill="CCEEF7"/>
          </w:tcPr>
          <w:p>
            <w:pPr>
              <w:jc w:val="right"/>
              <w:ind w:right="123"/>
              <w:spacing w:after="0"/>
              <w:rPr>
                <w:sz w:val="20"/>
                <w:szCs w:val="20"/>
                <w:color w:val="auto"/>
              </w:rPr>
            </w:pPr>
            <w:r>
              <w:rPr>
                <w:rFonts w:ascii="Arial" w:cs="Arial" w:eastAsia="Arial" w:hAnsi="Arial"/>
                <w:sz w:val="16"/>
                <w:szCs w:val="16"/>
                <w:color w:val="auto"/>
              </w:rPr>
              <w:t>$0.00001</w:t>
            </w:r>
          </w:p>
        </w:tc>
        <w:tc>
          <w:tcPr>
            <w:tcW w:w="540" w:type="dxa"/>
            <w:vAlign w:val="bottom"/>
            <w:tcBorders>
              <w:bottom w:val="single" w:sz="8" w:color="CCEEF7"/>
            </w:tcBorders>
            <w:shd w:val="clear" w:color="auto" w:fill="CCEEF7"/>
          </w:tcPr>
          <w:p>
            <w:pPr>
              <w:jc w:val="right"/>
              <w:ind w:right="3"/>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CCEEF7"/>
            </w:tcBorders>
            <w:shd w:val="clear" w:color="auto" w:fill="CCEEF7"/>
          </w:tcPr>
          <w:p>
            <w:pPr>
              <w:jc w:val="right"/>
              <w:ind w:right="145"/>
              <w:spacing w:after="0"/>
              <w:rPr>
                <w:sz w:val="20"/>
                <w:szCs w:val="20"/>
                <w:color w:val="auto"/>
              </w:rPr>
            </w:pPr>
            <w:r>
              <w:rPr>
                <w:rFonts w:ascii="Arial" w:cs="Arial" w:eastAsia="Arial" w:hAnsi="Arial"/>
                <w:sz w:val="16"/>
                <w:szCs w:val="16"/>
                <w:color w:val="auto"/>
              </w:rPr>
              <w:t>No</w:t>
            </w:r>
          </w:p>
        </w:tc>
      </w:tr>
      <w:tr>
        <w:trPr>
          <w:trHeight w:val="263"/>
        </w:trPr>
        <w:tc>
          <w:tcPr>
            <w:tcW w:w="8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Class D common stock</w:t>
            </w: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$0.00001</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w:t>
            </w:r>
          </w:p>
        </w:tc>
        <w:tc>
          <w:tcPr>
            <w:tcW w:w="8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No</w:t>
            </w: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All of the shares of our outstanding Class B common stock are currently held by an indirect subsidiary (the “Refinitiv Direct Owner”) of Refinitiv Parent Limited (“Refinitiv”). Until January 29, 2021, Refinitiv was indirectly controlled by (i) certain investment funds affiliated with The Blackstone Group Inc. (f/k/a The Blackstone Group L.P.) (“Blackstone”), (ii) an affiliate of Canada Pension Plan Investment Board, (iii)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248" w:right="439" w:bottom="1440" w:gutter="0" w:footer="0" w:header="0"/>
        </w:sectPr>
      </w:pPr>
    </w:p>
    <w:bookmarkStart w:id="7" w:name="page8"/>
    <w:bookmarkEnd w:id="7"/>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182880</wp:posOffset>
            </wp:positionV>
            <wp:extent cx="90868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08685" cy="145415"/>
                    </a:xfrm>
                    <a:prstGeom prst="rect">
                      <a:avLst/>
                    </a:prstGeom>
                    <a:noFill/>
                  </pic:spPr>
                </pic:pic>
              </a:graphicData>
            </a:graphic>
          </wp:anchor>
        </w:drawing>
        <w:t>affiliate of GIC Special Investments Pte. Ltd. and (iv) certain co-investors (collectively, the “Investor Group”), which collectively indirectly held a 55% ownership interest in Refinitiv, and Thomson Reuters Corporation (“Thomson Reuters”), which indirectly held a 45% ownership interest in Refinitiv. On January 29, 2021, the London Stock Exchange Group plc (“LSEG”) closed a transaction with the Investor Group and Thomson Reuters to acquire the Refinitiv business. Following the consummation of such transaction, LSEG became the controlling shareholder of Refinitiv, and Refinitiv continues to be the controlling shareholder of Tradeweb, holding approximately 87.9% of the combined voting power of our Class A common stock, Class B common stock, Class C common stock and Class D common stock. LSEG has advised us that it intends to vote all such shares for the election of each of the nominees to the Board named herein, the ratification of the appointment of our independent registered public accounting firm, the non-binding resolution to approve the compensation of the Company’s named executive officers, and the non-binding resolution to approve a Three Year frequency with which stockholders of the Company shall be entitled to have an advisory vote on executive compensation.</w:t>
      </w:r>
    </w:p>
    <w:p>
      <w:pPr>
        <w:spacing w:after="0" w:line="6"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A majority of the voting power of Class A common stock, Class B common stock, Class C common stock and Class D common stock entitled to vote, present virtually or represented by proxy, constitutes a quorum for the transaction of business at the Annual Meeting. Abstentions and broker non-votes will be included in determining the presence of a quorum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00ADD8"/>
        </w:rPr>
        <w:t>Internet Availability of Proxy Materials</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furnishing proxy materials to some of our stockholders via the Internet by mailing a Notice of Internet Availability of Proxy Materials, instead of mailing printed copies of those materials. The Notice of Internet Availability of Proxy Materials directs stockholders to a website where they can access our proxy materials, including this Proxy Statement and our combined Annual Report to Stockholders and Annual Report on Form 10-K for the year ended December 31, 2020 (the “2020 Annual Report”), and view instructions on how to vote via the Internet or by telephone. If you received a Notice of Internet Availability of Proxy Materials and would prefer to receive a paper copy of our proxy materials, please follow the instructions included in the Notice of Internet Availability of Proxy Materials. If you elect to receive our future proxy materials electronically, you will receive access to those materials via e-mail unless and until you elect otherwise.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ADD8"/>
        </w:rPr>
        <w:t>Proxy Voting</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the election of each of the nominees to the Board named herein, “FOR” the ratification of the appointment of our independent registered public accounting firm, “FOR” the approval, on an advisory basis, of the compensation of the Company’s named executive officers, and “Three Year” for the frequency with which stockholders of the Company shall be entitled to have an advisory vote on executive compensation.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4"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The manner in which your shares may be voted depends on how your shares are held. If you own shares of record, meaning that your shares are represented by certificates or book entries in your name so that you appear as a stockholder on the records of American Stock Transfer &amp; Trust Company, LLC (“AST”),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840" w:type="dxa"/>
            <w:vAlign w:val="bottom"/>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020"/>
          </w:cols>
          <w:pgMar w:left="440" w:top="1138" w:right="43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08685" cy="145415"/>
                    </a:xfrm>
                    <a:prstGeom prst="rect">
                      <a:avLst/>
                    </a:prstGeom>
                    <a:noFill/>
                  </pic:spPr>
                </pic:pic>
              </a:graphicData>
            </a:graphic>
          </wp:anchor>
        </w:drawing>
        <w:t>institution on how to vote your shares. You may provide these instructions by voting via the Internet, by telephone, or (if you have received paper copies of proxy materials through your bank, brokerage firm, or other nominee) by returning a voting instruction form received from that institution. In these circumstances, if you do not provide voting instructions, the institution may nevertheless vote your shares on your behalf with respect to the ratification of the appointment of Deloitte as our independent registered public accounting firm for the fiscal year ending December 31, 2021, but cannot vote your shares on any other matters being considered at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ADD8"/>
        </w:rPr>
        <w:t>Voting Standard</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With respect to the election of directors (Item 1), a nominee for director shall be elected to the Board by a plurality of the votes cast in respect of the shares of common stock present virtually or represented by proxy at the Annual Meeting and entitled to vote on the election of directors. A plurality vote requirement means that the director nominees with the greatest number of votes cast, even if less than a majority, will be elected. You may vote “FOR” or “WITHHOLD” with respect to each nominee. Votes that are withheld will be excluded entirely from the vote with respect to the nominee from which they are withheld and will have the same effect as abstentions. Withhold votes, abstentions, and broker non-votes will have no effect on the outcome of the election. Broker non-votes occur when a person holding shares in street name, such as through a brokerage firm, does not provide instructions as to how to vote those shares and the broker lacks the authority to vote uninstructed shares at its discretion. Under current Nasdaq Global Select Market (“Nasdaq”) interpretations that govern broker non-votes, Item 1, Item 3 and Item 4 are considered non-discretionary matters, and a broker will lack the authority to vote uninstructed shares at its discretion on such proposal. Item 2 is considered a discretionary matter, and a broker will be permitted to exercise its discretion to vote uninstructed shares on the proposal.</w:t>
      </w:r>
    </w:p>
    <w:p>
      <w:pPr>
        <w:spacing w:after="0" w:line="8" w:lineRule="exact"/>
        <w:rPr>
          <w:sz w:val="20"/>
          <w:szCs w:val="20"/>
          <w:color w:val="auto"/>
        </w:rPr>
      </w:pPr>
    </w:p>
    <w:p>
      <w:pPr>
        <w:ind w:right="180" w:firstLine="440"/>
        <w:spacing w:after="0" w:line="281" w:lineRule="auto"/>
        <w:rPr>
          <w:sz w:val="20"/>
          <w:szCs w:val="20"/>
          <w:color w:val="auto"/>
        </w:rPr>
      </w:pPr>
      <w:r>
        <w:rPr>
          <w:rFonts w:ascii="Arial" w:cs="Arial" w:eastAsia="Arial" w:hAnsi="Arial"/>
          <w:sz w:val="16"/>
          <w:szCs w:val="16"/>
          <w:color w:val="auto"/>
        </w:rPr>
        <w:t>With respect to the ratification of the appointment of Deloitte as our independent registered public accounting firm for the fiscal year ending December 31, 2021 (Item 2), the affirmative vote of a majority of the voting power of common stock present virtually or represented by proxy and entitled to vote on the matter is required to approve the matter. With respect to Item 2 you may vote “FOR”, “AGAINST”, or “ABSTAIN”. For this matter, abstentions are not counted as affirmative votes on a matter but are counted as present at the Annual Meeting and entitled to vote and will have the effect of a vote “against” the matter, and broker non-votes, if any, will have no effect on the outcome of these matters.</w:t>
      </w:r>
    </w:p>
    <w:p>
      <w:pPr>
        <w:spacing w:after="0" w:line="3" w:lineRule="exact"/>
        <w:rPr>
          <w:sz w:val="20"/>
          <w:szCs w:val="20"/>
          <w:color w:val="auto"/>
        </w:rPr>
      </w:pPr>
    </w:p>
    <w:p>
      <w:pPr>
        <w:ind w:right="340" w:firstLine="440"/>
        <w:spacing w:after="0" w:line="250" w:lineRule="auto"/>
        <w:rPr>
          <w:sz w:val="20"/>
          <w:szCs w:val="20"/>
          <w:color w:val="auto"/>
        </w:rPr>
      </w:pPr>
      <w:r>
        <w:rPr>
          <w:rFonts w:ascii="Arial" w:cs="Arial" w:eastAsia="Arial" w:hAnsi="Arial"/>
          <w:sz w:val="18"/>
          <w:szCs w:val="18"/>
          <w:color w:val="auto"/>
        </w:rPr>
        <w:t>With respect to the advisory vote on executive compensation (Item 3), the affirmative vote of a majority of the voting power of common stock present virtually or represented by proxy and entitled to vote on the matter is required to approve the matter. With respect to Item 3 you may vote “FOR”, “AGAINST”, or “ABSTAIN”. For this matter, abstentions are not counted as affirmative votes on a matter but are counted as present at the Annual Meeting and entitled to vote and will have the effect of a vote “against” the matter.</w:t>
      </w:r>
    </w:p>
    <w:p>
      <w:pPr>
        <w:spacing w:after="0" w:line="2"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color w:val="auto"/>
        </w:rPr>
        <w:t>With respect to the advisory vote on the frequency of future advisory votes on executive compensation (Item 4), your vote may be cast for “1 YEAR,” “2 YEAR” “3 YEAR” frequency or “ABSTAIN.” A vote to “ABSTAIN” will have no effect on the vote. The choice receiving the most votes cast by stockholders present virtually or represented by proxy and entitled to vote on the matter will be deemed to be the frequency preferred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182880</wp:posOffset>
            </wp:positionV>
            <wp:extent cx="90868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08685" cy="145415"/>
                    </a:xfrm>
                    <a:prstGeom prst="rect">
                      <a:avLst/>
                    </a:prstGeom>
                    <a:noFill/>
                  </pic:spPr>
                </pic:pic>
              </a:graphicData>
            </a:graphic>
          </wp:anchor>
        </w:drawing>
        <w:t>Voting via the Internet or by telephone helps save money by reducing postage and proxy tabulation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427"/>
        </w:trPr>
        <w:tc>
          <w:tcPr>
            <w:tcW w:w="5420" w:type="dxa"/>
            <w:vAlign w:val="bottom"/>
            <w:gridSpan w:val="3"/>
            <w:shd w:val="clear" w:color="auto" w:fill="EDEDED"/>
          </w:tcPr>
          <w:p>
            <w:pPr>
              <w:ind w:left="160"/>
              <w:spacing w:after="0"/>
              <w:rPr>
                <w:sz w:val="20"/>
                <w:szCs w:val="20"/>
                <w:color w:val="auto"/>
              </w:rPr>
            </w:pPr>
            <w:r>
              <w:rPr>
                <w:rFonts w:ascii="Arial" w:cs="Arial" w:eastAsia="Arial" w:hAnsi="Arial"/>
                <w:sz w:val="25"/>
                <w:szCs w:val="25"/>
                <w:color w:val="00ADD8"/>
              </w:rPr>
              <w:t>VOTE BY INTERNET</w:t>
            </w:r>
          </w:p>
        </w:tc>
        <w:tc>
          <w:tcPr>
            <w:tcW w:w="5600" w:type="dxa"/>
            <w:vAlign w:val="bottom"/>
            <w:shd w:val="clear" w:color="auto" w:fill="EDEDED"/>
          </w:tcPr>
          <w:p>
            <w:pPr>
              <w:ind w:left="360"/>
              <w:spacing w:after="0"/>
              <w:rPr>
                <w:sz w:val="20"/>
                <w:szCs w:val="20"/>
                <w:color w:val="auto"/>
              </w:rPr>
            </w:pPr>
            <w:r>
              <w:rPr>
                <w:rFonts w:ascii="Arial" w:cs="Arial" w:eastAsia="Arial" w:hAnsi="Arial"/>
                <w:sz w:val="25"/>
                <w:szCs w:val="25"/>
                <w:color w:val="00ADD8"/>
              </w:rPr>
              <w:t>VOTE BY TELEPHONE</w:t>
            </w:r>
          </w:p>
        </w:tc>
      </w:tr>
      <w:tr>
        <w:trPr>
          <w:trHeight w:val="301"/>
        </w:trPr>
        <w:tc>
          <w:tcPr>
            <w:tcW w:w="180" w:type="dxa"/>
            <w:vAlign w:val="bottom"/>
            <w:shd w:val="clear" w:color="auto" w:fill="EDEDED"/>
          </w:tcPr>
          <w:p>
            <w:pPr>
              <w:spacing w:after="0"/>
              <w:rPr>
                <w:sz w:val="24"/>
                <w:szCs w:val="24"/>
                <w:color w:val="auto"/>
              </w:rPr>
            </w:pPr>
          </w:p>
        </w:tc>
        <w:tc>
          <w:tcPr>
            <w:tcW w:w="5240" w:type="dxa"/>
            <w:vAlign w:val="bottom"/>
            <w:gridSpan w:val="2"/>
            <w:shd w:val="clear" w:color="auto" w:fill="EDEDED"/>
          </w:tcPr>
          <w:p>
            <w:pPr>
              <w:spacing w:after="0"/>
              <w:rPr>
                <w:sz w:val="20"/>
                <w:szCs w:val="20"/>
                <w:color w:val="auto"/>
              </w:rPr>
            </w:pPr>
            <w:r>
              <w:rPr>
                <w:rFonts w:ascii="Arial" w:cs="Arial" w:eastAsia="Arial" w:hAnsi="Arial"/>
                <w:sz w:val="18"/>
                <w:szCs w:val="18"/>
                <w:b w:val="1"/>
                <w:bCs w:val="1"/>
                <w:color w:val="001F5B"/>
              </w:rPr>
              <w:t>Shares Held of Record:</w:t>
            </w:r>
          </w:p>
        </w:tc>
        <w:tc>
          <w:tcPr>
            <w:tcW w:w="5600" w:type="dxa"/>
            <w:vAlign w:val="bottom"/>
            <w:shd w:val="clear" w:color="auto" w:fill="EDEDED"/>
          </w:tcPr>
          <w:p>
            <w:pPr>
              <w:ind w:left="380"/>
              <w:spacing w:after="0"/>
              <w:rPr>
                <w:sz w:val="20"/>
                <w:szCs w:val="20"/>
                <w:color w:val="auto"/>
              </w:rPr>
            </w:pPr>
            <w:r>
              <w:rPr>
                <w:rFonts w:ascii="Arial" w:cs="Arial" w:eastAsia="Arial" w:hAnsi="Arial"/>
                <w:sz w:val="18"/>
                <w:szCs w:val="18"/>
                <w:b w:val="1"/>
                <w:bCs w:val="1"/>
                <w:color w:val="001F5B"/>
              </w:rPr>
              <w:t>Shares Held of Record:</w:t>
            </w:r>
          </w:p>
        </w:tc>
      </w:tr>
      <w:tr>
        <w:trPr>
          <w:trHeight w:val="190"/>
        </w:trPr>
        <w:tc>
          <w:tcPr>
            <w:tcW w:w="180" w:type="dxa"/>
            <w:vAlign w:val="bottom"/>
            <w:tcBorders>
              <w:bottom w:val="single" w:sz="8" w:color="EDEDED"/>
            </w:tcBorders>
            <w:shd w:val="clear" w:color="auto" w:fill="EDEDED"/>
          </w:tcPr>
          <w:p>
            <w:pPr>
              <w:spacing w:after="0"/>
              <w:rPr>
                <w:sz w:val="16"/>
                <w:szCs w:val="16"/>
                <w:color w:val="auto"/>
              </w:rPr>
            </w:pPr>
          </w:p>
        </w:tc>
        <w:tc>
          <w:tcPr>
            <w:tcW w:w="1440" w:type="dxa"/>
            <w:vAlign w:val="bottom"/>
            <w:tcBorders>
              <w:bottom w:val="single" w:sz="8" w:color="auto"/>
            </w:tcBorders>
            <w:shd w:val="clear" w:color="auto" w:fill="EDEDED"/>
          </w:tcPr>
          <w:p>
            <w:pPr>
              <w:spacing w:after="0" w:line="190" w:lineRule="exact"/>
              <w:rPr>
                <w:sz w:val="20"/>
                <w:szCs w:val="20"/>
                <w:color w:val="auto"/>
              </w:rPr>
            </w:pPr>
            <w:r>
              <w:rPr>
                <w:rFonts w:ascii="Arial" w:cs="Arial" w:eastAsia="Arial" w:hAnsi="Arial"/>
                <w:sz w:val="18"/>
                <w:szCs w:val="18"/>
                <w:i w:val="1"/>
                <w:iCs w:val="1"/>
                <w:color w:val="auto"/>
                <w:w w:val="88"/>
              </w:rPr>
              <w:t>www.proxyvote.com</w:t>
            </w:r>
          </w:p>
        </w:tc>
        <w:tc>
          <w:tcPr>
            <w:tcW w:w="3800" w:type="dxa"/>
            <w:vAlign w:val="bottom"/>
            <w:tcBorders>
              <w:bottom w:val="single" w:sz="8" w:color="EDEDED"/>
            </w:tcBorders>
            <w:shd w:val="clear" w:color="auto" w:fill="EDEDED"/>
          </w:tcPr>
          <w:p>
            <w:pPr>
              <w:spacing w:after="0"/>
              <w:rPr>
                <w:sz w:val="16"/>
                <w:szCs w:val="16"/>
                <w:color w:val="auto"/>
              </w:rPr>
            </w:pPr>
          </w:p>
        </w:tc>
        <w:tc>
          <w:tcPr>
            <w:tcW w:w="5600" w:type="dxa"/>
            <w:vAlign w:val="bottom"/>
            <w:tcBorders>
              <w:bottom w:val="single" w:sz="8" w:color="EDEDED"/>
            </w:tcBorders>
            <w:shd w:val="clear" w:color="auto" w:fill="EDEDED"/>
          </w:tcPr>
          <w:p>
            <w:pPr>
              <w:ind w:left="380"/>
              <w:spacing w:after="0" w:line="190" w:lineRule="exact"/>
              <w:rPr>
                <w:sz w:val="20"/>
                <w:szCs w:val="20"/>
                <w:color w:val="auto"/>
              </w:rPr>
            </w:pPr>
            <w:r>
              <w:rPr>
                <w:rFonts w:ascii="Arial" w:cs="Arial" w:eastAsia="Arial" w:hAnsi="Arial"/>
                <w:sz w:val="18"/>
                <w:szCs w:val="18"/>
                <w:color w:val="auto"/>
              </w:rPr>
              <w:t>800-690-6903</w:t>
            </w:r>
          </w:p>
        </w:tc>
      </w:tr>
      <w:tr>
        <w:trPr>
          <w:trHeight w:val="209"/>
        </w:trPr>
        <w:tc>
          <w:tcPr>
            <w:tcW w:w="180" w:type="dxa"/>
            <w:vAlign w:val="bottom"/>
            <w:shd w:val="clear" w:color="auto" w:fill="EDEDED"/>
          </w:tcPr>
          <w:p>
            <w:pPr>
              <w:spacing w:after="0"/>
              <w:rPr>
                <w:sz w:val="18"/>
                <w:szCs w:val="18"/>
                <w:color w:val="auto"/>
              </w:rPr>
            </w:pPr>
          </w:p>
        </w:tc>
        <w:tc>
          <w:tcPr>
            <w:tcW w:w="5240" w:type="dxa"/>
            <w:vAlign w:val="bottom"/>
            <w:gridSpan w:val="2"/>
            <w:shd w:val="clear" w:color="auto" w:fill="EDEDED"/>
          </w:tcPr>
          <w:p>
            <w:pPr>
              <w:spacing w:after="0"/>
              <w:rPr>
                <w:sz w:val="20"/>
                <w:szCs w:val="20"/>
                <w:color w:val="auto"/>
              </w:rPr>
            </w:pPr>
            <w:r>
              <w:rPr>
                <w:rFonts w:ascii="Arial" w:cs="Arial" w:eastAsia="Arial" w:hAnsi="Arial"/>
                <w:sz w:val="18"/>
                <w:szCs w:val="18"/>
                <w:b w:val="1"/>
                <w:bCs w:val="1"/>
                <w:color w:val="001F5B"/>
              </w:rPr>
              <w:t>Shares Held in Street Name:</w:t>
            </w:r>
          </w:p>
        </w:tc>
        <w:tc>
          <w:tcPr>
            <w:tcW w:w="5600" w:type="dxa"/>
            <w:vAlign w:val="bottom"/>
            <w:shd w:val="clear" w:color="auto" w:fill="EDEDED"/>
          </w:tcPr>
          <w:p>
            <w:pPr>
              <w:ind w:left="380"/>
              <w:spacing w:after="0"/>
              <w:rPr>
                <w:sz w:val="20"/>
                <w:szCs w:val="20"/>
                <w:color w:val="auto"/>
              </w:rPr>
            </w:pPr>
            <w:r>
              <w:rPr>
                <w:rFonts w:ascii="Arial" w:cs="Arial" w:eastAsia="Arial" w:hAnsi="Arial"/>
                <w:sz w:val="18"/>
                <w:szCs w:val="18"/>
                <w:b w:val="1"/>
                <w:bCs w:val="1"/>
                <w:color w:val="001F5B"/>
              </w:rPr>
              <w:t>Shares Held in Street Name:</w:t>
            </w:r>
          </w:p>
        </w:tc>
      </w:tr>
      <w:tr>
        <w:trPr>
          <w:trHeight w:val="190"/>
        </w:trPr>
        <w:tc>
          <w:tcPr>
            <w:tcW w:w="180" w:type="dxa"/>
            <w:vAlign w:val="bottom"/>
            <w:tcBorders>
              <w:bottom w:val="single" w:sz="8" w:color="EDEDED"/>
            </w:tcBorders>
            <w:shd w:val="clear" w:color="auto" w:fill="EDEDED"/>
          </w:tcPr>
          <w:p>
            <w:pPr>
              <w:spacing w:after="0"/>
              <w:rPr>
                <w:sz w:val="16"/>
                <w:szCs w:val="16"/>
                <w:color w:val="auto"/>
              </w:rPr>
            </w:pPr>
          </w:p>
        </w:tc>
        <w:tc>
          <w:tcPr>
            <w:tcW w:w="1440" w:type="dxa"/>
            <w:vAlign w:val="bottom"/>
            <w:tcBorders>
              <w:bottom w:val="single" w:sz="8" w:color="auto"/>
            </w:tcBorders>
            <w:shd w:val="clear" w:color="auto" w:fill="EDEDED"/>
          </w:tcPr>
          <w:p>
            <w:pPr>
              <w:spacing w:after="0" w:line="190" w:lineRule="exact"/>
              <w:rPr>
                <w:sz w:val="20"/>
                <w:szCs w:val="20"/>
                <w:color w:val="auto"/>
              </w:rPr>
            </w:pPr>
            <w:r>
              <w:rPr>
                <w:rFonts w:ascii="Arial" w:cs="Arial" w:eastAsia="Arial" w:hAnsi="Arial"/>
                <w:sz w:val="18"/>
                <w:szCs w:val="18"/>
                <w:i w:val="1"/>
                <w:iCs w:val="1"/>
                <w:color w:val="auto"/>
                <w:w w:val="88"/>
              </w:rPr>
              <w:t>www.proxyvote.com</w:t>
            </w:r>
          </w:p>
        </w:tc>
        <w:tc>
          <w:tcPr>
            <w:tcW w:w="3800" w:type="dxa"/>
            <w:vAlign w:val="bottom"/>
            <w:tcBorders>
              <w:bottom w:val="single" w:sz="8" w:color="EDEDED"/>
            </w:tcBorders>
            <w:shd w:val="clear" w:color="auto" w:fill="EDEDED"/>
          </w:tcPr>
          <w:p>
            <w:pPr>
              <w:spacing w:after="0"/>
              <w:rPr>
                <w:sz w:val="16"/>
                <w:szCs w:val="16"/>
                <w:color w:val="auto"/>
              </w:rPr>
            </w:pPr>
          </w:p>
        </w:tc>
        <w:tc>
          <w:tcPr>
            <w:tcW w:w="5600" w:type="dxa"/>
            <w:vAlign w:val="bottom"/>
            <w:tcBorders>
              <w:bottom w:val="single" w:sz="8" w:color="EDEDED"/>
            </w:tcBorders>
            <w:shd w:val="clear" w:color="auto" w:fill="EDEDED"/>
          </w:tcPr>
          <w:p>
            <w:pPr>
              <w:ind w:left="380"/>
              <w:spacing w:after="0" w:line="190" w:lineRule="exact"/>
              <w:rPr>
                <w:sz w:val="20"/>
                <w:szCs w:val="20"/>
                <w:color w:val="auto"/>
              </w:rPr>
            </w:pPr>
            <w:r>
              <w:rPr>
                <w:rFonts w:ascii="Arial" w:cs="Arial" w:eastAsia="Arial" w:hAnsi="Arial"/>
                <w:sz w:val="18"/>
                <w:szCs w:val="18"/>
                <w:i w:val="1"/>
                <w:iCs w:val="1"/>
                <w:color w:val="auto"/>
              </w:rPr>
              <w:t>See Voting Instruction Form</w:t>
            </w:r>
          </w:p>
        </w:tc>
      </w:tr>
      <w:tr>
        <w:trPr>
          <w:trHeight w:val="237"/>
        </w:trPr>
        <w:tc>
          <w:tcPr>
            <w:tcW w:w="180" w:type="dxa"/>
            <w:vAlign w:val="bottom"/>
            <w:shd w:val="clear" w:color="auto" w:fill="EDEDED"/>
          </w:tcPr>
          <w:p>
            <w:pPr>
              <w:spacing w:after="0"/>
              <w:rPr>
                <w:sz w:val="20"/>
                <w:szCs w:val="20"/>
                <w:color w:val="auto"/>
              </w:rPr>
            </w:pPr>
          </w:p>
        </w:tc>
        <w:tc>
          <w:tcPr>
            <w:tcW w:w="5240" w:type="dxa"/>
            <w:vAlign w:val="bottom"/>
            <w:gridSpan w:val="2"/>
            <w:shd w:val="clear" w:color="auto" w:fill="EDEDED"/>
          </w:tcPr>
          <w:p>
            <w:pPr>
              <w:spacing w:after="0"/>
              <w:rPr>
                <w:sz w:val="20"/>
                <w:szCs w:val="20"/>
                <w:color w:val="auto"/>
              </w:rPr>
            </w:pPr>
            <w:r>
              <w:rPr>
                <w:rFonts w:ascii="Arial" w:cs="Arial" w:eastAsia="Arial" w:hAnsi="Arial"/>
                <w:sz w:val="18"/>
                <w:szCs w:val="18"/>
                <w:color w:val="auto"/>
              </w:rPr>
              <w:t>24 hours a day / 7 days a week</w:t>
            </w:r>
          </w:p>
        </w:tc>
        <w:tc>
          <w:tcPr>
            <w:tcW w:w="5600" w:type="dxa"/>
            <w:vAlign w:val="bottom"/>
            <w:shd w:val="clear" w:color="auto" w:fill="EDEDED"/>
          </w:tcPr>
          <w:p>
            <w:pPr>
              <w:ind w:left="380"/>
              <w:spacing w:after="0"/>
              <w:rPr>
                <w:sz w:val="20"/>
                <w:szCs w:val="20"/>
                <w:color w:val="auto"/>
              </w:rPr>
            </w:pPr>
            <w:r>
              <w:rPr>
                <w:rFonts w:ascii="Arial" w:cs="Arial" w:eastAsia="Arial" w:hAnsi="Arial"/>
                <w:sz w:val="18"/>
                <w:szCs w:val="18"/>
                <w:color w:val="auto"/>
              </w:rPr>
              <w:t>24 hours a day / 7 days a week</w:t>
            </w:r>
          </w:p>
        </w:tc>
      </w:tr>
      <w:tr>
        <w:trPr>
          <w:trHeight w:val="427"/>
        </w:trPr>
        <w:tc>
          <w:tcPr>
            <w:tcW w:w="5420" w:type="dxa"/>
            <w:vAlign w:val="bottom"/>
            <w:gridSpan w:val="3"/>
            <w:shd w:val="clear" w:color="auto" w:fill="EDEDED"/>
          </w:tcPr>
          <w:p>
            <w:pPr>
              <w:ind w:left="160"/>
              <w:spacing w:after="0"/>
              <w:rPr>
                <w:sz w:val="20"/>
                <w:szCs w:val="20"/>
                <w:color w:val="auto"/>
              </w:rPr>
            </w:pPr>
            <w:r>
              <w:rPr>
                <w:rFonts w:ascii="Arial" w:cs="Arial" w:eastAsia="Arial" w:hAnsi="Arial"/>
                <w:sz w:val="25"/>
                <w:szCs w:val="25"/>
                <w:color w:val="00ADD8"/>
              </w:rPr>
              <w:t>INSTRUCTIONS:</w:t>
            </w:r>
          </w:p>
        </w:tc>
        <w:tc>
          <w:tcPr>
            <w:tcW w:w="5600" w:type="dxa"/>
            <w:vAlign w:val="bottom"/>
            <w:shd w:val="clear" w:color="auto" w:fill="EDEDED"/>
          </w:tcPr>
          <w:p>
            <w:pPr>
              <w:ind w:left="360"/>
              <w:spacing w:after="0"/>
              <w:rPr>
                <w:sz w:val="20"/>
                <w:szCs w:val="20"/>
                <w:color w:val="auto"/>
              </w:rPr>
            </w:pPr>
            <w:r>
              <w:rPr>
                <w:rFonts w:ascii="Arial" w:cs="Arial" w:eastAsia="Arial" w:hAnsi="Arial"/>
                <w:sz w:val="25"/>
                <w:szCs w:val="25"/>
                <w:color w:val="00ADD8"/>
              </w:rPr>
              <w:t>INSTRUCTIONS:</w:t>
            </w:r>
          </w:p>
        </w:tc>
      </w:tr>
      <w:tr>
        <w:trPr>
          <w:trHeight w:val="315"/>
        </w:trPr>
        <w:tc>
          <w:tcPr>
            <w:tcW w:w="5420" w:type="dxa"/>
            <w:vAlign w:val="bottom"/>
            <w:gridSpan w:val="3"/>
            <w:shd w:val="clear" w:color="auto" w:fill="EDEDED"/>
          </w:tcPr>
          <w:p>
            <w:pPr>
              <w:ind w:left="140"/>
              <w:spacing w:after="0"/>
              <w:rPr>
                <w:sz w:val="20"/>
                <w:szCs w:val="20"/>
                <w:color w:val="auto"/>
              </w:rPr>
            </w:pPr>
            <w:r>
              <w:rPr>
                <w:rFonts w:ascii="Arial" w:cs="Arial" w:eastAsia="Arial" w:hAnsi="Arial"/>
                <w:sz w:val="18"/>
                <w:szCs w:val="18"/>
                <w:color w:val="auto"/>
              </w:rPr>
              <w:t>•  Read this Proxy Statement.</w:t>
            </w:r>
          </w:p>
        </w:tc>
        <w:tc>
          <w:tcPr>
            <w:tcW w:w="5600" w:type="dxa"/>
            <w:vAlign w:val="bottom"/>
            <w:shd w:val="clear" w:color="auto" w:fill="EDEDED"/>
          </w:tcPr>
          <w:p>
            <w:pPr>
              <w:ind w:left="340"/>
              <w:spacing w:after="0"/>
              <w:rPr>
                <w:sz w:val="20"/>
                <w:szCs w:val="20"/>
                <w:color w:val="auto"/>
              </w:rPr>
            </w:pPr>
            <w:r>
              <w:rPr>
                <w:rFonts w:ascii="Arial" w:cs="Arial" w:eastAsia="Arial" w:hAnsi="Arial"/>
                <w:sz w:val="18"/>
                <w:szCs w:val="18"/>
                <w:color w:val="auto"/>
              </w:rPr>
              <w:t>•  Read this Proxy Statement.</w:t>
            </w:r>
          </w:p>
        </w:tc>
      </w:tr>
      <w:tr>
        <w:trPr>
          <w:trHeight w:val="203"/>
        </w:trPr>
        <w:tc>
          <w:tcPr>
            <w:tcW w:w="5420" w:type="dxa"/>
            <w:vAlign w:val="bottom"/>
            <w:gridSpan w:val="3"/>
            <w:shd w:val="clear" w:color="auto" w:fill="EDEDED"/>
          </w:tcPr>
          <w:p>
            <w:pPr>
              <w:ind w:left="140"/>
              <w:spacing w:after="0" w:line="202" w:lineRule="exact"/>
              <w:rPr>
                <w:sz w:val="20"/>
                <w:szCs w:val="20"/>
                <w:color w:val="auto"/>
              </w:rPr>
            </w:pPr>
            <w:r>
              <w:rPr>
                <w:rFonts w:ascii="Arial" w:cs="Arial" w:eastAsia="Arial" w:hAnsi="Arial"/>
                <w:sz w:val="18"/>
                <w:szCs w:val="18"/>
                <w:color w:val="auto"/>
              </w:rPr>
              <w:t>•  Go to the website listed above.</w:t>
            </w:r>
          </w:p>
        </w:tc>
        <w:tc>
          <w:tcPr>
            <w:tcW w:w="5600" w:type="dxa"/>
            <w:vAlign w:val="bottom"/>
            <w:shd w:val="clear" w:color="auto" w:fill="EDEDED"/>
          </w:tcPr>
          <w:p>
            <w:pPr>
              <w:ind w:left="340"/>
              <w:spacing w:after="0" w:line="202" w:lineRule="exact"/>
              <w:rPr>
                <w:sz w:val="20"/>
                <w:szCs w:val="20"/>
                <w:color w:val="auto"/>
              </w:rPr>
            </w:pPr>
            <w:r>
              <w:rPr>
                <w:rFonts w:ascii="Arial" w:cs="Arial" w:eastAsia="Arial" w:hAnsi="Arial"/>
                <w:sz w:val="18"/>
                <w:szCs w:val="18"/>
                <w:color w:val="auto"/>
              </w:rPr>
              <w:t>•  Call the applicable number noted above.</w:t>
            </w:r>
          </w:p>
        </w:tc>
      </w:tr>
      <w:tr>
        <w:trPr>
          <w:trHeight w:val="203"/>
        </w:trPr>
        <w:tc>
          <w:tcPr>
            <w:tcW w:w="5420" w:type="dxa"/>
            <w:vAlign w:val="bottom"/>
            <w:gridSpan w:val="3"/>
            <w:shd w:val="clear" w:color="auto" w:fill="EDEDED"/>
          </w:tcPr>
          <w:p>
            <w:pPr>
              <w:ind w:left="140"/>
              <w:spacing w:after="0" w:line="202" w:lineRule="exact"/>
              <w:rPr>
                <w:sz w:val="20"/>
                <w:szCs w:val="20"/>
                <w:color w:val="auto"/>
              </w:rPr>
            </w:pPr>
            <w:r>
              <w:rPr>
                <w:rFonts w:ascii="Arial" w:cs="Arial" w:eastAsia="Arial" w:hAnsi="Arial"/>
                <w:sz w:val="18"/>
                <w:szCs w:val="18"/>
                <w:color w:val="auto"/>
              </w:rPr>
              <w:t>•  Have your Notice of Internet Availability of Proxy Materials,</w:t>
            </w:r>
          </w:p>
        </w:tc>
        <w:tc>
          <w:tcPr>
            <w:tcW w:w="5600" w:type="dxa"/>
            <w:vAlign w:val="bottom"/>
            <w:shd w:val="clear" w:color="auto" w:fill="EDEDED"/>
          </w:tcPr>
          <w:p>
            <w:pPr>
              <w:ind w:left="340"/>
              <w:spacing w:after="0" w:line="202" w:lineRule="exact"/>
              <w:rPr>
                <w:sz w:val="20"/>
                <w:szCs w:val="20"/>
                <w:color w:val="auto"/>
              </w:rPr>
            </w:pPr>
            <w:r>
              <w:rPr>
                <w:rFonts w:ascii="Arial" w:cs="Arial" w:eastAsia="Arial" w:hAnsi="Arial"/>
                <w:sz w:val="18"/>
                <w:szCs w:val="18"/>
                <w:color w:val="auto"/>
              </w:rPr>
              <w:t>•  Have your Notice of Internet Availability of Proxy Materials,</w:t>
            </w:r>
          </w:p>
        </w:tc>
      </w:tr>
      <w:tr>
        <w:trPr>
          <w:trHeight w:val="203"/>
        </w:trPr>
        <w:tc>
          <w:tcPr>
            <w:tcW w:w="180" w:type="dxa"/>
            <w:vAlign w:val="bottom"/>
            <w:shd w:val="clear" w:color="auto" w:fill="EDEDED"/>
          </w:tcPr>
          <w:p>
            <w:pPr>
              <w:spacing w:after="0"/>
              <w:rPr>
                <w:sz w:val="17"/>
                <w:szCs w:val="17"/>
                <w:color w:val="auto"/>
              </w:rPr>
            </w:pPr>
          </w:p>
        </w:tc>
        <w:tc>
          <w:tcPr>
            <w:tcW w:w="5240" w:type="dxa"/>
            <w:vAlign w:val="bottom"/>
            <w:gridSpan w:val="2"/>
            <w:shd w:val="clear" w:color="auto" w:fill="EDEDED"/>
          </w:tcPr>
          <w:p>
            <w:pPr>
              <w:ind w:left="180"/>
              <w:spacing w:after="0" w:line="202" w:lineRule="exact"/>
              <w:rPr>
                <w:sz w:val="20"/>
                <w:szCs w:val="20"/>
                <w:color w:val="auto"/>
              </w:rPr>
            </w:pPr>
            <w:r>
              <w:rPr>
                <w:rFonts w:ascii="Arial" w:cs="Arial" w:eastAsia="Arial" w:hAnsi="Arial"/>
                <w:sz w:val="18"/>
                <w:szCs w:val="18"/>
                <w:color w:val="auto"/>
              </w:rPr>
              <w:t>proxy card, or voting instruction form in hand and follow the</w:t>
            </w:r>
          </w:p>
        </w:tc>
        <w:tc>
          <w:tcPr>
            <w:tcW w:w="5600" w:type="dxa"/>
            <w:vAlign w:val="bottom"/>
            <w:shd w:val="clear" w:color="auto" w:fill="EDEDED"/>
          </w:tcPr>
          <w:p>
            <w:pPr>
              <w:ind w:left="560"/>
              <w:spacing w:after="0" w:line="202" w:lineRule="exact"/>
              <w:rPr>
                <w:sz w:val="20"/>
                <w:szCs w:val="20"/>
                <w:color w:val="auto"/>
              </w:rPr>
            </w:pPr>
            <w:r>
              <w:rPr>
                <w:rFonts w:ascii="Arial" w:cs="Arial" w:eastAsia="Arial" w:hAnsi="Arial"/>
                <w:sz w:val="18"/>
                <w:szCs w:val="18"/>
                <w:color w:val="auto"/>
              </w:rPr>
              <w:t>proxy card, or voting instruction form in hand and follow the</w:t>
            </w:r>
          </w:p>
        </w:tc>
      </w:tr>
      <w:tr>
        <w:trPr>
          <w:trHeight w:val="217"/>
        </w:trPr>
        <w:tc>
          <w:tcPr>
            <w:tcW w:w="180" w:type="dxa"/>
            <w:vAlign w:val="bottom"/>
            <w:shd w:val="clear" w:color="auto" w:fill="EDEDED"/>
          </w:tcPr>
          <w:p>
            <w:pPr>
              <w:spacing w:after="0"/>
              <w:rPr>
                <w:sz w:val="18"/>
                <w:szCs w:val="18"/>
                <w:color w:val="auto"/>
              </w:rPr>
            </w:pPr>
          </w:p>
        </w:tc>
        <w:tc>
          <w:tcPr>
            <w:tcW w:w="5240" w:type="dxa"/>
            <w:vAlign w:val="bottom"/>
            <w:gridSpan w:val="2"/>
            <w:shd w:val="clear" w:color="auto" w:fill="EDEDED"/>
          </w:tcPr>
          <w:p>
            <w:pPr>
              <w:ind w:left="180"/>
              <w:spacing w:after="0"/>
              <w:rPr>
                <w:sz w:val="20"/>
                <w:szCs w:val="20"/>
                <w:color w:val="auto"/>
              </w:rPr>
            </w:pPr>
            <w:r>
              <w:rPr>
                <w:rFonts w:ascii="Arial" w:cs="Arial" w:eastAsia="Arial" w:hAnsi="Arial"/>
                <w:sz w:val="18"/>
                <w:szCs w:val="18"/>
                <w:color w:val="auto"/>
              </w:rPr>
              <w:t>instructions.</w:t>
            </w:r>
          </w:p>
        </w:tc>
        <w:tc>
          <w:tcPr>
            <w:tcW w:w="5600" w:type="dxa"/>
            <w:vAlign w:val="bottom"/>
            <w:shd w:val="clear" w:color="auto" w:fill="EDEDED"/>
          </w:tcPr>
          <w:p>
            <w:pPr>
              <w:ind w:left="560"/>
              <w:spacing w:after="0"/>
              <w:rPr>
                <w:sz w:val="20"/>
                <w:szCs w:val="20"/>
                <w:color w:val="auto"/>
              </w:rPr>
            </w:pPr>
            <w:r>
              <w:rPr>
                <w:rFonts w:ascii="Arial" w:cs="Arial" w:eastAsia="Arial" w:hAnsi="Arial"/>
                <w:sz w:val="18"/>
                <w:szCs w:val="18"/>
                <w:color w:val="auto"/>
              </w:rPr>
              <w:t>instructions.</w:t>
            </w:r>
          </w:p>
        </w:tc>
      </w:tr>
      <w:tr>
        <w:trPr>
          <w:trHeight w:val="108"/>
        </w:trPr>
        <w:tc>
          <w:tcPr>
            <w:tcW w:w="180" w:type="dxa"/>
            <w:vAlign w:val="bottom"/>
            <w:shd w:val="clear" w:color="auto" w:fill="EDEDED"/>
          </w:tcPr>
          <w:p>
            <w:pPr>
              <w:spacing w:after="0"/>
              <w:rPr>
                <w:sz w:val="9"/>
                <w:szCs w:val="9"/>
                <w:color w:val="auto"/>
              </w:rPr>
            </w:pPr>
          </w:p>
        </w:tc>
        <w:tc>
          <w:tcPr>
            <w:tcW w:w="1440" w:type="dxa"/>
            <w:vAlign w:val="bottom"/>
            <w:shd w:val="clear" w:color="auto" w:fill="EDEDED"/>
          </w:tcPr>
          <w:p>
            <w:pPr>
              <w:spacing w:after="0"/>
              <w:rPr>
                <w:sz w:val="9"/>
                <w:szCs w:val="9"/>
                <w:color w:val="auto"/>
              </w:rPr>
            </w:pPr>
          </w:p>
        </w:tc>
        <w:tc>
          <w:tcPr>
            <w:tcW w:w="3800" w:type="dxa"/>
            <w:vAlign w:val="bottom"/>
            <w:shd w:val="clear" w:color="auto" w:fill="EDEDED"/>
          </w:tcPr>
          <w:p>
            <w:pPr>
              <w:spacing w:after="0"/>
              <w:rPr>
                <w:sz w:val="9"/>
                <w:szCs w:val="9"/>
                <w:color w:val="auto"/>
              </w:rPr>
            </w:pPr>
          </w:p>
        </w:tc>
        <w:tc>
          <w:tcPr>
            <w:tcW w:w="5600" w:type="dxa"/>
            <w:vAlign w:val="bottom"/>
            <w:shd w:val="clear" w:color="auto" w:fill="EDEDED"/>
          </w:tcPr>
          <w:p>
            <w:pPr>
              <w:spacing w:after="0"/>
              <w:rPr>
                <w:sz w:val="9"/>
                <w:szCs w:val="9"/>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 xml:space="preserve">We encourage you to register to </w:t>
      </w:r>
      <w:r>
        <w:rPr>
          <w:rFonts w:ascii="Arial" w:cs="Arial" w:eastAsia="Arial" w:hAnsi="Arial"/>
          <w:sz w:val="17"/>
          <w:szCs w:val="17"/>
          <w:b w:val="1"/>
          <w:bCs w:val="1"/>
          <w:i w:val="1"/>
          <w:iCs w:val="1"/>
          <w:u w:val="single" w:color="auto"/>
          <w:color w:val="auto"/>
        </w:rPr>
        <w:t>receive</w:t>
      </w:r>
      <w:r>
        <w:rPr>
          <w:rFonts w:ascii="Arial" w:cs="Arial" w:eastAsia="Arial" w:hAnsi="Arial"/>
          <w:sz w:val="17"/>
          <w:szCs w:val="17"/>
          <w:b w:val="1"/>
          <w:bCs w:val="1"/>
          <w:i w:val="1"/>
          <w:iCs w:val="1"/>
          <w:color w:val="auto"/>
        </w:rPr>
        <w:t xml:space="preserve"> all future stockholder communications electronically, instead of in print. This means that, after you register, access to the 2020 Annual Report, proxy statement, and other correspondence will be delivered to you via e-mail.</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color w:val="00ADD8"/>
        </w:rPr>
        <w:t>Voting and Attendance at the Annual Meeting</w:t>
      </w:r>
    </w:p>
    <w:p>
      <w:pPr>
        <w:spacing w:after="0" w:line="10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If you own common stock of record, you may virtually attend the Annual Meeting and vote virtually, regardless of whether you have previously voted by proxy card, via the Internet, or by telephone. If you own common stock in street name, you may virtually attend the Annual Meeting, but in order to vote your shares at the Annual Meeting you must obtain a “legal proxy” from the bank, brokerage firm, or other nominee that holds your shares. You should contact your bank or brokerage account representative to learn how to obtain a legal proxy. 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15, 2021) are entitled to virtually attend the Annual Meeting. Each stockholder may appoint only one proxyholder or representative to virtually attend on the stockholder’s behalf.</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ADD8"/>
        </w:rPr>
        <w:t>Revocation</w:t>
      </w:r>
    </w:p>
    <w:p>
      <w:pPr>
        <w:spacing w:after="0" w:line="1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you own common stock of record, you may revoke your proxy or change your voting instructions at any time before your shares are voted at the Annual Meeting by delivering to the Secretary of the Company 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840" w:type="dxa"/>
            <w:vAlign w:val="bottom"/>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020"/>
          </w:cols>
          <w:pgMar w:left="440" w:top="1138" w:right="43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7419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257175"/>
                    </a:xfrm>
                    <a:prstGeom prst="rect">
                      <a:avLst/>
                    </a:prstGeom>
                    <a:noFill/>
                  </pic:spPr>
                </pic:pic>
              </a:graphicData>
            </a:graphic>
          </wp:anchor>
        </w:drawing>
        <w:t>Our Board currently has eleven seats, divided into three classes: Class I, Class II and Class III. Each class consists, as nearly as possible, of one-third of the total number of directors.</w:t>
      </w:r>
    </w:p>
    <w:p>
      <w:pPr>
        <w:spacing w:after="0" w:line="76" w:lineRule="exact"/>
        <w:rPr>
          <w:sz w:val="20"/>
          <w:szCs w:val="20"/>
          <w:color w:val="auto"/>
        </w:rPr>
      </w:pPr>
    </w:p>
    <w:p>
      <w:pPr>
        <w:ind w:left="420" w:hanging="2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Class I directors are John Finley, Scott Ganeles, Murray Roos, and Von Hughes, and their terms will expire at the 2023 Annual Meeting.</w:t>
      </w:r>
    </w:p>
    <w:p>
      <w:pPr>
        <w:spacing w:after="0" w:line="34" w:lineRule="exact"/>
        <w:rPr>
          <w:rFonts w:ascii="Arial" w:cs="Arial" w:eastAsia="Arial" w:hAnsi="Arial"/>
          <w:sz w:val="17"/>
          <w:szCs w:val="17"/>
          <w:color w:val="auto"/>
        </w:rPr>
      </w:pPr>
    </w:p>
    <w:p>
      <w:pPr>
        <w:ind w:left="420" w:hanging="208"/>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Class II directors are Paula Madoff, Thomas Pluta, and Brian West, and their terms will expire at this Annual Meeting.</w:t>
      </w:r>
    </w:p>
    <w:p>
      <w:pPr>
        <w:spacing w:after="0" w:line="9" w:lineRule="exact"/>
        <w:rPr>
          <w:rFonts w:ascii="Arial" w:cs="Arial" w:eastAsia="Arial" w:hAnsi="Arial"/>
          <w:sz w:val="18"/>
          <w:szCs w:val="18"/>
          <w:color w:val="auto"/>
        </w:rPr>
      </w:pPr>
    </w:p>
    <w:p>
      <w:pPr>
        <w:ind w:left="420" w:right="360" w:hanging="208"/>
        <w:spacing w:after="0" w:line="26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Class III directors are Steven Berns, Martin Brand, William (“Billy”) Hult and Lee Olesky, and their terms will expire at the 2022 Annual Meeting.</w:t>
      </w:r>
    </w:p>
    <w:p>
      <w:pPr>
        <w:spacing w:after="0" w:line="77"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Board proposes that Paula Madoff, Thomas Pluta, and Brian West be reelected to Class II for new terms of three years each. Each nominee for director will, if elected, continue in office until the 2024 Annual Meeting and until the director’s successor has been duly elected and qualified, or until the earlier of the director’s death, resignation or removal. The proxy holders named on the proxy card intend to vote the proxy (if you are a stockholder of record) for the election of each of these nominees, unless you indicate on the proxy card that your vote should be cast against any of the nominees. Under Securities and Exchange Commission (“SEC”) rules, proxies cannot be voted for a greater number of persons than the number of nominees named.</w:t>
      </w:r>
    </w:p>
    <w:p>
      <w:pPr>
        <w:spacing w:after="0" w:line="1" w:lineRule="exact"/>
        <w:rPr>
          <w:sz w:val="20"/>
          <w:szCs w:val="20"/>
          <w:color w:val="auto"/>
        </w:rPr>
      </w:pPr>
    </w:p>
    <w:p>
      <w:pPr>
        <w:ind w:right="60" w:firstLine="440"/>
        <w:spacing w:after="0" w:line="250" w:lineRule="auto"/>
        <w:rPr>
          <w:sz w:val="20"/>
          <w:szCs w:val="20"/>
          <w:color w:val="auto"/>
        </w:rPr>
      </w:pPr>
      <w:r>
        <w:rPr>
          <w:rFonts w:ascii="Arial" w:cs="Arial" w:eastAsia="Arial" w:hAnsi="Arial"/>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recommends a vote “for” each nominee.</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00ADD8"/>
        </w:rPr>
        <w:t>Biographical and Related Information of Director Nominees and Continuing Directors</w:t>
      </w:r>
    </w:p>
    <w:p>
      <w:pPr>
        <w:spacing w:after="0" w:line="10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11, 2021, which is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8</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327" w:right="439" w:bottom="1440" w:gutter="0" w:footer="0" w:header="0"/>
        </w:sectPr>
      </w:pPr>
    </w:p>
    <w:bookmarkStart w:id="11" w:name="page12"/>
    <w:bookmarkEnd w:id="11"/>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183515</wp:posOffset>
            </wp:positionV>
            <wp:extent cx="90043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900430" cy="146050"/>
                    </a:xfrm>
                    <a:prstGeom prst="rect">
                      <a:avLst/>
                    </a:prstGeom>
                    <a:noFill/>
                  </pic:spPr>
                </pic:pic>
              </a:graphicData>
            </a:graphic>
          </wp:anchor>
        </w:drawing>
        <w:t>Nominees for Director Whose Terms Would Expire at the 2024 Annual Meeting</w:t>
      </w:r>
    </w:p>
    <w:p>
      <w:pPr>
        <w:spacing w:after="0" w:line="10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Board has nominated three directors to be elected at the Annual Meeting to serve for three-year terms ending with the 2024 Annual Meeting of Stockholders and until a successor is duly elected and qualified, or until the earlier of the director’s death, resignation, or removal. Each nominee is currently a director of the Company and has agreed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54" w:right="4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00ADD8"/>
        </w:rPr>
        <w:t>Paula Madoff</w:t>
      </w:r>
    </w:p>
    <w:p>
      <w:pPr>
        <w:spacing w:after="0" w:line="112" w:lineRule="exact"/>
        <w:rPr>
          <w:sz w:val="20"/>
          <w:szCs w:val="20"/>
          <w:color w:val="auto"/>
        </w:rPr>
      </w:pPr>
    </w:p>
    <w:p>
      <w:pPr>
        <w:ind w:left="1580"/>
        <w:spacing w:after="0"/>
        <w:tabs>
          <w:tab w:leader="none" w:pos="232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805815" cy="805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1580"/>
        <w:spacing w:after="0"/>
        <w:tabs>
          <w:tab w:leader="none" w:pos="2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March 2019</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1580"/>
        <w:spacing w:after="0" w:line="321" w:lineRule="auto"/>
        <w:rPr>
          <w:sz w:val="20"/>
          <w:szCs w:val="20"/>
          <w:color w:val="auto"/>
        </w:rPr>
      </w:pPr>
      <w:r>
        <w:rPr>
          <w:rFonts w:ascii="Arial" w:cs="Arial" w:eastAsia="Arial" w:hAnsi="Arial"/>
          <w:sz w:val="16"/>
          <w:szCs w:val="16"/>
          <w:color w:val="auto"/>
        </w:rPr>
        <w:t>Audit Committee, Compensation Committee, Nominating and Corporate Governance Committee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nominating Ms. Madoff for reelection as a director, the Board considered her deep bench of knowledge and experience working with sales and distributions for Goldman’s interest rate products and mortgages, as well as her significant service on boards and board committees.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Chief Executive Officer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 Ms. Madoff received a B.A. degree in Economics, </w:t>
      </w:r>
      <w:r>
        <w:rPr>
          <w:rFonts w:ascii="Arial" w:cs="Arial" w:eastAsia="Arial" w:hAnsi="Arial"/>
          <w:sz w:val="16"/>
          <w:szCs w:val="16"/>
          <w:i w:val="1"/>
          <w:iCs w:val="1"/>
          <w:color w:val="auto"/>
        </w:rPr>
        <w:t>cum laude,</w:t>
      </w:r>
      <w:r>
        <w:rPr>
          <w:rFonts w:ascii="Arial" w:cs="Arial" w:eastAsia="Arial" w:hAnsi="Arial"/>
          <w:sz w:val="16"/>
          <w:szCs w:val="16"/>
          <w:color w:val="auto"/>
        </w:rPr>
        <w:t xml:space="preserve"> from Lafayette College and an M.B.A. from Harvard Business School.</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00ADD8"/>
        </w:rPr>
        <w:t>Thomas Pluta</w:t>
      </w:r>
    </w:p>
    <w:p>
      <w:pPr>
        <w:spacing w:after="0" w:line="112" w:lineRule="exact"/>
        <w:rPr>
          <w:sz w:val="20"/>
          <w:szCs w:val="20"/>
          <w:color w:val="auto"/>
        </w:rPr>
      </w:pPr>
    </w:p>
    <w:p>
      <w:pPr>
        <w:ind w:left="1600"/>
        <w:spacing w:after="0"/>
        <w:tabs>
          <w:tab w:leader="none" w:pos="236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805815" cy="80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1600"/>
        <w:spacing w:after="0"/>
        <w:tabs>
          <w:tab w:leader="none" w:pos="2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March 2019</w:t>
      </w:r>
    </w:p>
    <w:p>
      <w:pPr>
        <w:spacing w:after="0" w:line="133"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nominating Mr. Pluta for reelection as a director, the Board considered his significant trading and management experience and deep knowledge of our industry.</w:t>
      </w:r>
    </w:p>
    <w:p>
      <w:pPr>
        <w:spacing w:after="0" w:line="12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Prior to the series of reorganization transactions that were completed on April 4, 2019 in connection with the Company’s initial public offering, which closed on April 8, 2019 (the “IPO”), whereby Tradeweb Markets LLC (“TWM LLC”) became the principal operating subsidiary of the Company (the “Reorganization Transactions”), Mr. Pluta served on the former board of managers of TWM LLC beginning in December 2017. Mr. Pluta has served as Global Head of the Linear Rates Trading business at J.P. Morgan since July 2019. Prior to that, Mr. Pluta was Co-Head of Global Rates Trading between April 2015 and July 2019 and Global Head of Short Term Interest Rate Trading between January 2014 and April 2015 at J.P. Morgan.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1230630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6" w:lineRule="exact"/>
        <w:rPr>
          <w:sz w:val="20"/>
          <w:szCs w:val="20"/>
          <w:color w:val="auto"/>
        </w:rPr>
      </w:pPr>
    </w:p>
    <w:p>
      <w:pPr>
        <w:sectPr>
          <w:pgSz w:w="11900" w:h="16838" w:orient="portrait"/>
          <w:cols w:equalWidth="0" w:num="2">
            <w:col w:w="5260" w:space="360"/>
            <w:col w:w="5400"/>
          </w:cols>
          <w:pgMar w:left="440" w:top="1154" w:right="439" w:bottom="1440" w:gutter="0" w:footer="0" w:header="0"/>
          <w:type w:val="continuous"/>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840" w:type="dxa"/>
            <w:vAlign w:val="bottom"/>
          </w:tcPr>
          <w:p>
            <w:pPr>
              <w:jc w:val="right"/>
              <w:spacing w:after="0"/>
              <w:rPr>
                <w:sz w:val="20"/>
                <w:szCs w:val="20"/>
                <w:color w:val="auto"/>
              </w:rPr>
            </w:pPr>
            <w:r>
              <w:rPr>
                <w:rFonts w:ascii="Arial" w:cs="Arial" w:eastAsia="Arial" w:hAnsi="Arial"/>
                <w:sz w:val="16"/>
                <w:szCs w:val="16"/>
                <w:color w:val="auto"/>
              </w:rPr>
              <w:t>9</w:t>
            </w:r>
          </w:p>
        </w:tc>
      </w:tr>
    </w:tbl>
    <w:p>
      <w:pPr>
        <w:sectPr>
          <w:pgSz w:w="11900" w:h="16838" w:orient="portrait"/>
          <w:cols w:equalWidth="0" w:num="1">
            <w:col w:w="11020"/>
          </w:cols>
          <w:pgMar w:left="440" w:top="1154"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9979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99795" cy="14605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774700</wp:posOffset>
            </wp:positionV>
            <wp:extent cx="3360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0420" cy="8890"/>
                    </a:xfrm>
                    <a:prstGeom prst="rect">
                      <a:avLst/>
                    </a:prstGeom>
                    <a:noFill/>
                  </pic:spPr>
                </pic:pic>
              </a:graphicData>
            </a:graphic>
          </wp:anchor>
        </w:drawing>
        <w:t>Brian West</w:t>
      </w:r>
    </w:p>
    <w:p>
      <w:pPr>
        <w:spacing w:after="0" w:line="112" w:lineRule="exact"/>
        <w:rPr>
          <w:sz w:val="20"/>
          <w:szCs w:val="20"/>
          <w:color w:val="auto"/>
        </w:rPr>
      </w:pPr>
    </w:p>
    <w:p>
      <w:pPr>
        <w:ind w:left="1640"/>
        <w:spacing w:after="0"/>
        <w:tabs>
          <w:tab w:leader="none" w:pos="236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805815" cy="805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1640"/>
        <w:spacing w:after="0"/>
        <w:tabs>
          <w:tab w:leader="none" w:pos="2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March 2019</w:t>
      </w:r>
    </w:p>
    <w:p>
      <w:pPr>
        <w:spacing w:after="0" w:line="13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nominating Mr. West for reelection as a director, the Board</w:t>
      </w:r>
    </w:p>
    <w:p>
      <w:pPr>
        <w:spacing w:after="0" w:line="234" w:lineRule="auto"/>
        <w:rPr>
          <w:sz w:val="20"/>
          <w:szCs w:val="20"/>
          <w:color w:val="auto"/>
        </w:rPr>
      </w:pPr>
      <w:r>
        <w:rPr>
          <w:rFonts w:ascii="Arial" w:cs="Arial" w:eastAsia="Arial" w:hAnsi="Arial"/>
          <w:sz w:val="18"/>
          <w:szCs w:val="18"/>
          <w:color w:val="auto"/>
        </w:rPr>
        <w:t>considered his extensive financial knowledge, including from his</w:t>
      </w:r>
    </w:p>
    <w:p>
      <w:pPr>
        <w:spacing w:after="0" w:line="235" w:lineRule="auto"/>
        <w:rPr>
          <w:sz w:val="20"/>
          <w:szCs w:val="20"/>
          <w:color w:val="auto"/>
        </w:rPr>
      </w:pPr>
      <w:r>
        <w:rPr>
          <w:rFonts w:ascii="Arial" w:cs="Arial" w:eastAsia="Arial" w:hAnsi="Arial"/>
          <w:sz w:val="18"/>
          <w:szCs w:val="18"/>
          <w:color w:val="auto"/>
        </w:rPr>
        <w:t>service as Chief Financial Officer at GE Aviation, Nielsen Holdings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plc, Oscar Insurance Corporation and, most recently, at Refinitiv.</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Mr. West has served as Chief Financial Officer of Refinitiv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2018. Prior to that, Mr. West was the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Executive Vice President of Operations of Oscar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between January 2016 and November 2018. Prior to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West was the Chief Operating Officer of Nielsen Holdings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between March 2014 and January 2016 and the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Nielsen Holdings plc (or its predecessor) from February 2007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2014. Prior to joining Nielsen Holdings plc, Mr. West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employed by the General Electric Company as the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of its GE Aviation division from June 2005 to February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that, Mr. West held several senior financial positions across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Company businesses, including NBC and Plastics.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West is a veteran of General Electric Company’s financial leadership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and spent more than 16 years with General Electric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past, Mr. West served as a director and Chair of the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of Getty Images. He received a B.S. degree in finance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Siena College and an M.B.A.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10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284" w:right="439" w:bottom="1440" w:gutter="0" w:footer="0" w:header="0"/>
        </w:sectPr>
      </w:pPr>
    </w:p>
    <w:bookmarkStart w:id="13" w:name="page14"/>
    <w:bookmarkEnd w:id="13"/>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183515</wp:posOffset>
            </wp:positionV>
            <wp:extent cx="90043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900430" cy="146050"/>
                    </a:xfrm>
                    <a:prstGeom prst="rect">
                      <a:avLst/>
                    </a:prstGeom>
                    <a:noFill/>
                  </pic:spPr>
                </pic:pic>
              </a:graphicData>
            </a:graphic>
          </wp:anchor>
        </w:drawing>
        <w:t>Directors Whose Terms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5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ADD8"/>
        </w:rPr>
        <w:t>Steven Berns</w:t>
      </w:r>
    </w:p>
    <w:p>
      <w:pPr>
        <w:spacing w:after="0" w:line="112" w:lineRule="exact"/>
        <w:rPr>
          <w:sz w:val="20"/>
          <w:szCs w:val="20"/>
          <w:color w:val="auto"/>
        </w:rPr>
      </w:pPr>
    </w:p>
    <w:p>
      <w:pPr>
        <w:ind w:left="2060"/>
        <w:spacing w:after="0"/>
        <w:tabs>
          <w:tab w:leader="none" w:pos="278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-116205</wp:posOffset>
            </wp:positionV>
            <wp:extent cx="805815" cy="805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060"/>
        <w:spacing w:after="0"/>
        <w:tabs>
          <w:tab w:leader="none" w:pos="27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April 2020</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Audit Committee (Chair)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Berns was selected to serve on our Board because of his extensive financial knowledge, including from his service as Chief Financial Officer of Tribune, Revlon, TWM LLC and MDC Partners.</w:t>
      </w:r>
    </w:p>
    <w:p>
      <w:pPr>
        <w:spacing w:after="0" w:line="29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Mr. Berns served as Executive Vice President and Chief Financial Officer of GTT Communications, Inc. from April 2020 until January 2021. Prior to that, Mr. Berns served as Chief 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(“MDC Partners”). He previously held several senior financial positions at the Interpublic Group of Companies, Inc. and Revlon. Mr. Berns currently serves as a board member and Chair of the Audit Committee for Forum Merger III Corporation and Forum Merger IV Corporation and has previously served as a board member of Forum Merger Corporation and LivePerson, Inc. Mr. Berns received a B.S. in Business and Economics from Lehigh University and an Executive MBA in Finance from New York University, Stern School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color w:val="00ADD8"/>
        </w:rPr>
        <w:t>Martin Brand</w:t>
      </w:r>
    </w:p>
    <w:p>
      <w:pPr>
        <w:spacing w:after="0" w:line="112" w:lineRule="exact"/>
        <w:rPr>
          <w:sz w:val="20"/>
          <w:szCs w:val="20"/>
          <w:color w:val="auto"/>
        </w:rPr>
      </w:pPr>
    </w:p>
    <w:p>
      <w:pPr>
        <w:ind w:left="2100"/>
        <w:spacing w:after="0"/>
        <w:tabs>
          <w:tab w:leader="none" w:pos="284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-116205</wp:posOffset>
            </wp:positionV>
            <wp:extent cx="805815" cy="805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100"/>
        <w:spacing w:after="0"/>
        <w:tabs>
          <w:tab w:leader="none" w:pos="28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March 2019</w:t>
      </w:r>
    </w:p>
    <w:p>
      <w:pPr>
        <w:spacing w:after="0" w:line="11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100" w:right="460"/>
        <w:spacing w:after="0" w:line="254" w:lineRule="auto"/>
        <w:rPr>
          <w:sz w:val="20"/>
          <w:szCs w:val="20"/>
          <w:color w:val="auto"/>
        </w:rPr>
      </w:pPr>
      <w:r>
        <w:rPr>
          <w:rFonts w:ascii="Arial" w:cs="Arial" w:eastAsia="Arial" w:hAnsi="Arial"/>
          <w:sz w:val="18"/>
          <w:szCs w:val="18"/>
          <w:color w:val="auto"/>
        </w:rPr>
        <w:t>Compensation Committee (Chair), Nominating and Corporate Governance Committee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Mr. Brand was selected to serve on our Board because of his significant experience leading private equity investments in financial institutions and extensive board experience.</w:t>
      </w:r>
    </w:p>
    <w:p>
      <w:pPr>
        <w:spacing w:after="0" w:line="29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First Eagle Investment Management and LSEG. Mr. Brand serves on the Board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1182370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73" w:lineRule="exact"/>
        <w:rPr>
          <w:sz w:val="20"/>
          <w:szCs w:val="20"/>
          <w:color w:val="auto"/>
        </w:rPr>
      </w:pPr>
    </w:p>
    <w:p>
      <w:pPr>
        <w:sectPr>
          <w:pgSz w:w="11900" w:h="16838" w:orient="portrait"/>
          <w:cols w:equalWidth="0" w:num="2">
            <w:col w:w="5200" w:space="420"/>
            <w:col w:w="5400"/>
          </w:cols>
          <w:pgMar w:left="440" w:top="1154" w:right="4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11</w:t>
            </w:r>
          </w:p>
        </w:tc>
      </w:tr>
    </w:tbl>
    <w:p>
      <w:pPr>
        <w:sectPr>
          <w:pgSz w:w="11900" w:h="16838" w:orient="portrait"/>
          <w:cols w:equalWidth="0" w:num="1">
            <w:col w:w="11020"/>
          </w:cols>
          <w:pgMar w:left="440" w:top="1154"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276860</wp:posOffset>
            </wp:positionH>
            <wp:positionV relativeFrom="page">
              <wp:posOffset>183515</wp:posOffset>
            </wp:positionV>
            <wp:extent cx="89979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899795" cy="14605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774700</wp:posOffset>
            </wp:positionV>
            <wp:extent cx="33604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0420" cy="8890"/>
                    </a:xfrm>
                    <a:prstGeom prst="rect">
                      <a:avLst/>
                    </a:prstGeom>
                    <a:noFill/>
                  </pic:spPr>
                </pic:pic>
              </a:graphicData>
            </a:graphic>
          </wp:anchor>
        </w:drawing>
        <w:t>William “Billy” Hult</w:t>
      </w:r>
    </w:p>
    <w:p>
      <w:pPr>
        <w:spacing w:after="0" w:line="112" w:lineRule="exact"/>
        <w:rPr>
          <w:sz w:val="20"/>
          <w:szCs w:val="20"/>
          <w:color w:val="auto"/>
        </w:rPr>
      </w:pPr>
    </w:p>
    <w:p>
      <w:pPr>
        <w:ind w:left="2060"/>
        <w:spacing w:after="0"/>
        <w:tabs>
          <w:tab w:leader="none" w:pos="284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-116205</wp:posOffset>
            </wp:positionV>
            <wp:extent cx="805815" cy="805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060"/>
        <w:spacing w:after="0"/>
        <w:tabs>
          <w:tab w:leader="none" w:pos="2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March 2019</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Mr. Hult was selected to serve on our Board because of the perspective, management, industry experience and operational expertise in our business that he has developed as our President.</w:t>
      </w:r>
    </w:p>
    <w:p>
      <w:pPr>
        <w:spacing w:after="0" w:line="2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Hult has served as TWM LLC’s President since September 2008 and, prior to the Reorganization Transactions, served on the former board of managers of TWM LLC beginning in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00ADD8"/>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-908685</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-222885</wp:posOffset>
            </wp:positionV>
            <wp:extent cx="34290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92" w:lineRule="exact"/>
        <w:rPr>
          <w:sz w:val="20"/>
          <w:szCs w:val="20"/>
          <w:color w:val="auto"/>
        </w:rPr>
      </w:pPr>
    </w:p>
    <w:p>
      <w:pPr>
        <w:ind w:left="2100"/>
        <w:spacing w:after="0"/>
        <w:tabs>
          <w:tab w:leader="none" w:pos="284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-116205</wp:posOffset>
            </wp:positionV>
            <wp:extent cx="805815" cy="805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100"/>
        <w:spacing w:after="0"/>
        <w:tabs>
          <w:tab w:leader="none" w:pos="28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March 2019</w:t>
      </w:r>
    </w:p>
    <w:p>
      <w:pPr>
        <w:spacing w:after="0" w:line="14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Mr. Olesky was selected to serve on our Board because of the perspective, management, leadership experience and operational expertise in our business that he has developed as our Chief Executive Officer.</w:t>
      </w:r>
    </w:p>
    <w:p>
      <w:pPr>
        <w:spacing w:after="0" w:line="2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co-founder and has served as Tradeweb’s Chief Executive Officer and on its Board since its formation. Mr. Olesky has been TWM LLC’s Chief Executive Officer since September 2008 and, prior to the Reorganization Transactions, served on the former board of managers of TWM LLC beginning in 2008. After being our founding Chairperson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180975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40"/>
            <w:col w:w="5400"/>
          </w:cols>
          <w:pgMar w:left="440" w:top="1284" w:right="439" w:bottom="1440" w:gutter="0" w:footer="0" w:header="0"/>
        </w:sectPr>
      </w:pPr>
    </w:p>
    <w:p>
      <w:pPr>
        <w:spacing w:after="0" w:line="16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284" w:right="4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183515</wp:posOffset>
            </wp:positionV>
            <wp:extent cx="90043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00430" cy="146050"/>
                    </a:xfrm>
                    <a:prstGeom prst="rect">
                      <a:avLst/>
                    </a:prstGeom>
                    <a:noFill/>
                  </pic:spPr>
                </pic:pic>
              </a:graphicData>
            </a:graphic>
          </wp:anchor>
        </w:drawing>
        <w:t>Directors Whose Terms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519430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5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00ADD8"/>
        </w:rPr>
        <w:t>John Finley</w:t>
      </w:r>
    </w:p>
    <w:p>
      <w:pPr>
        <w:spacing w:after="0" w:line="112" w:lineRule="exact"/>
        <w:rPr>
          <w:sz w:val="20"/>
          <w:szCs w:val="20"/>
          <w:color w:val="auto"/>
        </w:rPr>
      </w:pPr>
    </w:p>
    <w:p>
      <w:pPr>
        <w:ind w:left="2060"/>
        <w:spacing w:after="0"/>
        <w:tabs>
          <w:tab w:leader="none" w:pos="278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-116205</wp:posOffset>
            </wp:positionV>
            <wp:extent cx="805815" cy="805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060"/>
        <w:spacing w:after="0"/>
        <w:tabs>
          <w:tab w:leader="none" w:pos="2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March 2019</w:t>
      </w:r>
    </w:p>
    <w:p>
      <w:pPr>
        <w:spacing w:after="0" w:line="11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060" w:right="80"/>
        <w:spacing w:after="0" w:line="321" w:lineRule="auto"/>
        <w:rPr>
          <w:sz w:val="20"/>
          <w:szCs w:val="20"/>
          <w:color w:val="auto"/>
        </w:rPr>
      </w:pPr>
      <w:r>
        <w:rPr>
          <w:rFonts w:ascii="Arial" w:cs="Arial" w:eastAsia="Arial" w:hAnsi="Arial"/>
          <w:sz w:val="16"/>
          <w:szCs w:val="16"/>
          <w:color w:val="auto"/>
        </w:rPr>
        <w:t>Compensation Committee, Nominating and Corporate Governance Committee (Chair)</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Mr. Finley was selected to serve on our Board because of his extensive business, management and legal experience.</w:t>
      </w:r>
    </w:p>
    <w:p>
      <w:pPr>
        <w:spacing w:after="0" w:line="2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Mr. Finley is a Senior Managing 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the Advisory Board of the Harvard Law School Program on Corporate Governance, the Board of Advisors of the Penn Institute for Law and Economics and the Advisory Board of the Penn Netter Center for Community Partnerships. Mr. Finley is also currently a member of the U.S. Advisory Council on Historic Preservation. He has served 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6"/>
          <w:szCs w:val="16"/>
          <w:i w:val="1"/>
          <w:iCs w:val="1"/>
          <w:color w:val="auto"/>
        </w:rPr>
        <w:t xml:space="preserve">summa cum laude, </w:t>
      </w:r>
      <w:r>
        <w:rPr>
          <w:rFonts w:ascii="Arial" w:cs="Arial" w:eastAsia="Arial" w:hAnsi="Arial"/>
          <w:sz w:val="16"/>
          <w:szCs w:val="16"/>
          <w:color w:val="auto"/>
        </w:rPr>
        <w:t>from the Wharton School of the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Pennsylvania (1978), a B.A. in History,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College of Arts and Sciences of the University of Pennsylvania (1978) and a JD, </w:t>
      </w:r>
      <w:r>
        <w:rPr>
          <w:rFonts w:ascii="Arial" w:cs="Arial" w:eastAsia="Arial" w:hAnsi="Arial"/>
          <w:sz w:val="16"/>
          <w:szCs w:val="16"/>
          <w:i w:val="1"/>
          <w:iCs w:val="1"/>
          <w:color w:val="auto"/>
        </w:rPr>
        <w:t>cum laude,</w:t>
      </w:r>
      <w:r>
        <w:rPr>
          <w:rFonts w:ascii="Arial" w:cs="Arial" w:eastAsia="Arial" w:hAnsi="Arial"/>
          <w:sz w:val="16"/>
          <w:szCs w:val="16"/>
          <w:color w:val="auto"/>
        </w:rPr>
        <w:t xml:space="preserve"> from Harvard Law School (1981).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ADD8"/>
        </w:rPr>
        <w:t>Scott Ganeles</w:t>
      </w:r>
    </w:p>
    <w:p>
      <w:pPr>
        <w:spacing w:after="0" w:line="112" w:lineRule="exact"/>
        <w:rPr>
          <w:sz w:val="20"/>
          <w:szCs w:val="20"/>
          <w:color w:val="auto"/>
        </w:rPr>
      </w:pPr>
    </w:p>
    <w:p>
      <w:pPr>
        <w:ind w:left="2100"/>
        <w:spacing w:after="0"/>
        <w:tabs>
          <w:tab w:leader="none" w:pos="284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-116205</wp:posOffset>
            </wp:positionV>
            <wp:extent cx="805815" cy="805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100"/>
        <w:spacing w:after="0"/>
        <w:tabs>
          <w:tab w:leader="none" w:pos="28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March 2019</w:t>
      </w:r>
    </w:p>
    <w:p>
      <w:pPr>
        <w:spacing w:after="0" w:line="14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Audit Committee, Compensation Committee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Mr. Ganeles was selected to serve on our Board because of his extensive business and management experience and thorough knowledge of our industry.</w:t>
      </w:r>
    </w:p>
    <w:p>
      <w:pPr>
        <w:spacing w:after="0" w:line="29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Mr. Ganeles is currently a Senior Partner at WestCap Group, LLC, a growth equity firm that invests in growth-stage technology businesses in the financial technology, real estate technology and healthcare technology industries as well as asset-light marketplace platforms. Prior to that,</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Ganales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1786255</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27" w:lineRule="exact"/>
        <w:rPr>
          <w:sz w:val="20"/>
          <w:szCs w:val="20"/>
          <w:color w:val="auto"/>
        </w:rPr>
      </w:pPr>
    </w:p>
    <w:p>
      <w:pPr>
        <w:sectPr>
          <w:pgSz w:w="11900" w:h="16838" w:orient="portrait"/>
          <w:cols w:equalWidth="0" w:num="2">
            <w:col w:w="5280" w:space="340"/>
            <w:col w:w="5400"/>
          </w:cols>
          <w:pgMar w:left="440" w:top="1154" w:right="439" w:bottom="1440" w:gutter="0" w:footer="0" w:header="0"/>
          <w:type w:val="continuous"/>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13</w:t>
            </w:r>
          </w:p>
        </w:tc>
      </w:tr>
    </w:tbl>
    <w:p>
      <w:pPr>
        <w:sectPr>
          <w:pgSz w:w="11900" w:h="16838" w:orient="portrait"/>
          <w:cols w:equalWidth="0" w:num="1">
            <w:col w:w="11020"/>
          </w:cols>
          <w:pgMar w:left="440" w:top="1154"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276860</wp:posOffset>
            </wp:positionH>
            <wp:positionV relativeFrom="page">
              <wp:posOffset>183515</wp:posOffset>
            </wp:positionV>
            <wp:extent cx="89979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899795" cy="14605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774700</wp:posOffset>
            </wp:positionV>
            <wp:extent cx="33604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0420" cy="8890"/>
                    </a:xfrm>
                    <a:prstGeom prst="rect">
                      <a:avLst/>
                    </a:prstGeom>
                    <a:noFill/>
                  </pic:spPr>
                </pic:pic>
              </a:graphicData>
            </a:graphic>
          </wp:anchor>
        </w:drawing>
        <w:t>Von Hughes</w:t>
      </w:r>
    </w:p>
    <w:p>
      <w:pPr>
        <w:spacing w:after="0" w:line="112" w:lineRule="exact"/>
        <w:rPr>
          <w:sz w:val="20"/>
          <w:szCs w:val="20"/>
          <w:color w:val="auto"/>
        </w:rPr>
      </w:pPr>
    </w:p>
    <w:p>
      <w:pPr>
        <w:ind w:left="2060"/>
        <w:spacing w:after="0"/>
        <w:tabs>
          <w:tab w:leader="none" w:pos="278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-116205</wp:posOffset>
            </wp:positionV>
            <wp:extent cx="805815" cy="805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060"/>
        <w:spacing w:after="0"/>
        <w:tabs>
          <w:tab w:leader="none" w:pos="2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March 2021</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Mr. Hughes was selected to serve on our Board because of his extensive financial, industry and governance knowledge.</w:t>
      </w:r>
    </w:p>
    <w:p>
      <w:pPr>
        <w:spacing w:after="0" w:line="2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Hughes is a partner and managing director of PAAMCO Prisma, where he has served as Head of Strategic Advisory &amp; Client Acquisition since 2010. Mr. Hughes has also served as a director of PAAMCO Prisma Holdings LLC since 2018. Mr. Hughes has been with PAAMCO Prisma (formerly known as PAAMCO) since 2003, and has served in a number of senior roles at the firm. Prior to joining PAAMCO Prisma, Mr. Hughes held senior positions at Goldman Sachs and at Utendahl Capital Partners. Mr. Hughes is a board member of National Association of Investment Companies (NAIC), as well as Greenwich Roundtable. Mr. Hughes received a J.D. from Harvard Law School, a M.M.P. from the John F. Kennedy School of Government at Harvard University and a B.A. in Philosophy (cum laude) from Yale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00ADD8"/>
        </w:rPr>
        <w:t>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-908685</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-222885</wp:posOffset>
            </wp:positionV>
            <wp:extent cx="3429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92" w:lineRule="exact"/>
        <w:rPr>
          <w:sz w:val="20"/>
          <w:szCs w:val="20"/>
          <w:color w:val="auto"/>
        </w:rPr>
      </w:pPr>
    </w:p>
    <w:p>
      <w:pPr>
        <w:ind w:left="2100"/>
        <w:spacing w:after="0"/>
        <w:tabs>
          <w:tab w:leader="none" w:pos="2840" w:val="left"/>
        </w:tabs>
        <w:rPr>
          <w:sz w:val="20"/>
          <w:szCs w:val="20"/>
          <w:color w:val="auto"/>
        </w:rPr>
      </w:pPr>
      <w:r>
        <w:rPr>
          <w:rFonts w:ascii="Arial" w:cs="Arial" w:eastAsia="Arial" w:hAnsi="Arial"/>
          <w:sz w:val="18"/>
          <w:szCs w:val="18"/>
          <w:b w:val="1"/>
          <w:bCs w:val="1"/>
          <w:color w:val="001F5B"/>
        </w:rPr>
        <w:t>Age:</w:t>
      </w:r>
      <w:r>
        <w:rPr>
          <w:sz w:val="20"/>
          <w:szCs w:val="20"/>
          <w:color w:val="auto"/>
        </w:rPr>
        <w:tab/>
      </w:r>
      <w:r>
        <w:rPr>
          <w:rFonts w:ascii="Arial" w:cs="Arial" w:eastAsia="Arial" w:hAnsi="Arial"/>
          <w:sz w:val="18"/>
          <w:szCs w:val="18"/>
          <w:b w:val="1"/>
          <w:bCs w:val="1"/>
          <w:color w:val="001F5B"/>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-116205</wp:posOffset>
            </wp:positionV>
            <wp:extent cx="805815" cy="805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100"/>
        <w:spacing w:after="0"/>
        <w:tabs>
          <w:tab w:leader="none" w:pos="28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March 2021</w:t>
      </w:r>
    </w:p>
    <w:p>
      <w:pPr>
        <w:spacing w:after="0" w:line="14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01F5B"/>
        </w:rPr>
        <w:t>Tradeweb Committees:</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1F5B"/>
        </w:rPr>
        <w:t>Key Experience and Qualifications:</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Mr. Roos was selected to serve on our Board because of his global leadership experience across sales, trading and origination.</w:t>
      </w:r>
    </w:p>
    <w:p>
      <w:pPr>
        <w:spacing w:after="0" w:line="29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Mr. Roos has served as the Group Director, Capital Markets, and as a member of the Executive Committee, of LSEG since April 2020. Prior to joining LSEG, Mr. Roos held several senior positions at Citigroup from April 2015 to March 2020, including Global Co-Head of Equities, and previously led Citigroup’s Multi-Asset Structuring Group. Prior to that, Mr. Roos held various management and trading positions at Deutsche Bank, and was previously a trader at UBS. Mr. Roos received a BSc from the University of Cape Town.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730885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74" w:lineRule="exact"/>
        <w:rPr>
          <w:sz w:val="20"/>
          <w:szCs w:val="20"/>
          <w:color w:val="auto"/>
        </w:rPr>
      </w:pPr>
    </w:p>
    <w:p>
      <w:pPr>
        <w:sectPr>
          <w:pgSz w:w="11900" w:h="16838" w:orient="portrait"/>
          <w:cols w:equalWidth="0" w:num="2">
            <w:col w:w="5220" w:space="400"/>
            <w:col w:w="5400"/>
          </w:cols>
          <w:pgMar w:left="440" w:top="1284" w:right="439" w:bottom="1440" w:gutter="0" w:footer="0" w:header="0"/>
        </w:sectPr>
      </w:pPr>
    </w:p>
    <w:p>
      <w:pPr>
        <w:spacing w:after="0" w:line="152"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284"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6278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962785" cy="257175"/>
                    </a:xfrm>
                    <a:prstGeom prst="rect">
                      <a:avLst/>
                    </a:prstGeom>
                    <a:noFill/>
                  </pic:spPr>
                </pic:pic>
              </a:graphicData>
            </a:graphic>
          </wp:anchor>
        </w:drawing>
        <w:t>Controlled Company Exception and Director Independence</w:t>
      </w:r>
    </w:p>
    <w:p>
      <w:pPr>
        <w:spacing w:after="0" w:line="10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Our Board has affirmatively determined that Mr. Berns, Mr. Ganeles, Mr. Hughes and Ms. Madoff are independent directors under the rules of Nasdaq, and are independent directors as such term is defined in Rule 10A-3(b)(1) under the Exchange Act.</w:t>
      </w:r>
    </w:p>
    <w:p>
      <w:pPr>
        <w:spacing w:after="0" w:line="1" w:lineRule="exact"/>
        <w:rPr>
          <w:sz w:val="20"/>
          <w:szCs w:val="20"/>
          <w:color w:val="auto"/>
        </w:rPr>
      </w:pPr>
    </w:p>
    <w:p>
      <w:pPr>
        <w:ind w:right="40" w:firstLine="440"/>
        <w:spacing w:after="0" w:line="251" w:lineRule="auto"/>
        <w:rPr>
          <w:sz w:val="20"/>
          <w:szCs w:val="20"/>
          <w:color w:val="auto"/>
        </w:rPr>
      </w:pPr>
      <w:r>
        <w:rPr>
          <w:rFonts w:ascii="Arial" w:cs="Arial" w:eastAsia="Arial" w:hAnsi="Arial"/>
          <w:sz w:val="18"/>
          <w:szCs w:val="18"/>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that certain stockholders agreement with the Company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1the. requirement that a majority of our Board consist of independent directors;</w:t>
      </w:r>
    </w:p>
    <w:p>
      <w:pPr>
        <w:spacing w:after="0" w:line="23" w:lineRule="exact"/>
        <w:rPr>
          <w:sz w:val="20"/>
          <w:szCs w:val="20"/>
          <w:color w:val="auto"/>
        </w:rPr>
      </w:pPr>
    </w:p>
    <w:p>
      <w:pPr>
        <w:ind w:left="400" w:right="80" w:hanging="71"/>
        <w:spacing w:after="0" w:line="250" w:lineRule="auto"/>
        <w:rPr>
          <w:sz w:val="20"/>
          <w:szCs w:val="20"/>
          <w:color w:val="auto"/>
        </w:rPr>
      </w:pPr>
      <w:r>
        <w:rPr>
          <w:rFonts w:ascii="Arial" w:cs="Arial" w:eastAsia="Arial" w:hAnsi="Arial"/>
          <w:sz w:val="18"/>
          <w:szCs w:val="18"/>
          <w:color w:val="auto"/>
        </w:rPr>
        <w:t>2the. requirement that director nominations be made, or recommended to the full Board, by its independent directors or by a nominations committee that is composed entirely of independent directors;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3the. requirement that we have a Compensation Committee that is composed entirely of independent directors.</w:t>
      </w:r>
    </w:p>
    <w:p>
      <w:pPr>
        <w:spacing w:after="0" w:line="10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ADD8"/>
        </w:rPr>
        <w:t>Board Leadership</w:t>
      </w:r>
    </w:p>
    <w:p>
      <w:pPr>
        <w:spacing w:after="0" w:line="1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our stockholders.</w:t>
      </w:r>
    </w:p>
    <w:p>
      <w:pPr>
        <w:spacing w:after="0" w:line="3"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The Board selects its chairperson (“Chairperson”) and the Company’s Chief Executive Officer in the manner it considers in the best interests of the Company. Therefore, the Board does not have a policy on whether the roles of Chairperson and Chief Executive Officer should be separate or combined and, if it is to be separate, whether the Chairperson should be selected from the independent directors. At the present time, Mr. Brand serves as the Chairperson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1F5B"/>
        </w:rPr>
        <w:t>Executive Sessions.</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non-management directors meet in executive session with no members of management present at every regularly scheduled meeting of the Board, and, if the non-management directors include directors who have not been determined to be independent, the independent directors shall separately meet in a private session at least once a year that excludes management and directors who have not been determined to be independent. The Chairperson of the Board (or, if the Chairperson is a management director or is not an independent director, a director designated by the non-management or independent directors, as applicable) presides at the 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020"/>
          </w:cols>
          <w:pgMar w:left="440" w:top="1343" w:right="439" w:bottom="1440" w:gutter="0" w:footer="0" w:header="0"/>
        </w:sectPr>
      </w:pPr>
    </w:p>
    <w:bookmarkStart w:id="18" w:name="page19"/>
    <w:bookmarkEnd w:id="18"/>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985520" cy="146050"/>
                    </a:xfrm>
                    <a:prstGeom prst="rect">
                      <a:avLst/>
                    </a:prstGeom>
                    <a:noFill/>
                  </pic:spPr>
                </pic:pic>
              </a:graphicData>
            </a:graphic>
          </wp:anchor>
        </w:drawing>
        <w:t>Communications with Directors</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Stockholders and other interested parties may communicate with the Board by writing to the General Counsel, Tradeweb Markets Inc., 1177 Avenue of the Americas, New York, New York 10036. Written communications may be addressed to the Chairperson of the Board, the chairperson of any of the Audit, Nominating and Corporate Governance, and Compensation Committees, or to the non-management or independent directors as a group. The General Counsel will forward such communications to the appropriate party.</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00ADD8"/>
        </w:rPr>
        <w:t>Board Diversity Policy</w:t>
      </w:r>
    </w:p>
    <w:p>
      <w:pPr>
        <w:spacing w:after="0" w:line="1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recognizes and embraces the benefits of having a diverse Board to enhance the quality of its performance. With a view to achieving a sustainable and balanced development, the Company sees diversity at the Board level as an essential element in supporting the attainment of its strategic objectives and its sustainable development. In designing the Board’s composition, Board diversity is considered from a number of aspects, including but not limited to gender, age, race, ethnicity, nationality, cultural and educational background, professional experience, skills, knowledge and length of service. The ultimate decision on all Board nominations will be based on merit and contribution that the selected candidates will bring to the Board, having due regard for the benefits of diversity on the Board.</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ADD8"/>
        </w:rPr>
        <w:t>Risk Oversight</w:t>
      </w:r>
    </w:p>
    <w:p>
      <w:pPr>
        <w:spacing w:after="0" w:line="1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Board exercises direct oversight of strategic risks to the Company. The Audit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Company’s Chief Risk Officer updates the Board and the Audit Committee regularly throughout the year, and more frequently as necessary and appropriate. The Board and Audit Committee provide feedback and recommendations accordingly. The Compensation Committee oversees risks relating to the Company’s compensation policies and practices. The Nominating and Corporate Governance Committee assists the Board by overseeing and evaluating programs and risks associated with Board organization, membership and structure and corporate governance. Each committee charged with risk oversight reports to the Board on those matters.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00ADD8"/>
        </w:rPr>
        <w:t>Corporate Governance Documents</w:t>
      </w:r>
    </w:p>
    <w:p>
      <w:pPr>
        <w:spacing w:after="0" w:line="1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Please visit our investor relations website at https://investors.tradeweb.com/corporate-governance/, “Documents and Charters,” for additional information on our corporate governance, including:</w:t>
      </w:r>
    </w:p>
    <w:p>
      <w:pPr>
        <w:spacing w:after="0" w:line="76" w:lineRule="exact"/>
        <w:rPr>
          <w:sz w:val="20"/>
          <w:szCs w:val="20"/>
          <w:color w:val="auto"/>
        </w:rPr>
      </w:pPr>
    </w:p>
    <w:p>
      <w:pPr>
        <w:ind w:left="420" w:hanging="208"/>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Bylaws (our “Bylaws”);</w:t>
      </w:r>
    </w:p>
    <w:p>
      <w:pPr>
        <w:spacing w:after="0" w:line="23" w:lineRule="exact"/>
        <w:rPr>
          <w:rFonts w:ascii="Arial" w:cs="Arial" w:eastAsia="Arial" w:hAnsi="Arial"/>
          <w:sz w:val="18"/>
          <w:szCs w:val="18"/>
          <w:color w:val="auto"/>
        </w:rPr>
      </w:pPr>
    </w:p>
    <w:p>
      <w:pPr>
        <w:ind w:left="420" w:hanging="208"/>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(our “Certificate of Incorporation”);</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Code of Business Conduct and Ethics, as amended; and</w:t>
      </w:r>
    </w:p>
    <w:p>
      <w:pPr>
        <w:spacing w:after="0" w:line="9" w:lineRule="exact"/>
        <w:rPr>
          <w:rFonts w:ascii="Arial" w:cs="Arial" w:eastAsia="Arial" w:hAnsi="Arial"/>
          <w:sz w:val="18"/>
          <w:szCs w:val="18"/>
          <w:color w:val="auto"/>
        </w:rPr>
      </w:pPr>
    </w:p>
    <w:p>
      <w:pPr>
        <w:ind w:left="420" w:right="440" w:hanging="208"/>
        <w:spacing w:after="0" w:line="260"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charters approved by the Board for the Audit Committee, the Compensation Committee, and the Nominating and Corporate Governance Committee, each as amended.</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ADD8"/>
        </w:rPr>
        <w:t>Board Meetings and Committees</w:t>
      </w:r>
    </w:p>
    <w:p>
      <w:pPr>
        <w:spacing w:after="0" w:line="10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Board meets regularly during the year, and holds special meetings and acts by unanimous written consent whenever circumstances require. During 2020, there were six meetings of the Board. Each director attended at least 75% of the aggregate of the total number of meetings of the Board (held during the period for which he or she was a director) and the total number of meetings held by all committees on which he or she served (during the periods that he or she served) during 2020. In addition, directors are expected to make every effort to virtually attend any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3"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668" w:right="439" w:bottom="1440" w:gutter="0" w:footer="0" w:header="0"/>
        </w:sectPr>
      </w:pPr>
    </w:p>
    <w:bookmarkStart w:id="19" w:name="page20"/>
    <w:bookmarkEnd w:id="19"/>
    <w:p>
      <w:pPr>
        <w:ind w:left="4" w:right="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145415"/>
                    </a:xfrm>
                    <a:prstGeom prst="rect">
                      <a:avLst/>
                    </a:prstGeom>
                    <a:noFill/>
                  </pic:spPr>
                </pic:pic>
              </a:graphicData>
            </a:graphic>
          </wp:anchor>
        </w:drawing>
        <w:t>The Board has established an Audit Committee, a Compensation Committee, and a Nominating and Corporate Governance Committee (collectively, the “Committees”). The Committees keep the Board informed of their actions and provide assistance to the Board in fulfilling its oversight responsibility to stockholders. The Committees meet regularly during the year, and hold special meetings and acts by unanimous written consent whenever circumstances require. The table below provides current membership information as well as meeting information for the last fiscal year.</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tcPr>
          <w:p>
            <w:pPr>
              <w:jc w:val="right"/>
              <w:ind w:right="47"/>
              <w:spacing w:after="0"/>
              <w:rPr>
                <w:sz w:val="20"/>
                <w:szCs w:val="20"/>
                <w:color w:val="auto"/>
              </w:rPr>
            </w:pPr>
            <w:r>
              <w:rPr>
                <w:rFonts w:ascii="Arial" w:cs="Arial" w:eastAsia="Arial" w:hAnsi="Arial"/>
                <w:sz w:val="13"/>
                <w:szCs w:val="13"/>
                <w:color w:val="auto"/>
              </w:rPr>
              <w:t>Nominating and</w:t>
            </w:r>
          </w:p>
        </w:tc>
      </w:tr>
      <w:tr>
        <w:trPr>
          <w:trHeight w:val="136"/>
        </w:trPr>
        <w:tc>
          <w:tcPr>
            <w:tcW w:w="7700" w:type="dxa"/>
            <w:vAlign w:val="bottom"/>
          </w:tcPr>
          <w:p>
            <w:pPr>
              <w:spacing w:after="0"/>
              <w:rPr>
                <w:sz w:val="11"/>
                <w:szCs w:val="11"/>
                <w:color w:val="auto"/>
              </w:rPr>
            </w:pPr>
          </w:p>
        </w:tc>
        <w:tc>
          <w:tcPr>
            <w:tcW w:w="960" w:type="dxa"/>
            <w:vAlign w:val="bottom"/>
          </w:tcPr>
          <w:p>
            <w:pPr>
              <w:jc w:val="right"/>
              <w:ind w:right="105"/>
              <w:spacing w:after="0" w:line="136" w:lineRule="exact"/>
              <w:rPr>
                <w:sz w:val="20"/>
                <w:szCs w:val="20"/>
                <w:color w:val="auto"/>
              </w:rPr>
            </w:pPr>
            <w:r>
              <w:rPr>
                <w:rFonts w:ascii="Arial" w:cs="Arial" w:eastAsia="Arial" w:hAnsi="Arial"/>
                <w:sz w:val="13"/>
                <w:szCs w:val="13"/>
                <w:color w:val="auto"/>
              </w:rPr>
              <w:t>Audit</w:t>
            </w:r>
          </w:p>
        </w:tc>
        <w:tc>
          <w:tcPr>
            <w:tcW w:w="1000" w:type="dxa"/>
            <w:vAlign w:val="bottom"/>
          </w:tcPr>
          <w:p>
            <w:pPr>
              <w:jc w:val="right"/>
              <w:ind w:right="64"/>
              <w:spacing w:after="0" w:line="136" w:lineRule="exact"/>
              <w:rPr>
                <w:sz w:val="20"/>
                <w:szCs w:val="20"/>
                <w:color w:val="auto"/>
              </w:rPr>
            </w:pPr>
            <w:r>
              <w:rPr>
                <w:rFonts w:ascii="Arial" w:cs="Arial" w:eastAsia="Arial" w:hAnsi="Arial"/>
                <w:sz w:val="13"/>
                <w:szCs w:val="13"/>
                <w:color w:val="auto"/>
              </w:rPr>
              <w:t>Compensation</w:t>
            </w:r>
          </w:p>
        </w:tc>
        <w:tc>
          <w:tcPr>
            <w:tcW w:w="1360" w:type="dxa"/>
            <w:vAlign w:val="bottom"/>
          </w:tcPr>
          <w:p>
            <w:pPr>
              <w:jc w:val="right"/>
              <w:ind w:right="47"/>
              <w:spacing w:after="0" w:line="136" w:lineRule="exact"/>
              <w:rPr>
                <w:sz w:val="20"/>
                <w:szCs w:val="20"/>
                <w:color w:val="auto"/>
              </w:rPr>
            </w:pPr>
            <w:r>
              <w:rPr>
                <w:rFonts w:ascii="Arial" w:cs="Arial" w:eastAsia="Arial" w:hAnsi="Arial"/>
                <w:sz w:val="13"/>
                <w:szCs w:val="13"/>
                <w:color w:val="auto"/>
                <w:w w:val="92"/>
              </w:rPr>
              <w:t>Corporate Governance</w:t>
            </w:r>
          </w:p>
        </w:tc>
      </w:tr>
      <w:tr>
        <w:trPr>
          <w:trHeight w:val="174"/>
        </w:trPr>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w:t>
            </w:r>
          </w:p>
        </w:tc>
        <w:tc>
          <w:tcPr>
            <w:tcW w:w="96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color w:val="auto"/>
              </w:rPr>
              <w:t>Committee</w:t>
            </w: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Committee</w:t>
            </w:r>
          </w:p>
        </w:tc>
        <w:tc>
          <w:tcPr>
            <w:tcW w:w="136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color w:val="auto"/>
              </w:rPr>
              <w:t>Committee</w:t>
            </w:r>
          </w:p>
        </w:tc>
      </w:tr>
      <w:tr>
        <w:trPr>
          <w:trHeight w:val="285"/>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Steven Berns</w:t>
            </w:r>
          </w:p>
        </w:tc>
        <w:tc>
          <w:tcPr>
            <w:tcW w:w="960" w:type="dxa"/>
            <w:vAlign w:val="bottom"/>
            <w:tcBorders>
              <w:bottom w:val="single" w:sz="8" w:color="CCEEF7"/>
            </w:tcBorders>
            <w:shd w:val="clear" w:color="auto" w:fill="CCEEF7"/>
          </w:tcPr>
          <w:p>
            <w:pPr>
              <w:jc w:val="right"/>
              <w:ind w:right="45"/>
              <w:spacing w:after="0"/>
              <w:rPr>
                <w:sz w:val="20"/>
                <w:szCs w:val="20"/>
                <w:color w:val="auto"/>
              </w:rPr>
            </w:pPr>
            <w:r>
              <w:rPr>
                <w:rFonts w:ascii="Arial" w:cs="Arial" w:eastAsia="Arial" w:hAnsi="Arial"/>
                <w:sz w:val="16"/>
                <w:szCs w:val="16"/>
                <w:color w:val="auto"/>
              </w:rPr>
              <w:t>X*</w:t>
            </w:r>
          </w:p>
        </w:tc>
        <w:tc>
          <w:tcPr>
            <w:tcW w:w="1000" w:type="dxa"/>
            <w:vAlign w:val="bottom"/>
            <w:tcBorders>
              <w:bottom w:val="single" w:sz="8" w:color="CCEEF7"/>
            </w:tcBorders>
            <w:shd w:val="clear" w:color="auto" w:fill="CCEEF7"/>
          </w:tcPr>
          <w:p>
            <w:pPr>
              <w:spacing w:after="0"/>
              <w:rPr>
                <w:sz w:val="24"/>
                <w:szCs w:val="24"/>
                <w:color w:val="auto"/>
              </w:rPr>
            </w:pPr>
          </w:p>
        </w:tc>
        <w:tc>
          <w:tcPr>
            <w:tcW w:w="1360" w:type="dxa"/>
            <w:vAlign w:val="bottom"/>
            <w:tcBorders>
              <w:bottom w:val="single" w:sz="8" w:color="CCEEF7"/>
            </w:tcBorders>
            <w:shd w:val="clear" w:color="auto" w:fill="CCEEF7"/>
          </w:tcPr>
          <w:p>
            <w:pPr>
              <w:spacing w:after="0"/>
              <w:rPr>
                <w:sz w:val="24"/>
                <w:szCs w:val="24"/>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Martin Brand</w:t>
            </w:r>
          </w:p>
        </w:tc>
        <w:tc>
          <w:tcPr>
            <w:tcW w:w="960" w:type="dxa"/>
            <w:vAlign w:val="bottom"/>
          </w:tcPr>
          <w:p>
            <w:pPr>
              <w:spacing w:after="0"/>
              <w:rPr>
                <w:sz w:val="22"/>
                <w:szCs w:val="22"/>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X*</w:t>
            </w:r>
          </w:p>
        </w:tc>
        <w:tc>
          <w:tcPr>
            <w:tcW w:w="1360" w:type="dxa"/>
            <w:vAlign w:val="bottom"/>
          </w:tcPr>
          <w:p>
            <w:pPr>
              <w:jc w:val="right"/>
              <w:ind w:right="47"/>
              <w:spacing w:after="0"/>
              <w:rPr>
                <w:sz w:val="20"/>
                <w:szCs w:val="20"/>
                <w:color w:val="auto"/>
              </w:rPr>
            </w:pPr>
            <w:r>
              <w:rPr>
                <w:rFonts w:ascii="Arial" w:cs="Arial" w:eastAsia="Arial" w:hAnsi="Arial"/>
                <w:sz w:val="16"/>
                <w:szCs w:val="16"/>
                <w:color w:val="auto"/>
              </w:rPr>
              <w:t>X</w:t>
            </w:r>
          </w:p>
        </w:tc>
      </w:tr>
      <w:tr>
        <w:trPr>
          <w:trHeight w:val="60"/>
        </w:trPr>
        <w:tc>
          <w:tcPr>
            <w:tcW w:w="7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John Finley</w:t>
            </w:r>
          </w:p>
        </w:tc>
        <w:tc>
          <w:tcPr>
            <w:tcW w:w="960" w:type="dxa"/>
            <w:vAlign w:val="bottom"/>
            <w:tcBorders>
              <w:bottom w:val="single" w:sz="8" w:color="CCEEF7"/>
            </w:tcBorders>
            <w:shd w:val="clear" w:color="auto" w:fill="CCEEF7"/>
          </w:tcPr>
          <w:p>
            <w:pPr>
              <w:spacing w:after="0"/>
              <w:rPr>
                <w:sz w:val="24"/>
                <w:szCs w:val="24"/>
                <w:color w:val="auto"/>
              </w:rPr>
            </w:pPr>
          </w:p>
        </w:tc>
        <w:tc>
          <w:tcPr>
            <w:tcW w:w="100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X</w:t>
            </w:r>
          </w:p>
        </w:tc>
        <w:tc>
          <w:tcPr>
            <w:tcW w:w="136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X*</w:t>
            </w: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Scott Ganeles</w:t>
            </w:r>
          </w:p>
        </w:tc>
        <w:tc>
          <w:tcPr>
            <w:tcW w:w="960" w:type="dxa"/>
            <w:vAlign w:val="bottom"/>
          </w:tcPr>
          <w:p>
            <w:pPr>
              <w:jc w:val="right"/>
              <w:ind w:right="105"/>
              <w:spacing w:after="0"/>
              <w:rPr>
                <w:sz w:val="20"/>
                <w:szCs w:val="20"/>
                <w:color w:val="auto"/>
              </w:rPr>
            </w:pPr>
            <w:r>
              <w:rPr>
                <w:rFonts w:ascii="Arial" w:cs="Arial" w:eastAsia="Arial" w:hAnsi="Arial"/>
                <w:sz w:val="16"/>
                <w:szCs w:val="16"/>
                <w:color w:val="auto"/>
              </w:rPr>
              <w:t>X</w:t>
            </w:r>
          </w:p>
        </w:tc>
        <w:tc>
          <w:tcPr>
            <w:tcW w:w="1000" w:type="dxa"/>
            <w:vAlign w:val="bottom"/>
          </w:tcPr>
          <w:p>
            <w:pPr>
              <w:jc w:val="right"/>
              <w:ind w:right="64"/>
              <w:spacing w:after="0"/>
              <w:rPr>
                <w:sz w:val="20"/>
                <w:szCs w:val="20"/>
                <w:color w:val="auto"/>
              </w:rPr>
            </w:pPr>
            <w:r>
              <w:rPr>
                <w:rFonts w:ascii="Arial" w:cs="Arial" w:eastAsia="Arial" w:hAnsi="Arial"/>
                <w:sz w:val="16"/>
                <w:szCs w:val="16"/>
                <w:color w:val="auto"/>
              </w:rPr>
              <w:t>X</w:t>
            </w:r>
          </w:p>
        </w:tc>
        <w:tc>
          <w:tcPr>
            <w:tcW w:w="1360" w:type="dxa"/>
            <w:vAlign w:val="bottom"/>
          </w:tcPr>
          <w:p>
            <w:pPr>
              <w:spacing w:after="0"/>
              <w:rPr>
                <w:sz w:val="22"/>
                <w:szCs w:val="22"/>
                <w:color w:val="auto"/>
              </w:rPr>
            </w:pPr>
          </w:p>
        </w:tc>
      </w:tr>
      <w:tr>
        <w:trPr>
          <w:trHeight w:val="60"/>
        </w:trPr>
        <w:tc>
          <w:tcPr>
            <w:tcW w:w="7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Billy Hult</w:t>
            </w:r>
          </w:p>
        </w:tc>
        <w:tc>
          <w:tcPr>
            <w:tcW w:w="960" w:type="dxa"/>
            <w:vAlign w:val="bottom"/>
            <w:tcBorders>
              <w:bottom w:val="single" w:sz="8" w:color="CCEEF7"/>
            </w:tcBorders>
            <w:shd w:val="clear" w:color="auto" w:fill="CCEEF7"/>
          </w:tcPr>
          <w:p>
            <w:pPr>
              <w:spacing w:after="0"/>
              <w:rPr>
                <w:sz w:val="24"/>
                <w:szCs w:val="24"/>
                <w:color w:val="auto"/>
              </w:rPr>
            </w:pPr>
          </w:p>
        </w:tc>
        <w:tc>
          <w:tcPr>
            <w:tcW w:w="1000" w:type="dxa"/>
            <w:vAlign w:val="bottom"/>
            <w:tcBorders>
              <w:bottom w:val="single" w:sz="8" w:color="CCEEF7"/>
            </w:tcBorders>
            <w:shd w:val="clear" w:color="auto" w:fill="CCEEF7"/>
          </w:tcPr>
          <w:p>
            <w:pPr>
              <w:spacing w:after="0"/>
              <w:rPr>
                <w:sz w:val="24"/>
                <w:szCs w:val="24"/>
                <w:color w:val="auto"/>
              </w:rPr>
            </w:pPr>
          </w:p>
        </w:tc>
        <w:tc>
          <w:tcPr>
            <w:tcW w:w="1360" w:type="dxa"/>
            <w:vAlign w:val="bottom"/>
            <w:tcBorders>
              <w:bottom w:val="single" w:sz="8" w:color="CCEEF7"/>
            </w:tcBorders>
            <w:shd w:val="clear" w:color="auto" w:fill="CCEEF7"/>
          </w:tcPr>
          <w:p>
            <w:pPr>
              <w:spacing w:after="0"/>
              <w:rPr>
                <w:sz w:val="24"/>
                <w:szCs w:val="24"/>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Von Hughes</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0"/>
        </w:trPr>
        <w:tc>
          <w:tcPr>
            <w:tcW w:w="7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Paula Madoff</w:t>
            </w:r>
          </w:p>
        </w:tc>
        <w:tc>
          <w:tcPr>
            <w:tcW w:w="960" w:type="dxa"/>
            <w:vAlign w:val="bottom"/>
            <w:tcBorders>
              <w:bottom w:val="single" w:sz="8" w:color="CCEEF7"/>
            </w:tcBorders>
            <w:shd w:val="clear" w:color="auto" w:fill="CCEEF7"/>
          </w:tcPr>
          <w:p>
            <w:pPr>
              <w:jc w:val="right"/>
              <w:ind w:right="105"/>
              <w:spacing w:after="0"/>
              <w:rPr>
                <w:sz w:val="20"/>
                <w:szCs w:val="20"/>
                <w:color w:val="auto"/>
              </w:rPr>
            </w:pPr>
            <w:r>
              <w:rPr>
                <w:rFonts w:ascii="Arial" w:cs="Arial" w:eastAsia="Arial" w:hAnsi="Arial"/>
                <w:sz w:val="16"/>
                <w:szCs w:val="16"/>
                <w:color w:val="auto"/>
              </w:rPr>
              <w:t>X</w:t>
            </w:r>
          </w:p>
        </w:tc>
        <w:tc>
          <w:tcPr>
            <w:tcW w:w="100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X</w:t>
            </w:r>
          </w:p>
        </w:tc>
        <w:tc>
          <w:tcPr>
            <w:tcW w:w="1360" w:type="dxa"/>
            <w:vAlign w:val="bottom"/>
            <w:tcBorders>
              <w:bottom w:val="single" w:sz="8" w:color="CCEEF7"/>
            </w:tcBorders>
            <w:shd w:val="clear" w:color="auto" w:fill="CCEEF7"/>
          </w:tcPr>
          <w:p>
            <w:pPr>
              <w:jc w:val="right"/>
              <w:ind w:right="47"/>
              <w:spacing w:after="0"/>
              <w:rPr>
                <w:sz w:val="20"/>
                <w:szCs w:val="20"/>
                <w:color w:val="auto"/>
              </w:rPr>
            </w:pPr>
            <w:r>
              <w:rPr>
                <w:rFonts w:ascii="Arial" w:cs="Arial" w:eastAsia="Arial" w:hAnsi="Arial"/>
                <w:sz w:val="16"/>
                <w:szCs w:val="16"/>
                <w:color w:val="auto"/>
              </w:rPr>
              <w:t>X</w:t>
            </w: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Lee Olesky</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0"/>
        </w:trPr>
        <w:tc>
          <w:tcPr>
            <w:tcW w:w="7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Thomas Pluta</w:t>
            </w:r>
          </w:p>
        </w:tc>
        <w:tc>
          <w:tcPr>
            <w:tcW w:w="960" w:type="dxa"/>
            <w:vAlign w:val="bottom"/>
            <w:tcBorders>
              <w:bottom w:val="single" w:sz="8" w:color="CCEEF7"/>
            </w:tcBorders>
            <w:shd w:val="clear" w:color="auto" w:fill="CCEEF7"/>
          </w:tcPr>
          <w:p>
            <w:pPr>
              <w:spacing w:after="0"/>
              <w:rPr>
                <w:sz w:val="24"/>
                <w:szCs w:val="24"/>
                <w:color w:val="auto"/>
              </w:rPr>
            </w:pPr>
          </w:p>
        </w:tc>
        <w:tc>
          <w:tcPr>
            <w:tcW w:w="1000" w:type="dxa"/>
            <w:vAlign w:val="bottom"/>
            <w:tcBorders>
              <w:bottom w:val="single" w:sz="8" w:color="CCEEF7"/>
            </w:tcBorders>
            <w:shd w:val="clear" w:color="auto" w:fill="CCEEF7"/>
          </w:tcPr>
          <w:p>
            <w:pPr>
              <w:spacing w:after="0"/>
              <w:rPr>
                <w:sz w:val="24"/>
                <w:szCs w:val="24"/>
                <w:color w:val="auto"/>
              </w:rPr>
            </w:pPr>
          </w:p>
        </w:tc>
        <w:tc>
          <w:tcPr>
            <w:tcW w:w="1360" w:type="dxa"/>
            <w:vAlign w:val="bottom"/>
            <w:tcBorders>
              <w:bottom w:val="single" w:sz="8" w:color="CCEEF7"/>
            </w:tcBorders>
            <w:shd w:val="clear" w:color="auto" w:fill="CCEEF7"/>
          </w:tcPr>
          <w:p>
            <w:pPr>
              <w:spacing w:after="0"/>
              <w:rPr>
                <w:sz w:val="24"/>
                <w:szCs w:val="24"/>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Murray Roos</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0"/>
        </w:trPr>
        <w:tc>
          <w:tcPr>
            <w:tcW w:w="7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Brian West</w:t>
            </w:r>
          </w:p>
        </w:tc>
        <w:tc>
          <w:tcPr>
            <w:tcW w:w="960" w:type="dxa"/>
            <w:vAlign w:val="bottom"/>
            <w:tcBorders>
              <w:bottom w:val="single" w:sz="8" w:color="CCEEF7"/>
            </w:tcBorders>
            <w:shd w:val="clear" w:color="auto" w:fill="CCEEF7"/>
          </w:tcPr>
          <w:p>
            <w:pPr>
              <w:spacing w:after="0"/>
              <w:rPr>
                <w:sz w:val="24"/>
                <w:szCs w:val="24"/>
                <w:color w:val="auto"/>
              </w:rPr>
            </w:pPr>
          </w:p>
        </w:tc>
        <w:tc>
          <w:tcPr>
            <w:tcW w:w="100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X</w:t>
            </w:r>
          </w:p>
        </w:tc>
        <w:tc>
          <w:tcPr>
            <w:tcW w:w="1360" w:type="dxa"/>
            <w:vAlign w:val="bottom"/>
            <w:tcBorders>
              <w:bottom w:val="single" w:sz="8" w:color="CCEEF7"/>
            </w:tcBorders>
            <w:shd w:val="clear" w:color="auto" w:fill="CCEEF7"/>
          </w:tcPr>
          <w:p>
            <w:pPr>
              <w:spacing w:after="0"/>
              <w:rPr>
                <w:sz w:val="24"/>
                <w:szCs w:val="24"/>
                <w:color w:val="auto"/>
              </w:rPr>
            </w:pPr>
          </w:p>
        </w:tc>
      </w:tr>
      <w:tr>
        <w:trPr>
          <w:trHeight w:val="263"/>
        </w:trPr>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 Meetings in 2020</w:t>
            </w:r>
          </w:p>
        </w:tc>
        <w:tc>
          <w:tcPr>
            <w:tcW w:w="96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rPr>
              <w:t>8</w:t>
            </w: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w:t>
            </w:r>
          </w:p>
        </w:tc>
        <w:tc>
          <w:tcPr>
            <w:tcW w:w="13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w:t>
            </w:r>
          </w:p>
        </w:tc>
      </w:tr>
    </w:tbl>
    <w:p>
      <w:pPr>
        <w:spacing w:after="0" w:line="24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Denotes committee chair</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functions performed by these Committees, which are set forth in more detail in their charters, are summarized below.</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5"/>
          <w:szCs w:val="25"/>
          <w:color w:val="00ADD8"/>
        </w:rPr>
        <w:t>Audit Committee</w:t>
      </w:r>
    </w:p>
    <w:p>
      <w:pPr>
        <w:spacing w:after="0" w:line="102"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The members of the Audit Committee are Mr. Berns, as Chairperson, Mr. Ganeles, and Ms. Madoff. The Audit Committee is responsible for, among other things:</w:t>
      </w:r>
    </w:p>
    <w:p>
      <w:pPr>
        <w:spacing w:after="0" w:line="76" w:lineRule="exact"/>
        <w:rPr>
          <w:sz w:val="20"/>
          <w:szCs w:val="20"/>
          <w:color w:val="auto"/>
        </w:rPr>
      </w:pPr>
    </w:p>
    <w:p>
      <w:pPr>
        <w:ind w:left="424" w:right="620" w:hanging="208"/>
        <w:spacing w:after="0" w:line="258"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quality and integrity of the Company’s financial statements, including oversight of the Company’s accounting and financial reporting processes and financial statement audits;</w:t>
      </w:r>
    </w:p>
    <w:p>
      <w:pPr>
        <w:spacing w:after="0" w:line="1" w:lineRule="exact"/>
        <w:rPr>
          <w:rFonts w:ascii="Arial" w:cs="Arial" w:eastAsia="Arial" w:hAnsi="Arial"/>
          <w:sz w:val="18"/>
          <w:szCs w:val="18"/>
          <w:color w:val="auto"/>
        </w:rPr>
      </w:pPr>
    </w:p>
    <w:p>
      <w:pPr>
        <w:ind w:left="424" w:right="400" w:hanging="208"/>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 applicable to financial statements and accounting and financial reporting processes;</w:t>
      </w:r>
    </w:p>
    <w:p>
      <w:pPr>
        <w:ind w:left="424" w:hanging="208"/>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independent registered public accounting firm’s qualifications, performance and independence;</w:t>
      </w:r>
    </w:p>
    <w:p>
      <w:pPr>
        <w:spacing w:after="0" w:line="9" w:lineRule="exact"/>
        <w:rPr>
          <w:rFonts w:ascii="Arial" w:cs="Arial" w:eastAsia="Arial" w:hAnsi="Arial"/>
          <w:sz w:val="18"/>
          <w:szCs w:val="18"/>
          <w:color w:val="auto"/>
        </w:rPr>
      </w:pPr>
    </w:p>
    <w:p>
      <w:pPr>
        <w:ind w:left="424" w:hanging="208"/>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performance of the Company’s internal audit function; and</w:t>
      </w:r>
    </w:p>
    <w:p>
      <w:pPr>
        <w:spacing w:after="0" w:line="9" w:lineRule="exact"/>
        <w:rPr>
          <w:rFonts w:ascii="Arial" w:cs="Arial" w:eastAsia="Arial" w:hAnsi="Arial"/>
          <w:sz w:val="18"/>
          <w:szCs w:val="18"/>
          <w:color w:val="auto"/>
        </w:rPr>
      </w:pPr>
    </w:p>
    <w:p>
      <w:pPr>
        <w:ind w:left="424" w:hanging="208"/>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to be included in the Company’s annual proxy statement.</w:t>
      </w:r>
    </w:p>
    <w:p>
      <w:pPr>
        <w:spacing w:after="0" w:line="103" w:lineRule="exact"/>
        <w:rPr>
          <w:sz w:val="20"/>
          <w:szCs w:val="20"/>
          <w:color w:val="auto"/>
        </w:rPr>
      </w:pPr>
    </w:p>
    <w:p>
      <w:pPr>
        <w:ind w:left="4" w:right="200" w:firstLine="440"/>
        <w:spacing w:after="0" w:line="255" w:lineRule="auto"/>
        <w:rPr>
          <w:sz w:val="20"/>
          <w:szCs w:val="20"/>
          <w:color w:val="auto"/>
        </w:rPr>
      </w:pPr>
      <w:r>
        <w:rPr>
          <w:rFonts w:ascii="Arial" w:cs="Arial" w:eastAsia="Arial" w:hAnsi="Arial"/>
          <w:sz w:val="18"/>
          <w:szCs w:val="18"/>
          <w:color w:val="auto"/>
        </w:rPr>
        <w:t>Mr. Berns qualifies as our “audit committee financial expert” within the meaning of regulations adopted by the SEC. Our Board has also determined that each of Mr. Berns, Mr. Ganeles and Ms. Madoff are “independent” as defined under Nasdaq rules and the Exchange Act and rules and regulations promulgated thereunder.</w:t>
      </w:r>
    </w:p>
    <w:p>
      <w:pPr>
        <w:spacing w:after="0" w:line="3" w:lineRule="exact"/>
        <w:rPr>
          <w:sz w:val="20"/>
          <w:szCs w:val="20"/>
          <w:color w:val="auto"/>
        </w:rPr>
      </w:pPr>
    </w:p>
    <w:p>
      <w:pPr>
        <w:ind w:left="4" w:right="20" w:firstLine="440"/>
        <w:spacing w:after="0" w:line="253" w:lineRule="auto"/>
        <w:rPr>
          <w:sz w:val="20"/>
          <w:szCs w:val="20"/>
          <w:color w:val="auto"/>
        </w:rPr>
      </w:pPr>
      <w:r>
        <w:rPr>
          <w:rFonts w:ascii="Arial" w:cs="Arial" w:eastAsia="Arial" w:hAnsi="Arial"/>
          <w:sz w:val="18"/>
          <w:szCs w:val="18"/>
          <w:color w:val="auto"/>
        </w:rPr>
        <w:t>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11024"/>
          </w:cols>
          <w:pgMar w:left="436" w:top="1138" w:right="439" w:bottom="1440" w:gutter="0" w:footer="0" w:header="0"/>
        </w:sectPr>
      </w:pPr>
    </w:p>
    <w:bookmarkStart w:id="20" w:name="page21"/>
    <w:bookmarkEnd w:id="20"/>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985520" cy="145415"/>
                    </a:xfrm>
                    <a:prstGeom prst="rect">
                      <a:avLst/>
                    </a:prstGeom>
                    <a:noFill/>
                  </pic:spPr>
                </pic:pic>
              </a:graphicData>
            </a:graphic>
          </wp:anchor>
        </w:drawing>
        <w:t>Compensation Committee</w:t>
      </w:r>
    </w:p>
    <w:p>
      <w:pPr>
        <w:spacing w:after="0" w:line="1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members of the Compensation Committee are Mr. Brand, as Chairperson,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 The Compensation Committee is responsible for, among other things:</w:t>
      </w:r>
    </w:p>
    <w:p>
      <w:pPr>
        <w:spacing w:after="0" w:line="77" w:lineRule="exact"/>
        <w:rPr>
          <w:sz w:val="20"/>
          <w:szCs w:val="20"/>
          <w:color w:val="auto"/>
        </w:rPr>
      </w:pPr>
    </w:p>
    <w:p>
      <w:pPr>
        <w:ind w:left="420" w:hanging="208"/>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reviewing the overall compensation philosophy of the Company;</w:t>
      </w:r>
    </w:p>
    <w:p>
      <w:pPr>
        <w:spacing w:after="0" w:line="23" w:lineRule="exact"/>
        <w:rPr>
          <w:rFonts w:ascii="Arial" w:cs="Arial" w:eastAsia="Arial" w:hAnsi="Arial"/>
          <w:sz w:val="18"/>
          <w:szCs w:val="18"/>
          <w:color w:val="auto"/>
        </w:rPr>
      </w:pPr>
    </w:p>
    <w:p>
      <w:pPr>
        <w:ind w:left="420" w:right="60" w:hanging="208"/>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Chief Executive Officer and other executive officers’ compensation, including annual performance objectives, if any;</w:t>
      </w:r>
    </w:p>
    <w:p>
      <w:pPr>
        <w:ind w:left="420" w:right="460" w:hanging="208"/>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ind w:left="420" w:right="260" w:hanging="208"/>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the annual salary, bonus, equity and equity-based incentives and other benefits, direct and indirect, of the executive officers other than the Chief Executive Officer;</w:t>
      </w:r>
    </w:p>
    <w:p>
      <w:pPr>
        <w:ind w:left="420" w:right="300" w:hanging="208"/>
        <w:spacing w:after="0" w:line="265"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ind w:left="420" w:right="400" w:hanging="208"/>
        <w:spacing w:after="0" w:line="281"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1" w:lineRule="exact"/>
        <w:rPr>
          <w:rFonts w:ascii="Arial" w:cs="Arial" w:eastAsia="Arial" w:hAnsi="Arial"/>
          <w:sz w:val="16"/>
          <w:szCs w:val="16"/>
          <w:color w:val="auto"/>
        </w:rPr>
      </w:pPr>
    </w:p>
    <w:p>
      <w:pPr>
        <w:ind w:left="420" w:right="200" w:hanging="208"/>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1" w:lineRule="exact"/>
        <w:rPr>
          <w:rFonts w:ascii="Arial" w:cs="Arial" w:eastAsia="Arial" w:hAnsi="Arial"/>
          <w:sz w:val="18"/>
          <w:szCs w:val="18"/>
          <w:color w:val="auto"/>
        </w:rPr>
      </w:pPr>
    </w:p>
    <w:p>
      <w:pPr>
        <w:jc w:val="both"/>
        <w:ind w:left="420" w:right="280" w:hanging="208"/>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the Company’s equity-based plans, equity-based awards and incentive-compensation plans, and administering the plans in accordance with their terms or oversee the activities of the individuals responsible for administering those plans, as applicable;</w:t>
      </w:r>
    </w:p>
    <w:p>
      <w:pPr>
        <w:spacing w:after="0" w:line="1" w:lineRule="exact"/>
        <w:rPr>
          <w:rFonts w:ascii="Arial" w:cs="Arial" w:eastAsia="Arial" w:hAnsi="Arial"/>
          <w:sz w:val="18"/>
          <w:szCs w:val="18"/>
          <w:color w:val="auto"/>
        </w:rPr>
      </w:pPr>
    </w:p>
    <w:p>
      <w:pPr>
        <w:ind w:left="420" w:hanging="208"/>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Company’s regulatory and internal compliance with respect to compensation matters; and</w:t>
      </w:r>
    </w:p>
    <w:p>
      <w:pPr>
        <w:spacing w:after="0" w:line="9" w:lineRule="exact"/>
        <w:rPr>
          <w:rFonts w:ascii="Arial" w:cs="Arial" w:eastAsia="Arial" w:hAnsi="Arial"/>
          <w:sz w:val="18"/>
          <w:szCs w:val="18"/>
          <w:color w:val="auto"/>
        </w:rPr>
      </w:pPr>
    </w:p>
    <w:p>
      <w:pPr>
        <w:ind w:left="420" w:right="180" w:hanging="208"/>
        <w:spacing w:after="0" w:line="26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00ADD8"/>
        </w:rPr>
        <w:t>Nominating and Corporate Governance Committee</w:t>
      </w:r>
    </w:p>
    <w:p>
      <w:pPr>
        <w:spacing w:after="0" w:line="1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members of the Nominating and Corporate Governance Committee are Mr. Finley, as Chairperson, Mr. Brand, and Ms. Madoff. The Nominating and Corporate Governance Committee assists our Board in identifying individuals qualified to become Board members, makes recommendations for nominees for committees and develops, recommends to the Board and reviews our corporate governance principles. The Nominating and Corporate Governance Committee is responsible for, among other things:</w:t>
      </w:r>
    </w:p>
    <w:p>
      <w:pPr>
        <w:spacing w:after="0" w:line="92" w:lineRule="exact"/>
        <w:rPr>
          <w:sz w:val="20"/>
          <w:szCs w:val="20"/>
          <w:color w:val="auto"/>
        </w:rPr>
      </w:pPr>
    </w:p>
    <w:p>
      <w:pPr>
        <w:jc w:val="both"/>
        <w:ind w:left="420" w:right="500" w:hanging="208"/>
        <w:spacing w:after="0" w:line="26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54" w:right="439" w:bottom="1440" w:gutter="0" w:footer="0" w:header="0"/>
        </w:sectPr>
      </w:pPr>
    </w:p>
    <w:bookmarkStart w:id="21" w:name="page22"/>
    <w:bookmarkEnd w:id="21"/>
    <w:p>
      <w:pPr>
        <w:ind w:left="424" w:right="460" w:hanging="208"/>
        <w:spacing w:after="0" w:line="274"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145415"/>
                    </a:xfrm>
                    <a:prstGeom prst="rect">
                      <a:avLst/>
                    </a:prstGeom>
                    <a:noFill/>
                  </pic:spPr>
                </pic:pic>
              </a:graphicData>
            </a:graphic>
          </wp:anchor>
        </w:drawing>
        <w:t>developing and recommending to the Board a set of corporate governance principles to be included in the Company’s Corporate Governance Guidelines, as the same may be amended from time to time, and assisting the Board in complying with them;</w:t>
      </w:r>
    </w:p>
    <w:p>
      <w:pPr>
        <w:ind w:left="424" w:hanging="208"/>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9" w:lineRule="exact"/>
        <w:rPr>
          <w:rFonts w:ascii="Arial" w:cs="Arial" w:eastAsia="Arial" w:hAnsi="Arial"/>
          <w:sz w:val="18"/>
          <w:szCs w:val="18"/>
          <w:color w:val="auto"/>
        </w:rPr>
      </w:pPr>
    </w:p>
    <w:p>
      <w:pPr>
        <w:ind w:left="424" w:hanging="208"/>
        <w:spacing w:after="0"/>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recommending members of the Board to serve on committees of the Board and evaluating the functions and performance of such committees;</w:t>
      </w:r>
    </w:p>
    <w:p>
      <w:pPr>
        <w:spacing w:after="0" w:line="32" w:lineRule="exact"/>
        <w:rPr>
          <w:rFonts w:ascii="Arial" w:cs="Arial" w:eastAsia="Arial" w:hAnsi="Arial"/>
          <w:sz w:val="16"/>
          <w:szCs w:val="16"/>
          <w:color w:val="auto"/>
        </w:rPr>
      </w:pPr>
    </w:p>
    <w:p>
      <w:pPr>
        <w:ind w:left="424" w:hanging="208"/>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and approving the management continuity planning process; and</w:t>
      </w:r>
    </w:p>
    <w:p>
      <w:pPr>
        <w:spacing w:after="0" w:line="9" w:lineRule="exact"/>
        <w:rPr>
          <w:rFonts w:ascii="Arial" w:cs="Arial" w:eastAsia="Arial" w:hAnsi="Arial"/>
          <w:sz w:val="18"/>
          <w:szCs w:val="18"/>
          <w:color w:val="auto"/>
        </w:rPr>
      </w:pPr>
    </w:p>
    <w:p>
      <w:pPr>
        <w:ind w:left="424" w:hanging="208"/>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35" w:lineRule="exact"/>
        <w:rPr>
          <w:sz w:val="20"/>
          <w:szCs w:val="20"/>
          <w:color w:val="auto"/>
        </w:rPr>
      </w:pPr>
    </w:p>
    <w:p>
      <w:pPr>
        <w:ind w:left="4"/>
        <w:spacing w:after="0"/>
        <w:rPr>
          <w:sz w:val="20"/>
          <w:szCs w:val="20"/>
          <w:color w:val="auto"/>
        </w:rPr>
      </w:pPr>
      <w:r>
        <w:rPr>
          <w:rFonts w:ascii="Arial" w:cs="Arial" w:eastAsia="Arial" w:hAnsi="Arial"/>
          <w:sz w:val="25"/>
          <w:szCs w:val="25"/>
          <w:color w:val="00ADD8"/>
        </w:rPr>
        <w:t>Director Nominations</w:t>
      </w:r>
    </w:p>
    <w:p>
      <w:pPr>
        <w:spacing w:after="0" w:line="102" w:lineRule="exact"/>
        <w:rPr>
          <w:sz w:val="20"/>
          <w:szCs w:val="20"/>
          <w:color w:val="auto"/>
        </w:rPr>
      </w:pPr>
    </w:p>
    <w:p>
      <w:pPr>
        <w:jc w:val="both"/>
        <w:ind w:left="4" w:right="60"/>
        <w:spacing w:after="0" w:line="287" w:lineRule="auto"/>
        <w:rPr>
          <w:sz w:val="20"/>
          <w:szCs w:val="20"/>
          <w:color w:val="auto"/>
        </w:rPr>
      </w:pPr>
      <w:r>
        <w:rPr>
          <w:rFonts w:ascii="Arial" w:cs="Arial" w:eastAsia="Arial" w:hAnsi="Arial"/>
          <w:sz w:val="16"/>
          <w:szCs w:val="16"/>
          <w:color w:val="auto"/>
        </w:rPr>
        <w:t>The Nominating and Corporate Governance Committee identifies individuals believed to be qualified as candidates to serve on the Board and selects, or recommends that the Board select, the nominees for all directorships to be filled by the Board or by our stockholders at an annual or special meeting. In identifying candidates for membership on the Board, the Committee takes into account all factors it considers appropriate, which may include</w:t>
      </w:r>
    </w:p>
    <w:p>
      <w:pPr>
        <w:spacing w:after="0" w:line="2" w:lineRule="exact"/>
        <w:rPr>
          <w:sz w:val="20"/>
          <w:szCs w:val="20"/>
          <w:color w:val="auto"/>
        </w:rPr>
      </w:pPr>
    </w:p>
    <w:p>
      <w:pPr>
        <w:ind w:left="4" w:right="20" w:hanging="4"/>
        <w:spacing w:after="0" w:line="265" w:lineRule="auto"/>
        <w:tabs>
          <w:tab w:leader="none" w:pos="2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individual qualifications, including strength of character, mature judgment, familiarity with the Company’s business and industry, independence of thought and an ability to work collegially and (b) all other factors the Committee considers appropriate, which may include age, gender and ethnic diversity, diversity of background,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executive compensation background and the size, composition and combined expertise of the existing Board. The Committee also may consider the extent to which the candidate would fill a present need on the Board. When evaluating whether to re-nominate existing directors, the Committee considers matters relating to the retirement of current directors, including term limits or age limits, as well as the performance of such directors.</w:t>
      </w:r>
    </w:p>
    <w:p>
      <w:pPr>
        <w:spacing w:after="0" w:line="1" w:lineRule="exact"/>
        <w:rPr>
          <w:rFonts w:ascii="Arial" w:cs="Arial" w:eastAsia="Arial" w:hAnsi="Arial"/>
          <w:sz w:val="17"/>
          <w:szCs w:val="17"/>
          <w:color w:val="auto"/>
        </w:rPr>
      </w:pPr>
    </w:p>
    <w:p>
      <w:pPr>
        <w:ind w:left="4" w:right="60" w:firstLine="440"/>
        <w:spacing w:after="0" w:line="265" w:lineRule="auto"/>
        <w:rPr>
          <w:rFonts w:ascii="Arial" w:cs="Arial" w:eastAsia="Arial" w:hAnsi="Arial"/>
          <w:sz w:val="17"/>
          <w:szCs w:val="17"/>
          <w:color w:val="auto"/>
        </w:rPr>
      </w:pPr>
      <w:r>
        <w:rPr>
          <w:rFonts w:ascii="Arial" w:cs="Arial" w:eastAsia="Arial" w:hAnsi="Arial"/>
          <w:sz w:val="17"/>
          <w:szCs w:val="17"/>
          <w:color w:val="auto"/>
        </w:rPr>
        <w:t>The Nominating and Corporate Governance Committee evaluates director candidates recommended by stockholders on a substantially similar basis as it considers other nominees. Any recommendation submitted to the Secretary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the written consent of the candidate to serve as one of our directors if elected. Stockholders wishing to propose a candidate for consideration may do so by submitting the above information to the attention of the Secretary, Tradeweb Markets Inc., 1177 Avenue of the Americas, New York, New York 10036. All recommendations for nomination received by the Secretary that satisfy the requirements of our Bylaws relating to such director nominations will be presented to the Nominating and Corporate Governance Committee for its consideration. Please see the section entitled “Proposals of Stockholders” for information regarding the advance notice provisions applicable to stockholder director nominations set forth in our Bylaws.</w:t>
      </w:r>
    </w:p>
    <w:p>
      <w:pPr>
        <w:spacing w:after="0" w:line="1" w:lineRule="exact"/>
        <w:rPr>
          <w:rFonts w:ascii="Arial" w:cs="Arial" w:eastAsia="Arial" w:hAnsi="Arial"/>
          <w:sz w:val="17"/>
          <w:szCs w:val="17"/>
          <w:color w:val="auto"/>
        </w:rPr>
      </w:pPr>
    </w:p>
    <w:p>
      <w:pPr>
        <w:ind w:left="4" w:right="100" w:firstLine="440"/>
        <w:spacing w:after="0" w:line="255" w:lineRule="auto"/>
        <w:rPr>
          <w:rFonts w:ascii="Arial" w:cs="Arial" w:eastAsia="Arial" w:hAnsi="Arial"/>
          <w:sz w:val="17"/>
          <w:szCs w:val="17"/>
          <w:color w:val="auto"/>
        </w:rPr>
      </w:pPr>
      <w:r>
        <w:rPr>
          <w:rFonts w:ascii="Arial" w:cs="Arial" w:eastAsia="Arial" w:hAnsi="Arial"/>
          <w:sz w:val="18"/>
          <w:szCs w:val="18"/>
          <w:color w:val="auto"/>
        </w:rPr>
        <w:t>In addition, pursuant to the Stockholders Agreement, the Refinitiv Owners have the right to designate nominees to our Board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314" w:lineRule="exact"/>
        <w:rPr>
          <w:sz w:val="20"/>
          <w:szCs w:val="20"/>
          <w:color w:val="auto"/>
        </w:rPr>
      </w:pPr>
    </w:p>
    <w:p>
      <w:pPr>
        <w:ind w:left="4"/>
        <w:spacing w:after="0"/>
        <w:rPr>
          <w:sz w:val="20"/>
          <w:szCs w:val="20"/>
          <w:color w:val="auto"/>
        </w:rPr>
      </w:pPr>
      <w:r>
        <w:rPr>
          <w:rFonts w:ascii="Arial" w:cs="Arial" w:eastAsia="Arial" w:hAnsi="Arial"/>
          <w:sz w:val="25"/>
          <w:szCs w:val="25"/>
          <w:color w:val="00ADD8"/>
        </w:rPr>
        <w:t>Compensation Committee Interlocks and Insider Participation</w:t>
      </w:r>
    </w:p>
    <w:p>
      <w:pPr>
        <w:spacing w:after="0" w:line="102" w:lineRule="exact"/>
        <w:rPr>
          <w:sz w:val="20"/>
          <w:szCs w:val="20"/>
          <w:color w:val="auto"/>
        </w:rPr>
      </w:pPr>
    </w:p>
    <w:p>
      <w:pPr>
        <w:ind w:left="4" w:right="620"/>
        <w:spacing w:after="0" w:line="311" w:lineRule="auto"/>
        <w:rPr>
          <w:sz w:val="20"/>
          <w:szCs w:val="20"/>
          <w:color w:val="auto"/>
        </w:rPr>
      </w:pPr>
      <w:r>
        <w:rPr>
          <w:rFonts w:ascii="Arial" w:cs="Arial" w:eastAsia="Arial" w:hAnsi="Arial"/>
          <w:sz w:val="16"/>
          <w:szCs w:val="16"/>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19</w:t>
            </w:r>
          </w:p>
        </w:tc>
      </w:tr>
    </w:tbl>
    <w:p>
      <w:pPr>
        <w:sectPr>
          <w:pgSz w:w="11900" w:h="16838" w:orient="portrait"/>
          <w:cols w:equalWidth="0" w:num="1">
            <w:col w:w="11024"/>
          </w:cols>
          <w:pgMar w:left="436" w:top="1138" w:right="4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985520" cy="145415"/>
                    </a:xfrm>
                    <a:prstGeom prst="rect">
                      <a:avLst/>
                    </a:prstGeom>
                    <a:noFill/>
                  </pic:spPr>
                </pic:pic>
              </a:graphicData>
            </a:graphic>
          </wp:anchor>
        </w:drawing>
        <w:t>functions) and any executive, member of the Board or member of the Compensation Committee (or other committee performing equivalent functions) of any other company.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ADD8"/>
        </w:rPr>
        <w:t>Code of Ethics</w:t>
      </w:r>
    </w:p>
    <w:p>
      <w:pPr>
        <w:spacing w:after="0" w:line="1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 “code of ethics,” as defined in Item 406(b) of Regulation S-K. Our Code of Business Conduct and Ethics is available on our website at https://investors.tradeweb.com/corporate-governance/. See “Corporate Governance — Corporate Governance Documents” for additional information.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The Code of Business Conduct and Ethics was most recently amended on November 18, 2020. The information contained on, or accessible from, our website is not part of this Proxy Statement by reference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20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23" w:name="page24"/>
    <w:bookmarkEnd w:id="2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4629150" cy="4800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4629150" cy="480060"/>
                    </a:xfrm>
                    <a:prstGeom prst="rect">
                      <a:avLst/>
                    </a:prstGeom>
                    <a:noFill/>
                  </pic:spPr>
                </pic:pic>
              </a:graphicData>
            </a:graphic>
          </wp:anchor>
        </w:drawing>
      </w:r>
    </w:p>
    <w:p>
      <w:pPr>
        <w:ind w:right="40"/>
        <w:spacing w:after="0" w:line="252" w:lineRule="auto"/>
        <w:rPr>
          <w:sz w:val="20"/>
          <w:szCs w:val="20"/>
          <w:color w:val="auto"/>
        </w:rPr>
      </w:pPr>
      <w:r>
        <w:rPr>
          <w:rFonts w:ascii="Arial" w:cs="Arial" w:eastAsia="Arial" w:hAnsi="Arial"/>
          <w:sz w:val="18"/>
          <w:szCs w:val="18"/>
          <w:color w:val="auto"/>
        </w:rPr>
        <w:t>Under the rules and regulations of the SEC, Nasdaq and the Public Company Accounting Oversight Board (the “PCAOB”), the Audit Committee is directly responsible for the appointment, compensation, retention, and oversight of our independent registered public accounting firm. In addition, the Audit Committee considers the independence of our independent registered public accounting firm and participates in the selection of the independent registered public accounting firm’s lead engagement partner. The Audit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2021. Deloitte has served as our independent registered public accounting firm since November 2018.</w:t>
      </w:r>
    </w:p>
    <w:p>
      <w:pPr>
        <w:spacing w:after="0" w:line="5" w:lineRule="exact"/>
        <w:rPr>
          <w:sz w:val="20"/>
          <w:szCs w:val="20"/>
          <w:color w:val="auto"/>
        </w:rPr>
      </w:pPr>
    </w:p>
    <w:p>
      <w:pPr>
        <w:ind w:right="120" w:firstLine="440"/>
        <w:spacing w:after="0" w:line="265" w:lineRule="auto"/>
        <w:rPr>
          <w:sz w:val="20"/>
          <w:szCs w:val="20"/>
          <w:color w:val="auto"/>
        </w:rPr>
      </w:pPr>
      <w:r>
        <w:rPr>
          <w:rFonts w:ascii="Arial" w:cs="Arial" w:eastAsia="Arial" w:hAnsi="Arial"/>
          <w:sz w:val="17"/>
          <w:szCs w:val="17"/>
          <w:color w:val="auto"/>
        </w:rPr>
        <w:t>The Board and the Audit Committee believe that the continued retention of Deloitte as the Company’s independent registered public accounting firm is in the best interests of the Company and its stockholders. If stockholders do not ratify the selection of Deloitte, the Audit Committee will evaluate the stockholder vote when considering the selection of a registered public accounting firm for the audit engagement for the 2021 fiscal year. In addition, even if stockholders ratify the selection of Deloitte as our independent registered public accounting firm, the Audit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1" w:lineRule="exact"/>
        <w:rPr>
          <w:sz w:val="20"/>
          <w:szCs w:val="20"/>
          <w:color w:val="auto"/>
        </w:rPr>
      </w:pPr>
    </w:p>
    <w:p>
      <w:pPr>
        <w:ind w:right="140" w:firstLine="440"/>
        <w:spacing w:after="0" w:line="260" w:lineRule="auto"/>
        <w:rPr>
          <w:sz w:val="20"/>
          <w:szCs w:val="20"/>
          <w:color w:val="auto"/>
        </w:rPr>
      </w:pPr>
      <w:r>
        <w:rPr>
          <w:rFonts w:ascii="Arial" w:cs="Arial" w:eastAsia="Arial" w:hAnsi="Arial"/>
          <w:sz w:val="18"/>
          <w:szCs w:val="18"/>
          <w:b w:val="1"/>
          <w:bCs w:val="1"/>
          <w:color w:val="auto"/>
        </w:rPr>
        <w:t>The Board recommends a vote “for” ratification of the appointment of Deloitte as our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21</w:t>
            </w:r>
          </w:p>
        </w:tc>
      </w:tr>
    </w:tbl>
    <w:p>
      <w:pPr>
        <w:sectPr>
          <w:pgSz w:w="11900" w:h="16838" w:orient="portrait"/>
          <w:cols w:equalWidth="0" w:num="1">
            <w:col w:w="11020"/>
          </w:cols>
          <w:pgMar w:left="440" w:top="1440" w:right="439" w:bottom="1440" w:gutter="0" w:footer="0" w:header="0"/>
        </w:sectPr>
      </w:pPr>
    </w:p>
    <w:bookmarkStart w:id="24" w:name="page25"/>
    <w:bookmarkEnd w:id="24"/>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498030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4980305" cy="257175"/>
                    </a:xfrm>
                    <a:prstGeom prst="rect">
                      <a:avLst/>
                    </a:prstGeom>
                    <a:noFill/>
                  </pic:spPr>
                </pic:pic>
              </a:graphicData>
            </a:graphic>
          </wp:anchor>
        </w:drawing>
        <w:t>As a result of the transaction pursuant to which Refinitiv indirectly acquired on October 1, 2018 substantially all of the financial and risk business of the Thomson Reuters and Thomson Reuters indirectly acquired a 45% ownership interest in Refinitiv (the “Refinitiv Transaction”), PricewaterhouseCoopers LLP, TWM LLC’s independent registered public accounting firm, ceased to be independent with respect to TWM LLC on October 1, 2018. Accordingly, PricewaterhouseCoopers LLP was dismissed as TWM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w:t>
      </w:r>
    </w:p>
    <w:p>
      <w:pPr>
        <w:spacing w:after="0" w:line="1" w:lineRule="exact"/>
        <w:rPr>
          <w:sz w:val="20"/>
          <w:szCs w:val="20"/>
          <w:color w:val="auto"/>
        </w:rPr>
      </w:pPr>
    </w:p>
    <w:p>
      <w:pPr>
        <w:ind w:right="40" w:firstLine="440"/>
        <w:spacing w:after="0" w:line="281" w:lineRule="auto"/>
        <w:rPr>
          <w:sz w:val="20"/>
          <w:szCs w:val="20"/>
          <w:color w:val="auto"/>
        </w:rPr>
      </w:pPr>
      <w:r>
        <w:rPr>
          <w:rFonts w:ascii="Arial" w:cs="Arial" w:eastAsia="Arial" w:hAnsi="Arial"/>
          <w:sz w:val="16"/>
          <w:szCs w:val="16"/>
          <w:color w:val="auto"/>
        </w:rPr>
        <w:t>During the year ended December 31, 2017,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3" w:lineRule="exact"/>
        <w:rPr>
          <w:sz w:val="20"/>
          <w:szCs w:val="20"/>
          <w:color w:val="auto"/>
        </w:rPr>
      </w:pPr>
    </w:p>
    <w:p>
      <w:pPr>
        <w:jc w:val="both"/>
        <w:ind w:right="40" w:firstLine="440"/>
        <w:spacing w:after="0" w:line="265" w:lineRule="auto"/>
        <w:rPr>
          <w:sz w:val="20"/>
          <w:szCs w:val="20"/>
          <w:color w:val="auto"/>
        </w:rPr>
      </w:pPr>
      <w:r>
        <w:rPr>
          <w:rFonts w:ascii="Arial" w:cs="Arial" w:eastAsia="Arial" w:hAnsi="Arial"/>
          <w:sz w:val="17"/>
          <w:szCs w:val="17"/>
          <w:color w:val="auto"/>
        </w:rPr>
        <w:t>TWM LLC has provided a copy of the above statements to PricewaterhouseCoopers LLP and requested that PricewaterhouseCoopers LLP furnish TWM LLC with a letter addressed to the SEC stating whether or not they agree with the above disclosure. A copy of that letter, dated October 15, 2019, is filed as an exhibit to the Company’s registration statement on Form S-1, filed with the SEC on October 15, 2019.</w:t>
      </w:r>
    </w:p>
    <w:p>
      <w:pPr>
        <w:ind w:right="160" w:firstLine="440"/>
        <w:spacing w:after="0" w:line="253" w:lineRule="auto"/>
        <w:rPr>
          <w:sz w:val="20"/>
          <w:szCs w:val="20"/>
          <w:color w:val="auto"/>
        </w:rPr>
      </w:pPr>
      <w:r>
        <w:rPr>
          <w:rFonts w:ascii="Arial" w:cs="Arial" w:eastAsia="Arial" w:hAnsi="Arial"/>
          <w:sz w:val="18"/>
          <w:szCs w:val="18"/>
          <w:color w:val="auto"/>
        </w:rPr>
        <w:t>On November 11, 2018, the Company engaged Deloitte as its independent registered public accounting firm, and TWM LLC also engaged Deloitte as its independent registered public accounting firm on February 6, 2019. During the fiscal year ended December 31, 2017 and the subsequent interim period through September 30, 2018, TWM LLC (or any person on its behalf) did not consult with Deloitte regarding any of the matters described in Items 304(a)(2)(i) or 304(a)(2)(ii)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327" w:right="439" w:bottom="1440" w:gutter="0" w:footer="0" w:header="0"/>
        </w:sectPr>
      </w:pPr>
    </w:p>
    <w:bookmarkStart w:id="25" w:name="page26"/>
    <w:bookmarkEnd w:id="25"/>
    <w:p>
      <w:pPr>
        <w:ind w:right="4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411480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4114800" cy="257175"/>
                    </a:xfrm>
                    <a:prstGeom prst="rect">
                      <a:avLst/>
                    </a:prstGeom>
                    <a:noFill/>
                  </pic:spPr>
                </pic:pic>
              </a:graphicData>
            </a:graphic>
          </wp:anchor>
        </w:drawing>
        <w:t>Representatives of Deloitte are expected to virtually attend the Annual Meeting and will have an opportunity to make a statement and to respond to appropriate questions from stockholders.</w:t>
      </w:r>
    </w:p>
    <w:p>
      <w:pPr>
        <w:spacing w:after="0" w:line="1" w:lineRule="exact"/>
        <w:rPr>
          <w:sz w:val="20"/>
          <w:szCs w:val="20"/>
          <w:color w:val="auto"/>
        </w:rPr>
      </w:pPr>
    </w:p>
    <w:p>
      <w:pPr>
        <w:ind w:right="20" w:firstLine="440"/>
        <w:spacing w:after="0" w:line="250" w:lineRule="auto"/>
        <w:rPr>
          <w:sz w:val="20"/>
          <w:szCs w:val="20"/>
          <w:color w:val="auto"/>
        </w:rPr>
      </w:pPr>
      <w:r>
        <w:rPr>
          <w:rFonts w:ascii="Arial" w:cs="Arial" w:eastAsia="Arial" w:hAnsi="Arial"/>
          <w:sz w:val="18"/>
          <w:szCs w:val="18"/>
          <w:color w:val="auto"/>
        </w:rPr>
        <w:t>Consistent with SEC and PCAOB requirements regarding auditor independence, the Audit Committee has responsibility for appointing, setting compensation for and overseeing the work of, the independent registered public accounting firm. In recognition of this responsibility, the Audit Committee has established a policy to pre-approve all audit and permissible non-audit services provided by the independent registered public accounting firm.</w:t>
      </w:r>
    </w:p>
    <w:p>
      <w:pPr>
        <w:spacing w:after="0" w:line="2" w:lineRule="exact"/>
        <w:rPr>
          <w:sz w:val="20"/>
          <w:szCs w:val="20"/>
          <w:color w:val="auto"/>
        </w:rPr>
      </w:pPr>
    </w:p>
    <w:p>
      <w:pPr>
        <w:ind w:right="580" w:firstLine="440"/>
        <w:spacing w:after="0" w:line="255" w:lineRule="auto"/>
        <w:rPr>
          <w:sz w:val="20"/>
          <w:szCs w:val="20"/>
          <w:color w:val="auto"/>
        </w:rPr>
      </w:pPr>
      <w:r>
        <w:rPr>
          <w:rFonts w:ascii="Arial" w:cs="Arial" w:eastAsia="Arial" w:hAnsi="Arial"/>
          <w:sz w:val="18"/>
          <w:szCs w:val="18"/>
          <w:color w:val="auto"/>
        </w:rPr>
        <w:t>Prior to engagement of the independent registered public accounting firm for the next year’s audit, management will submit to the Audit Committee for approval a list of services and related fees expected to be rendered during that year within each of the following four categories of services:</w:t>
      </w:r>
    </w:p>
    <w:p>
      <w:pPr>
        <w:spacing w:after="0" w:line="95" w:lineRule="exact"/>
        <w:rPr>
          <w:sz w:val="20"/>
          <w:szCs w:val="20"/>
          <w:color w:val="auto"/>
        </w:rPr>
      </w:pPr>
    </w:p>
    <w:p>
      <w:pPr>
        <w:ind w:left="420" w:right="20" w:hanging="208"/>
        <w:spacing w:after="0" w:line="255"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2" w:lineRule="exact"/>
        <w:rPr>
          <w:rFonts w:ascii="Arial" w:cs="Arial" w:eastAsia="Arial" w:hAnsi="Arial"/>
          <w:sz w:val="18"/>
          <w:szCs w:val="18"/>
          <w:color w:val="auto"/>
        </w:rPr>
      </w:pPr>
    </w:p>
    <w:p>
      <w:pPr>
        <w:ind w:left="420" w:right="80" w:hanging="208"/>
        <w:spacing w:after="0" w:line="250"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jc w:val="both"/>
        <w:ind w:left="420" w:right="280" w:hanging="208"/>
        <w:spacing w:after="0" w:line="281"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 w:lineRule="exact"/>
        <w:rPr>
          <w:rFonts w:ascii="Arial" w:cs="Arial" w:eastAsia="Arial" w:hAnsi="Arial"/>
          <w:sz w:val="16"/>
          <w:szCs w:val="16"/>
          <w:color w:val="auto"/>
        </w:rPr>
      </w:pPr>
    </w:p>
    <w:p>
      <w:pPr>
        <w:ind w:left="420" w:hanging="208"/>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services are those services not captured in the Audit, Audit-Related or Tax categories.</w:t>
      </w:r>
    </w:p>
    <w:p>
      <w:pPr>
        <w:spacing w:after="0" w:line="103" w:lineRule="exact"/>
        <w:rPr>
          <w:sz w:val="20"/>
          <w:szCs w:val="20"/>
          <w:color w:val="auto"/>
        </w:rPr>
      </w:pPr>
    </w:p>
    <w:p>
      <w:pPr>
        <w:ind w:right="100" w:firstLine="440"/>
        <w:spacing w:after="0" w:line="285" w:lineRule="auto"/>
        <w:rPr>
          <w:sz w:val="20"/>
          <w:szCs w:val="20"/>
          <w:color w:val="auto"/>
        </w:rPr>
      </w:pPr>
      <w:r>
        <w:rPr>
          <w:rFonts w:ascii="Arial" w:cs="Arial" w:eastAsia="Arial" w:hAnsi="Arial"/>
          <w:sz w:val="16"/>
          <w:szCs w:val="16"/>
          <w:color w:val="auto"/>
        </w:rPr>
        <w:t>Prior to engagement, the Audit Committee pre-approves independent registered public accounting firm services within each category and the fees of each category are budgeted.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 w:lineRule="exact"/>
        <w:rPr>
          <w:sz w:val="20"/>
          <w:szCs w:val="20"/>
          <w:color w:val="auto"/>
        </w:rPr>
      </w:pPr>
    </w:p>
    <w:p>
      <w:pPr>
        <w:jc w:val="both"/>
        <w:ind w:right="80" w:firstLine="440"/>
        <w:spacing w:after="0" w:line="255"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 All of the services in the table below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23</w:t>
            </w:r>
          </w:p>
        </w:tc>
      </w:tr>
    </w:tbl>
    <w:p>
      <w:pPr>
        <w:sectPr>
          <w:pgSz w:w="11900" w:h="16838" w:orient="portrait"/>
          <w:cols w:equalWidth="0" w:num="1">
            <w:col w:w="11020"/>
          </w:cols>
          <w:pgMar w:left="440" w:top="1327" w:right="439" w:bottom="1440" w:gutter="0" w:footer="0" w:header="0"/>
        </w:sectPr>
      </w:pPr>
    </w:p>
    <w:bookmarkStart w:id="26" w:name="page27"/>
    <w:bookmarkEnd w:id="26"/>
    <w:p>
      <w:pPr>
        <w:ind w:left="4" w:right="10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4025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2040255" cy="145415"/>
                    </a:xfrm>
                    <a:prstGeom prst="rect">
                      <a:avLst/>
                    </a:prstGeom>
                    <a:noFill/>
                  </pic:spPr>
                </pic:pic>
              </a:graphicData>
            </a:graphic>
          </wp:anchor>
        </w:drawing>
        <w:t>The following is a description of the professional services performed and the fees billed by Deloitte for each of the fiscal years ended December 31, 2020 and 2019.</w:t>
      </w:r>
    </w:p>
    <w:p>
      <w:pPr>
        <w:sectPr>
          <w:pgSz w:w="11900" w:h="16838" w:orient="portrait"/>
          <w:cols w:equalWidth="0" w:num="1">
            <w:col w:w="11024"/>
          </w:cols>
          <w:pgMar w:left="436" w:top="11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
        <w:spacing w:after="0"/>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p>
      <w:pPr>
        <w:spacing w:after="0" w:line="14" w:lineRule="exact"/>
        <w:rPr>
          <w:sz w:val="20"/>
          <w:szCs w:val="20"/>
          <w:color w:val="auto"/>
        </w:rPr>
      </w:pPr>
    </w:p>
    <w:p>
      <w:pPr>
        <w:ind w:left="64"/>
        <w:spacing w:after="0"/>
        <w:rPr>
          <w:sz w:val="20"/>
          <w:szCs w:val="20"/>
          <w:color w:val="auto"/>
        </w:rPr>
      </w:pPr>
      <w:r>
        <w:rPr>
          <w:rFonts w:ascii="Arial" w:cs="Arial" w:eastAsia="Arial" w:hAnsi="Arial"/>
          <w:sz w:val="15"/>
          <w:szCs w:val="15"/>
          <w:color w:val="auto"/>
        </w:rPr>
        <w:t>Audit-related Services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58927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9270" cy="205740"/>
                    </a:xfrm>
                    <a:prstGeom prst="rect">
                      <a:avLst/>
                    </a:prstGeom>
                    <a:noFill/>
                  </pic:spPr>
                </pic:pic>
              </a:graphicData>
            </a:graphic>
          </wp:anchor>
        </w:drawing>
      </w:r>
    </w:p>
    <w:p>
      <w:pPr>
        <w:spacing w:after="0" w:line="17" w:lineRule="exact"/>
        <w:rPr>
          <w:sz w:val="20"/>
          <w:szCs w:val="20"/>
          <w:color w:val="auto"/>
        </w:rPr>
      </w:pPr>
    </w:p>
    <w:p>
      <w:pPr>
        <w:ind w:left="64"/>
        <w:spacing w:after="0"/>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p>
      <w:pPr>
        <w:spacing w:after="0" w:line="14" w:lineRule="exact"/>
        <w:rPr>
          <w:sz w:val="20"/>
          <w:szCs w:val="20"/>
          <w:color w:val="auto"/>
        </w:rPr>
      </w:pPr>
    </w:p>
    <w:p>
      <w:pPr>
        <w:ind w:left="64"/>
        <w:spacing w:after="0"/>
        <w:rPr>
          <w:sz w:val="20"/>
          <w:szCs w:val="20"/>
          <w:color w:val="auto"/>
        </w:rPr>
      </w:pPr>
      <w:r>
        <w:rPr>
          <w:rFonts w:ascii="Arial" w:cs="Arial" w:eastAsia="Arial" w:hAnsi="Arial"/>
          <w:sz w:val="16"/>
          <w:szCs w:val="16"/>
          <w:color w:val="auto"/>
        </w:rPr>
        <w:t>All Other Fees</w:t>
      </w:r>
      <w:r>
        <w:rPr>
          <w:rFonts w:ascii="Arial" w:cs="Arial" w:eastAsia="Arial" w:hAnsi="Arial"/>
          <w:sz w:val="27"/>
          <w:szCs w:val="27"/>
          <w:color w:val="auto"/>
          <w:vertAlign w:val="superscript"/>
        </w:rPr>
        <w:t>4</w:t>
      </w:r>
    </w:p>
    <w:p>
      <w:pPr>
        <w:spacing w:after="0" w:line="19" w:lineRule="exact"/>
        <w:rPr>
          <w:sz w:val="20"/>
          <w:szCs w:val="20"/>
          <w:color w:val="auto"/>
        </w:rPr>
      </w:pPr>
    </w:p>
    <w:p>
      <w:pPr>
        <w:ind w:left="64"/>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jc w:val="right"/>
              <w:ind w:right="67"/>
              <w:spacing w:after="0"/>
              <w:rPr>
                <w:sz w:val="20"/>
                <w:szCs w:val="20"/>
                <w:color w:val="auto"/>
              </w:rPr>
            </w:pPr>
            <w:r>
              <w:rPr>
                <w:rFonts w:ascii="Arial" w:cs="Arial" w:eastAsia="Arial" w:hAnsi="Arial"/>
                <w:sz w:val="13"/>
                <w:szCs w:val="13"/>
                <w:color w:val="auto"/>
              </w:rPr>
              <w:t>Fiscal Year</w:t>
            </w:r>
          </w:p>
        </w:tc>
        <w:tc>
          <w:tcPr>
            <w:tcW w:w="1060" w:type="dxa"/>
            <w:vAlign w:val="bottom"/>
          </w:tcPr>
          <w:p>
            <w:pPr>
              <w:jc w:val="right"/>
              <w:ind w:right="47"/>
              <w:spacing w:after="0"/>
              <w:rPr>
                <w:sz w:val="20"/>
                <w:szCs w:val="20"/>
                <w:color w:val="auto"/>
              </w:rPr>
            </w:pPr>
            <w:r>
              <w:rPr>
                <w:rFonts w:ascii="Arial" w:cs="Arial" w:eastAsia="Arial" w:hAnsi="Arial"/>
                <w:sz w:val="13"/>
                <w:szCs w:val="13"/>
                <w:color w:val="auto"/>
              </w:rPr>
              <w:t>Fiscal Year</w:t>
            </w:r>
          </w:p>
        </w:tc>
      </w:tr>
      <w:tr>
        <w:trPr>
          <w:trHeight w:val="135"/>
        </w:trPr>
        <w:tc>
          <w:tcPr>
            <w:tcW w:w="1160" w:type="dxa"/>
            <w:vAlign w:val="bottom"/>
          </w:tcPr>
          <w:p>
            <w:pPr>
              <w:jc w:val="right"/>
              <w:ind w:right="67"/>
              <w:spacing w:after="0" w:line="135" w:lineRule="exact"/>
              <w:rPr>
                <w:sz w:val="20"/>
                <w:szCs w:val="20"/>
                <w:color w:val="auto"/>
              </w:rPr>
            </w:pPr>
            <w:r>
              <w:rPr>
                <w:rFonts w:ascii="Arial" w:cs="Arial" w:eastAsia="Arial" w:hAnsi="Arial"/>
                <w:sz w:val="13"/>
                <w:szCs w:val="13"/>
                <w:color w:val="auto"/>
              </w:rPr>
              <w:t>Ended</w:t>
            </w:r>
          </w:p>
        </w:tc>
        <w:tc>
          <w:tcPr>
            <w:tcW w:w="1060" w:type="dxa"/>
            <w:vAlign w:val="bottom"/>
          </w:tcPr>
          <w:p>
            <w:pPr>
              <w:jc w:val="right"/>
              <w:ind w:right="47"/>
              <w:spacing w:after="0" w:line="135" w:lineRule="exact"/>
              <w:rPr>
                <w:sz w:val="20"/>
                <w:szCs w:val="20"/>
                <w:color w:val="auto"/>
              </w:rPr>
            </w:pPr>
            <w:r>
              <w:rPr>
                <w:rFonts w:ascii="Arial" w:cs="Arial" w:eastAsia="Arial" w:hAnsi="Arial"/>
                <w:sz w:val="13"/>
                <w:szCs w:val="13"/>
                <w:color w:val="auto"/>
              </w:rPr>
              <w:t>Ended</w:t>
            </w:r>
          </w:p>
        </w:tc>
      </w:tr>
      <w:tr>
        <w:trPr>
          <w:trHeight w:val="135"/>
        </w:trPr>
        <w:tc>
          <w:tcPr>
            <w:tcW w:w="1160" w:type="dxa"/>
            <w:vAlign w:val="bottom"/>
          </w:tcPr>
          <w:p>
            <w:pPr>
              <w:jc w:val="right"/>
              <w:ind w:right="67"/>
              <w:spacing w:after="0" w:line="135" w:lineRule="exact"/>
              <w:rPr>
                <w:sz w:val="20"/>
                <w:szCs w:val="20"/>
                <w:color w:val="auto"/>
              </w:rPr>
            </w:pPr>
            <w:r>
              <w:rPr>
                <w:rFonts w:ascii="Arial" w:cs="Arial" w:eastAsia="Arial" w:hAnsi="Arial"/>
                <w:sz w:val="13"/>
                <w:szCs w:val="13"/>
                <w:color w:val="auto"/>
              </w:rPr>
              <w:t>December 31,</w:t>
            </w:r>
          </w:p>
        </w:tc>
        <w:tc>
          <w:tcPr>
            <w:tcW w:w="1060" w:type="dxa"/>
            <w:vAlign w:val="bottom"/>
          </w:tcPr>
          <w:p>
            <w:pPr>
              <w:jc w:val="right"/>
              <w:ind w:right="47"/>
              <w:spacing w:after="0" w:line="135" w:lineRule="exact"/>
              <w:rPr>
                <w:sz w:val="20"/>
                <w:szCs w:val="20"/>
                <w:color w:val="auto"/>
              </w:rPr>
            </w:pPr>
            <w:r>
              <w:rPr>
                <w:rFonts w:ascii="Arial" w:cs="Arial" w:eastAsia="Arial" w:hAnsi="Arial"/>
                <w:sz w:val="13"/>
                <w:szCs w:val="13"/>
                <w:color w:val="auto"/>
              </w:rPr>
              <w:t>December 31,</w:t>
            </w:r>
          </w:p>
        </w:tc>
      </w:tr>
      <w:tr>
        <w:trPr>
          <w:trHeight w:val="161"/>
        </w:trPr>
        <w:tc>
          <w:tcPr>
            <w:tcW w:w="1160" w:type="dxa"/>
            <w:vAlign w:val="bottom"/>
          </w:tcPr>
          <w:p>
            <w:pPr>
              <w:jc w:val="right"/>
              <w:ind w:right="67"/>
              <w:spacing w:after="0"/>
              <w:rPr>
                <w:sz w:val="20"/>
                <w:szCs w:val="20"/>
                <w:color w:val="auto"/>
              </w:rPr>
            </w:pPr>
            <w:r>
              <w:rPr>
                <w:rFonts w:ascii="Arial" w:cs="Arial" w:eastAsia="Arial" w:hAnsi="Arial"/>
                <w:sz w:val="13"/>
                <w:szCs w:val="13"/>
                <w:color w:val="auto"/>
              </w:rPr>
              <w:t>2020</w:t>
            </w:r>
          </w:p>
        </w:tc>
        <w:tc>
          <w:tcPr>
            <w:tcW w:w="1060" w:type="dxa"/>
            <w:vAlign w:val="bottom"/>
          </w:tcPr>
          <w:p>
            <w:pPr>
              <w:jc w:val="right"/>
              <w:ind w:right="47"/>
              <w:spacing w:after="0"/>
              <w:rPr>
                <w:sz w:val="20"/>
                <w:szCs w:val="20"/>
                <w:color w:val="auto"/>
              </w:rPr>
            </w:pPr>
            <w:r>
              <w:rPr>
                <w:rFonts w:ascii="Arial" w:cs="Arial" w:eastAsia="Arial" w:hAnsi="Arial"/>
                <w:sz w:val="13"/>
                <w:szCs w:val="13"/>
                <w:color w:val="auto"/>
              </w:rPr>
              <w:t>2019</w:t>
            </w:r>
          </w:p>
        </w:tc>
      </w:tr>
      <w:tr>
        <w:trPr>
          <w:trHeight w:val="305"/>
        </w:trPr>
        <w:tc>
          <w:tcPr>
            <w:tcW w:w="1160" w:type="dxa"/>
            <w:vAlign w:val="bottom"/>
            <w:tcBorders>
              <w:bottom w:val="single" w:sz="8" w:color="CCEEF7"/>
            </w:tcBorders>
            <w:shd w:val="clear" w:color="auto" w:fill="CCEEF7"/>
          </w:tcPr>
          <w:p>
            <w:pPr>
              <w:jc w:val="right"/>
              <w:ind w:right="67"/>
              <w:spacing w:after="0"/>
              <w:rPr>
                <w:sz w:val="20"/>
                <w:szCs w:val="20"/>
                <w:color w:val="auto"/>
              </w:rPr>
            </w:pPr>
            <w:r>
              <w:rPr>
                <w:rFonts w:ascii="Arial" w:cs="Arial" w:eastAsia="Arial" w:hAnsi="Arial"/>
                <w:sz w:val="16"/>
                <w:szCs w:val="16"/>
                <w:color w:val="auto"/>
              </w:rPr>
              <w:t>$3,617,990</w:t>
            </w:r>
          </w:p>
        </w:tc>
        <w:tc>
          <w:tcPr>
            <w:tcW w:w="1060" w:type="dxa"/>
            <w:vAlign w:val="bottom"/>
            <w:tcBorders>
              <w:bottom w:val="single" w:sz="8" w:color="CCEEF7"/>
            </w:tcBorders>
            <w:shd w:val="clear" w:color="auto" w:fill="CCEEF7"/>
          </w:tcPr>
          <w:p>
            <w:pPr>
              <w:jc w:val="right"/>
              <w:ind w:right="47"/>
              <w:spacing w:after="0"/>
              <w:rPr>
                <w:sz w:val="20"/>
                <w:szCs w:val="20"/>
                <w:color w:val="auto"/>
              </w:rPr>
            </w:pPr>
            <w:r>
              <w:rPr>
                <w:rFonts w:ascii="Arial" w:cs="Arial" w:eastAsia="Arial" w:hAnsi="Arial"/>
                <w:sz w:val="16"/>
                <w:szCs w:val="16"/>
                <w:color w:val="auto"/>
              </w:rPr>
              <w:t>$3,397,150</w:t>
            </w:r>
          </w:p>
        </w:tc>
      </w:tr>
      <w:tr>
        <w:trPr>
          <w:trHeight w:val="264"/>
        </w:trPr>
        <w:tc>
          <w:tcPr>
            <w:tcW w:w="1160" w:type="dxa"/>
            <w:vAlign w:val="bottom"/>
          </w:tcPr>
          <w:p>
            <w:pPr>
              <w:jc w:val="right"/>
              <w:ind w:right="67"/>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7"/>
              <w:spacing w:after="0"/>
              <w:rPr>
                <w:sz w:val="20"/>
                <w:szCs w:val="20"/>
                <w:color w:val="auto"/>
              </w:rPr>
            </w:pPr>
            <w:r>
              <w:rPr>
                <w:rFonts w:ascii="Arial" w:cs="Arial" w:eastAsia="Arial" w:hAnsi="Arial"/>
                <w:sz w:val="16"/>
                <w:szCs w:val="16"/>
                <w:color w:val="auto"/>
              </w:rPr>
              <w:t>—</w:t>
            </w:r>
          </w:p>
        </w:tc>
      </w:tr>
      <w:tr>
        <w:trPr>
          <w:trHeight w:val="60"/>
        </w:trPr>
        <w:tc>
          <w:tcPr>
            <w:tcW w:w="116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304"/>
        </w:trPr>
        <w:tc>
          <w:tcPr>
            <w:tcW w:w="1160" w:type="dxa"/>
            <w:vAlign w:val="bottom"/>
            <w:tcBorders>
              <w:bottom w:val="single" w:sz="8" w:color="CCEEF7"/>
            </w:tcBorders>
            <w:shd w:val="clear" w:color="auto" w:fill="CCEEF7"/>
          </w:tcPr>
          <w:p>
            <w:pPr>
              <w:jc w:val="right"/>
              <w:ind w:right="67"/>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7"/>
            </w:tcBorders>
            <w:shd w:val="clear" w:color="auto" w:fill="CCEEF7"/>
          </w:tcPr>
          <w:p>
            <w:pPr>
              <w:jc w:val="right"/>
              <w:ind w:right="47"/>
              <w:spacing w:after="0"/>
              <w:rPr>
                <w:sz w:val="20"/>
                <w:szCs w:val="20"/>
                <w:color w:val="auto"/>
              </w:rPr>
            </w:pPr>
            <w:r>
              <w:rPr>
                <w:rFonts w:ascii="Arial" w:cs="Arial" w:eastAsia="Arial" w:hAnsi="Arial"/>
                <w:sz w:val="16"/>
                <w:szCs w:val="16"/>
                <w:color w:val="auto"/>
              </w:rPr>
              <w:t>—</w:t>
            </w:r>
          </w:p>
        </w:tc>
      </w:tr>
      <w:tr>
        <w:trPr>
          <w:trHeight w:val="264"/>
        </w:trPr>
        <w:tc>
          <w:tcPr>
            <w:tcW w:w="1160" w:type="dxa"/>
            <w:vAlign w:val="bottom"/>
          </w:tcPr>
          <w:p>
            <w:pPr>
              <w:jc w:val="right"/>
              <w:ind w:right="67"/>
              <w:spacing w:after="0"/>
              <w:rPr>
                <w:sz w:val="20"/>
                <w:szCs w:val="20"/>
                <w:color w:val="auto"/>
              </w:rPr>
            </w:pPr>
            <w:r>
              <w:rPr>
                <w:rFonts w:ascii="Arial" w:cs="Arial" w:eastAsia="Arial" w:hAnsi="Arial"/>
                <w:sz w:val="16"/>
                <w:szCs w:val="16"/>
                <w:color w:val="auto"/>
              </w:rPr>
              <w:t>4,126</w:t>
            </w:r>
          </w:p>
        </w:tc>
        <w:tc>
          <w:tcPr>
            <w:tcW w:w="1060" w:type="dxa"/>
            <w:vAlign w:val="bottom"/>
          </w:tcPr>
          <w:p>
            <w:pPr>
              <w:jc w:val="right"/>
              <w:ind w:right="47"/>
              <w:spacing w:after="0"/>
              <w:rPr>
                <w:sz w:val="20"/>
                <w:szCs w:val="20"/>
                <w:color w:val="auto"/>
              </w:rPr>
            </w:pPr>
            <w:r>
              <w:rPr>
                <w:rFonts w:ascii="Arial" w:cs="Arial" w:eastAsia="Arial" w:hAnsi="Arial"/>
                <w:sz w:val="16"/>
                <w:szCs w:val="16"/>
                <w:color w:val="auto"/>
              </w:rPr>
              <w:t>4,126</w:t>
            </w:r>
          </w:p>
        </w:tc>
      </w:tr>
      <w:tr>
        <w:trPr>
          <w:trHeight w:val="60"/>
        </w:trPr>
        <w:tc>
          <w:tcPr>
            <w:tcW w:w="116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70"/>
        </w:trPr>
        <w:tc>
          <w:tcPr>
            <w:tcW w:w="1160" w:type="dxa"/>
            <w:vAlign w:val="bottom"/>
            <w:shd w:val="clear" w:color="auto" w:fill="CCEEF7"/>
          </w:tcPr>
          <w:p>
            <w:pPr>
              <w:jc w:val="right"/>
              <w:ind w:right="67"/>
              <w:spacing w:after="0"/>
              <w:rPr>
                <w:sz w:val="20"/>
                <w:szCs w:val="20"/>
                <w:color w:val="auto"/>
              </w:rPr>
            </w:pPr>
            <w:r>
              <w:rPr>
                <w:rFonts w:ascii="Arial" w:cs="Arial" w:eastAsia="Arial" w:hAnsi="Arial"/>
                <w:sz w:val="16"/>
                <w:szCs w:val="16"/>
                <w:color w:val="auto"/>
              </w:rPr>
              <w:t>$3,622,116</w:t>
            </w:r>
          </w:p>
        </w:tc>
        <w:tc>
          <w:tcPr>
            <w:tcW w:w="1060" w:type="dxa"/>
            <w:vAlign w:val="bottom"/>
            <w:shd w:val="clear" w:color="auto" w:fill="CCEEF7"/>
          </w:tcPr>
          <w:p>
            <w:pPr>
              <w:jc w:val="right"/>
              <w:ind w:right="47"/>
              <w:spacing w:after="0"/>
              <w:rPr>
                <w:sz w:val="20"/>
                <w:szCs w:val="20"/>
                <w:color w:val="auto"/>
              </w:rPr>
            </w:pPr>
            <w:r>
              <w:rPr>
                <w:rFonts w:ascii="Arial" w:cs="Arial" w:eastAsia="Arial" w:hAnsi="Arial"/>
                <w:sz w:val="16"/>
                <w:szCs w:val="16"/>
                <w:color w:val="auto"/>
              </w:rPr>
              <w:t>$3,401,276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-170815</wp:posOffset>
            </wp:positionV>
            <wp:extent cx="699516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-993775</wp:posOffset>
            </wp:positionV>
            <wp:extent cx="699516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4" w:space="720"/>
            <w:col w:w="2220"/>
          </w:cols>
          <w:pgMar w:left="436" w:top="1138" w:right="439" w:bottom="1440" w:gutter="0" w:footer="0" w:header="0"/>
          <w:type w:val="continuous"/>
        </w:sectPr>
      </w:pPr>
    </w:p>
    <w:p>
      <w:pPr>
        <w:spacing w:after="0" w:line="61" w:lineRule="exact"/>
        <w:rPr>
          <w:sz w:val="20"/>
          <w:szCs w:val="20"/>
          <w:color w:val="auto"/>
        </w:rPr>
      </w:pPr>
    </w:p>
    <w:p>
      <w:pPr>
        <w:ind w:left="424" w:right="240" w:hanging="424"/>
        <w:spacing w:after="0" w:line="258" w:lineRule="auto"/>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rendered for the audit of our financial statements and internal controls over financial reporting, reviews of interim financial statements, consent and comfort letters in connection with registration statements filed with the SEC, and statutory and regulatory filings.</w:t>
      </w:r>
    </w:p>
    <w:p>
      <w:pPr>
        <w:spacing w:after="0" w:line="58" w:lineRule="exact"/>
        <w:rPr>
          <w:rFonts w:ascii="Arial" w:cs="Arial" w:eastAsia="Arial" w:hAnsi="Arial"/>
          <w:sz w:val="14"/>
          <w:szCs w:val="14"/>
          <w:color w:val="auto"/>
        </w:rPr>
      </w:pPr>
    </w:p>
    <w:p>
      <w:pPr>
        <w:ind w:left="424" w:hanging="424"/>
        <w:spacing w:after="0"/>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Audit related services consist of Service Organization Control (SOC) audits.</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 fees are for tax compliance services.</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fees relate to professional services not included in the categories above, including fees related to a subscription to an accounting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138" w:right="439" w:bottom="1440" w:gutter="0" w:footer="0" w:header="0"/>
          <w:type w:val="continuous"/>
        </w:sectPr>
      </w:pPr>
    </w:p>
    <w:bookmarkStart w:id="27" w:name="page28"/>
    <w:bookmarkEnd w:id="2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3583305"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3583305" cy="257175"/>
                    </a:xfrm>
                    <a:prstGeom prst="rect">
                      <a:avLst/>
                    </a:prstGeom>
                    <a:noFill/>
                  </pic:spPr>
                </pic:pic>
              </a:graphicData>
            </a:graphic>
          </wp:anchor>
        </w:drawing>
        <w:t>Pursuant to Section 14A of the Securities Exchange Act of 1934, we are seeking an advisory vote from our stockholders to approve the compensation of our named executive officers for the 2020 fiscal year, as disclosed in this Proxy Statement. This proposal, commonly known as a “say-on-pay” proposal, gives our stockholders the opportunity to express their views on our overall compensation policies and procedures relating to the named executive officers.</w:t>
      </w:r>
    </w:p>
    <w:p>
      <w:pPr>
        <w:spacing w:after="0" w:line="2" w:lineRule="exact"/>
        <w:rPr>
          <w:sz w:val="20"/>
          <w:szCs w:val="20"/>
          <w:color w:val="auto"/>
        </w:rPr>
      </w:pPr>
    </w:p>
    <w:p>
      <w:pPr>
        <w:ind w:right="120" w:firstLine="440"/>
        <w:spacing w:after="0" w:line="302" w:lineRule="auto"/>
        <w:rPr>
          <w:sz w:val="20"/>
          <w:szCs w:val="20"/>
          <w:color w:val="auto"/>
        </w:rPr>
      </w:pPr>
      <w:r>
        <w:rPr>
          <w:rFonts w:ascii="Arial" w:cs="Arial" w:eastAsia="Arial" w:hAnsi="Arial"/>
          <w:sz w:val="16"/>
          <w:szCs w:val="16"/>
          <w:color w:val="auto"/>
        </w:rPr>
        <w:t>As described in detail in the Compensation Discussion and Analysis section of this Proxy Statement, the Compensation Committee oversees our compensation program and the compensation awarded to our executive officers; adopts changes to the program; and approves compensation as appropriate to reflect the Company’s circumstances and to promote the main objectives of the program. These objectives include, but are not limited to:</w:t>
      </w:r>
    </w:p>
    <w:p>
      <w:pPr>
        <w:spacing w:after="0" w:line="61" w:lineRule="exact"/>
        <w:rPr>
          <w:sz w:val="20"/>
          <w:szCs w:val="20"/>
          <w:color w:val="auto"/>
        </w:rPr>
      </w:pPr>
    </w:p>
    <w:p>
      <w:pPr>
        <w:ind w:left="420" w:hanging="208"/>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and retaining top-level, talented leaders who reflect our culture of high performance, growth and accountability;</w:t>
      </w:r>
    </w:p>
    <w:p>
      <w:pPr>
        <w:spacing w:after="0" w:line="23" w:lineRule="exact"/>
        <w:rPr>
          <w:rFonts w:ascii="Arial" w:cs="Arial" w:eastAsia="Arial" w:hAnsi="Arial"/>
          <w:sz w:val="18"/>
          <w:szCs w:val="18"/>
          <w:color w:val="auto"/>
        </w:rPr>
      </w:pPr>
    </w:p>
    <w:p>
      <w:pPr>
        <w:ind w:left="420" w:hanging="208"/>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motivating our leaders to create long-term value for our stockholders; and</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aligning pay to performance.</w:t>
      </w:r>
    </w:p>
    <w:p>
      <w:pPr>
        <w:spacing w:after="0" w:line="103" w:lineRule="exact"/>
        <w:rPr>
          <w:sz w:val="20"/>
          <w:szCs w:val="20"/>
          <w:color w:val="auto"/>
        </w:rPr>
      </w:pPr>
    </w:p>
    <w:p>
      <w:pPr>
        <w:ind w:right="180" w:firstLine="440"/>
        <w:spacing w:after="0" w:line="287" w:lineRule="auto"/>
        <w:rPr>
          <w:sz w:val="20"/>
          <w:szCs w:val="20"/>
          <w:color w:val="auto"/>
        </w:rPr>
      </w:pPr>
      <w:r>
        <w:rPr>
          <w:rFonts w:ascii="Arial" w:cs="Arial" w:eastAsia="Arial" w:hAnsi="Arial"/>
          <w:sz w:val="16"/>
          <w:szCs w:val="16"/>
          <w:color w:val="auto"/>
        </w:rPr>
        <w:t>We are asking you to indicate your support for our named executive officer compensation as described in this Proxy Statement. We believe the information we have provided in this Proxy Statement demonstrates that our compensation program is designed appropriately and works to ensure that the interests of our executive officers, including our named executive officers, are aligned with your interest in long-term value creation.</w:t>
      </w:r>
    </w:p>
    <w:p>
      <w:pPr>
        <w:spacing w:after="0" w:line="2" w:lineRule="exact"/>
        <w:rPr>
          <w:sz w:val="20"/>
          <w:szCs w:val="20"/>
          <w:color w:val="auto"/>
        </w:rPr>
      </w:pPr>
    </w:p>
    <w:p>
      <w:pPr>
        <w:ind w:right="160" w:firstLine="440"/>
        <w:spacing w:after="0" w:line="260" w:lineRule="auto"/>
        <w:rPr>
          <w:sz w:val="20"/>
          <w:szCs w:val="20"/>
          <w:color w:val="auto"/>
        </w:rPr>
      </w:pPr>
      <w:r>
        <w:rPr>
          <w:rFonts w:ascii="Arial" w:cs="Arial" w:eastAsia="Arial" w:hAnsi="Arial"/>
          <w:sz w:val="18"/>
          <w:szCs w:val="18"/>
          <w:color w:val="auto"/>
        </w:rPr>
        <w:t>Accordingly, our Board recommends that the Company’s stockholders vote “FOR” the following resolution to approve, on an advisory basis, the compensation of our named executive officers:</w:t>
      </w:r>
    </w:p>
    <w:p>
      <w:pPr>
        <w:spacing w:after="0" w:line="77" w:lineRule="exact"/>
        <w:rPr>
          <w:sz w:val="20"/>
          <w:szCs w:val="20"/>
          <w:color w:val="auto"/>
        </w:rPr>
      </w:pPr>
    </w:p>
    <w:p>
      <w:pPr>
        <w:ind w:left="440" w:right="620"/>
        <w:spacing w:after="0" w:line="263"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disclosure rules of the Securities and Exchange Commission, including in the Compensation Discussion and Analysis, the compensation tables and related narrative disclosure, is hereby approved on an advisory basis.</w:t>
      </w:r>
    </w:p>
    <w:p>
      <w:pPr>
        <w:spacing w:after="0" w:line="7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Although this vote is advisory, the Board of Directors and the Compensation Committee intend to consider the results of the vote, as well as other relevant factors, as we continue to evolve our executive compensation program.</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Board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25</w:t>
            </w:r>
          </w:p>
        </w:tc>
      </w:tr>
    </w:tbl>
    <w:p>
      <w:pPr>
        <w:sectPr>
          <w:pgSz w:w="11900" w:h="16838" w:orient="portrait"/>
          <w:cols w:equalWidth="0" w:num="1">
            <w:col w:w="11020"/>
          </w:cols>
          <w:pgMar w:left="440" w:top="1327" w:right="439" w:bottom="1440" w:gutter="0" w:footer="0" w:header="0"/>
        </w:sectPr>
      </w:pPr>
    </w:p>
    <w:bookmarkStart w:id="28" w:name="page29"/>
    <w:bookmarkEnd w:id="28"/>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4200525" cy="4800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4200525" cy="480060"/>
                    </a:xfrm>
                    <a:prstGeom prst="rect">
                      <a:avLst/>
                    </a:prstGeom>
                    <a:noFill/>
                  </pic:spPr>
                </pic:pic>
              </a:graphicData>
            </a:graphic>
          </wp:anchor>
        </w:drawing>
      </w:r>
    </w:p>
    <w:p>
      <w:pPr>
        <w:ind w:right="160"/>
        <w:spacing w:after="0" w:line="253" w:lineRule="auto"/>
        <w:rPr>
          <w:sz w:val="20"/>
          <w:szCs w:val="20"/>
          <w:color w:val="auto"/>
        </w:rPr>
      </w:pPr>
      <w:r>
        <w:rPr>
          <w:rFonts w:ascii="Arial" w:cs="Arial" w:eastAsia="Arial" w:hAnsi="Arial"/>
          <w:sz w:val="18"/>
          <w:szCs w:val="18"/>
          <w:color w:val="auto"/>
        </w:rPr>
        <w:t>As required by Section 14A of the Securities Exchange Act of 1934, we are seeking our stockholders’ views on how frequently we should hold future advisory “say on pay” votes with regard to the compensation of our named executive officers, as demonstrated by Item 3 of this Proxy Statement. Section 14A of the Securities Exchange Act of 1934 provides that stockholders must be given the opportunity to vote, on a non-binding and advisory basis, to express their preference as to whether a “say on pay” advisory vote should occur every year, every two years or every three years. This Item 4 asks stockholders to submit their “say on pay” frequency preference (having a choice of: every one year, every two years or every three years), or stockholders may abstain from voting on the proposal.</w:t>
      </w:r>
    </w:p>
    <w:p>
      <w:pPr>
        <w:spacing w:after="0" w:line="1" w:lineRule="exact"/>
        <w:rPr>
          <w:sz w:val="20"/>
          <w:szCs w:val="20"/>
          <w:color w:val="auto"/>
        </w:rPr>
      </w:pPr>
    </w:p>
    <w:p>
      <w:pPr>
        <w:ind w:right="160" w:firstLine="440"/>
        <w:spacing w:after="0" w:line="250" w:lineRule="auto"/>
        <w:rPr>
          <w:sz w:val="20"/>
          <w:szCs w:val="20"/>
          <w:color w:val="auto"/>
        </w:rPr>
      </w:pPr>
      <w:r>
        <w:rPr>
          <w:rFonts w:ascii="Arial" w:cs="Arial" w:eastAsia="Arial" w:hAnsi="Arial"/>
          <w:sz w:val="18"/>
          <w:szCs w:val="18"/>
          <w:color w:val="auto"/>
        </w:rPr>
        <w:t>After careful consideration, it is the opinion of the Board that an advisory “say on pay” vote every three years is the most appropriate option for us. We believe that a triennial voting frequency will provide our stockholders with sufficient time to evaluate the effectiveness of our overall compensation philosophy, policies and practices in connection with our long-term business results for the corresponding period, while avoiding over-emphasis on short-term variations in compensation and business results. In addition, given our stage of development and structure, we believe that a vote occurring once every three years will permit the Company to have the appropriate time to consider feedback received from our stockholders, review whether any changes to our executive compensation policies and programs should be implemented, and evaluate the results of those changes, if any, before a new advisory vote is held.</w:t>
      </w:r>
    </w:p>
    <w:p>
      <w:pPr>
        <w:spacing w:after="0" w:line="3" w:lineRule="exact"/>
        <w:rPr>
          <w:sz w:val="20"/>
          <w:szCs w:val="20"/>
          <w:color w:val="auto"/>
        </w:rPr>
      </w:pPr>
    </w:p>
    <w:p>
      <w:pPr>
        <w:ind w:right="180" w:firstLine="440"/>
        <w:spacing w:after="0" w:line="265" w:lineRule="auto"/>
        <w:rPr>
          <w:sz w:val="20"/>
          <w:szCs w:val="20"/>
          <w:color w:val="auto"/>
        </w:rPr>
      </w:pPr>
      <w:r>
        <w:rPr>
          <w:rFonts w:ascii="Arial" w:cs="Arial" w:eastAsia="Arial" w:hAnsi="Arial"/>
          <w:sz w:val="17"/>
          <w:szCs w:val="17"/>
          <w:color w:val="auto"/>
        </w:rPr>
        <w:t>Accordingly, the Board has determined that an advisory “say on pay” vote shall be held every three years, subject to approval by stockholders of such frequency. As an advisory vote, the result of the vote is not binding. However, the Board values the opinions of our stockholders in their vote on this matter, and therefore, if the frequency approved by our stockholders is not every three years, the Board will again consider the appropriate frequency of the advisory “say on pay” vote, taking into account the outcome of the advisory stockholder vote.</w:t>
      </w:r>
    </w:p>
    <w:p>
      <w:pPr>
        <w:spacing w:after="0" w:line="1" w:lineRule="exact"/>
        <w:rPr>
          <w:sz w:val="20"/>
          <w:szCs w:val="20"/>
          <w:color w:val="auto"/>
        </w:rPr>
      </w:pPr>
    </w:p>
    <w:p>
      <w:pPr>
        <w:ind w:right="600" w:firstLine="440"/>
        <w:spacing w:after="0" w:line="260" w:lineRule="auto"/>
        <w:rPr>
          <w:sz w:val="20"/>
          <w:szCs w:val="20"/>
          <w:color w:val="auto"/>
        </w:rPr>
      </w:pPr>
      <w:r>
        <w:rPr>
          <w:rFonts w:ascii="Arial" w:cs="Arial" w:eastAsia="Arial" w:hAnsi="Arial"/>
          <w:sz w:val="18"/>
          <w:szCs w:val="18"/>
          <w:b w:val="1"/>
          <w:bCs w:val="1"/>
          <w:color w:val="auto"/>
        </w:rPr>
        <w:t>The Board recommends a vote “three year” for the frequency with which stockholders of the Company shall be entitled to have an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440" w:right="439" w:bottom="1440" w:gutter="0" w:footer="0" w:header="0"/>
        </w:sectPr>
      </w:pPr>
    </w:p>
    <w:bookmarkStart w:id="29" w:name="page30"/>
    <w:bookmarkEnd w:id="29"/>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9994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2099945" cy="257175"/>
                    </a:xfrm>
                    <a:prstGeom prst="rect">
                      <a:avLst/>
                    </a:prstGeom>
                    <a:noFill/>
                  </pic:spPr>
                </pic:pic>
              </a:graphicData>
            </a:graphic>
          </wp:anchor>
        </w:drawing>
        <w:t>The Audit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2" w:lineRule="exact"/>
        <w:rPr>
          <w:sz w:val="20"/>
          <w:szCs w:val="20"/>
          <w:color w:val="auto"/>
        </w:rPr>
      </w:pPr>
    </w:p>
    <w:p>
      <w:pPr>
        <w:ind w:right="80" w:firstLine="440"/>
        <w:spacing w:after="0" w:line="250" w:lineRule="auto"/>
        <w:rPr>
          <w:sz w:val="20"/>
          <w:szCs w:val="20"/>
          <w:color w:val="auto"/>
        </w:rPr>
      </w:pPr>
      <w:r>
        <w:rPr>
          <w:rFonts w:ascii="Arial" w:cs="Arial" w:eastAsia="Arial" w:hAnsi="Arial"/>
          <w:sz w:val="18"/>
          <w:szCs w:val="18"/>
          <w:color w:val="auto"/>
        </w:rPr>
        <w:t xml:space="preserve">In this context, the Audit Committee reviewed and discussed with management and our independent registered public accounting firm the audited financial statements for the year ended December 31, 2020 (the “Audited Financial Statements”), management’s assessment of the effectiveness of the Company’s internal control over financial reporting. The Audit Committee has discussed with our independent registered public accounting firm the matters required to be discussed by the applicable requirements of the PCAOB and SEC, including PCAOB Auditing Standard No. 1301, </w:t>
      </w:r>
      <w:r>
        <w:rPr>
          <w:rFonts w:ascii="Arial" w:cs="Arial" w:eastAsia="Arial" w:hAnsi="Arial"/>
          <w:sz w:val="18"/>
          <w:szCs w:val="18"/>
          <w:i w:val="1"/>
          <w:iCs w:val="1"/>
          <w:color w:val="auto"/>
        </w:rPr>
        <w:t xml:space="preserve">Communications with Audit Committees. </w:t>
      </w:r>
      <w:r>
        <w:rPr>
          <w:rFonts w:ascii="Arial" w:cs="Arial" w:eastAsia="Arial" w:hAnsi="Arial"/>
          <w:sz w:val="18"/>
          <w:szCs w:val="18"/>
          <w:color w:val="auto"/>
        </w:rPr>
        <w:t>In addition, the Audit Committee has received the written disclosures and the letter from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applicable requirements of the PCAOB regarding our independent registered public accounting firm’s communications with the Audit Committee concerning independence, and has discussed with our independent registered public accounting firm its independence.</w:t>
      </w:r>
    </w:p>
    <w:p>
      <w:pPr>
        <w:spacing w:after="0" w:line="3" w:lineRule="exact"/>
        <w:rPr>
          <w:sz w:val="20"/>
          <w:szCs w:val="20"/>
          <w:color w:val="auto"/>
        </w:rPr>
      </w:pPr>
    </w:p>
    <w:p>
      <w:pPr>
        <w:ind w:right="60" w:firstLine="440"/>
        <w:spacing w:after="0" w:line="290" w:lineRule="auto"/>
        <w:rPr>
          <w:sz w:val="20"/>
          <w:szCs w:val="20"/>
          <w:color w:val="auto"/>
        </w:rPr>
      </w:pPr>
      <w:r>
        <w:rPr>
          <w:rFonts w:ascii="Arial" w:cs="Arial" w:eastAsia="Arial" w:hAnsi="Arial"/>
          <w:sz w:val="17"/>
          <w:szCs w:val="17"/>
          <w:color w:val="auto"/>
        </w:rPr>
        <w:t>Based upon the reviews and discussions referred to above, the Audit Committee recommended to the Board that the Audited Financial Statements be included in the Company’s Annual Report on Form 10-K for the year ended December 31, 2020, for filing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Berns,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Ganeles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Paula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27</w:t>
            </w:r>
          </w:p>
        </w:tc>
      </w:tr>
    </w:tbl>
    <w:p>
      <w:pPr>
        <w:sectPr>
          <w:pgSz w:w="11900" w:h="16838" w:orient="portrait"/>
          <w:cols w:equalWidth="0" w:num="1">
            <w:col w:w="11020"/>
          </w:cols>
          <w:pgMar w:left="440" w:top="1327" w:right="4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64070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640705" cy="257175"/>
                    </a:xfrm>
                    <a:prstGeom prst="rect">
                      <a:avLst/>
                    </a:prstGeom>
                    <a:noFill/>
                  </pic:spPr>
                </pic:pic>
              </a:graphicData>
            </a:graphic>
          </wp:anchor>
        </w:drawing>
        <w:t>The following table sets forth information regarding the beneficial ownership of our Class A common stock and our Class B common stock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15, 2021 for:</w:t>
      </w:r>
    </w:p>
    <w:p>
      <w:pPr>
        <w:spacing w:after="0" w:line="116" w:lineRule="exact"/>
        <w:rPr>
          <w:sz w:val="20"/>
          <w:szCs w:val="20"/>
          <w:color w:val="auto"/>
        </w:rPr>
      </w:pPr>
    </w:p>
    <w:p>
      <w:pPr>
        <w:ind w:left="420" w:hanging="208"/>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23" w:lineRule="exact"/>
        <w:rPr>
          <w:rFonts w:ascii="Arial" w:cs="Arial" w:eastAsia="Arial" w:hAnsi="Arial"/>
          <w:sz w:val="18"/>
          <w:szCs w:val="18"/>
          <w:color w:val="auto"/>
        </w:rPr>
      </w:pPr>
    </w:p>
    <w:p>
      <w:pPr>
        <w:ind w:left="420" w:hanging="208"/>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3"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104,148,335 shares of Class A common stock, 96,933,192 shares of Class B common stock, 1,654,825 shares of Class C common stock and 28,877,108 shares of Class D common stock outstanding as of March 15, 2021.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15, 2021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jc w:val="right"/>
              <w:ind w:right="221"/>
              <w:spacing w:after="0"/>
              <w:rPr>
                <w:sz w:val="20"/>
                <w:szCs w:val="20"/>
                <w:color w:val="auto"/>
              </w:rPr>
            </w:pPr>
            <w:r>
              <w:rPr>
                <w:rFonts w:ascii="Arial" w:cs="Arial" w:eastAsia="Arial" w:hAnsi="Arial"/>
                <w:sz w:val="13"/>
                <w:szCs w:val="13"/>
                <w:color w:val="auto"/>
                <w:w w:val="98"/>
              </w:rPr>
              <w:t>Class A</w:t>
            </w: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6200" w:type="dxa"/>
            <w:vAlign w:val="bottom"/>
          </w:tcPr>
          <w:p>
            <w:pPr>
              <w:spacing w:after="0"/>
              <w:rPr>
                <w:sz w:val="11"/>
                <w:szCs w:val="11"/>
                <w:color w:val="auto"/>
              </w:rPr>
            </w:pPr>
          </w:p>
        </w:tc>
        <w:tc>
          <w:tcPr>
            <w:tcW w:w="1900" w:type="dxa"/>
            <w:vAlign w:val="bottom"/>
            <w:gridSpan w:val="2"/>
          </w:tcPr>
          <w:p>
            <w:pPr>
              <w:jc w:val="right"/>
              <w:ind w:right="221"/>
              <w:spacing w:after="0" w:line="135" w:lineRule="exact"/>
              <w:rPr>
                <w:sz w:val="20"/>
                <w:szCs w:val="20"/>
                <w:color w:val="auto"/>
              </w:rPr>
            </w:pPr>
            <w:r>
              <w:rPr>
                <w:rFonts w:ascii="Arial" w:cs="Arial" w:eastAsia="Arial" w:hAnsi="Arial"/>
                <w:sz w:val="13"/>
                <w:szCs w:val="13"/>
                <w:color w:val="auto"/>
              </w:rPr>
              <w:t>Common Stock (on a</w:t>
            </w:r>
          </w:p>
        </w:tc>
        <w:tc>
          <w:tcPr>
            <w:tcW w:w="1160" w:type="dxa"/>
            <w:vAlign w:val="bottom"/>
          </w:tcPr>
          <w:p>
            <w:pPr>
              <w:spacing w:after="0"/>
              <w:rPr>
                <w:sz w:val="11"/>
                <w:szCs w:val="11"/>
                <w:color w:val="auto"/>
              </w:rPr>
            </w:pPr>
          </w:p>
        </w:tc>
        <w:tc>
          <w:tcPr>
            <w:tcW w:w="860" w:type="dxa"/>
            <w:vAlign w:val="bottom"/>
          </w:tcPr>
          <w:p>
            <w:pPr>
              <w:jc w:val="right"/>
              <w:ind w:right="321"/>
              <w:spacing w:after="0" w:line="135" w:lineRule="exact"/>
              <w:rPr>
                <w:sz w:val="20"/>
                <w:szCs w:val="20"/>
                <w:color w:val="auto"/>
              </w:rPr>
            </w:pPr>
            <w:r>
              <w:rPr>
                <w:rFonts w:ascii="Arial" w:cs="Arial" w:eastAsia="Arial" w:hAnsi="Arial"/>
                <w:sz w:val="13"/>
                <w:szCs w:val="13"/>
                <w:color w:val="auto"/>
                <w:w w:val="98"/>
              </w:rPr>
              <w:t>Class B</w:t>
            </w:r>
          </w:p>
        </w:tc>
        <w:tc>
          <w:tcPr>
            <w:tcW w:w="900" w:type="dxa"/>
            <w:vAlign w:val="bottom"/>
          </w:tcPr>
          <w:p>
            <w:pPr>
              <w:jc w:val="right"/>
              <w:ind w:right="43"/>
              <w:spacing w:after="0" w:line="135" w:lineRule="exact"/>
              <w:rPr>
                <w:sz w:val="20"/>
                <w:szCs w:val="20"/>
                <w:color w:val="auto"/>
              </w:rPr>
            </w:pPr>
            <w:r>
              <w:rPr>
                <w:rFonts w:ascii="Arial" w:cs="Arial" w:eastAsia="Arial" w:hAnsi="Arial"/>
                <w:sz w:val="13"/>
                <w:szCs w:val="13"/>
                <w:color w:val="auto"/>
              </w:rPr>
              <w:t>Combined</w:t>
            </w:r>
          </w:p>
        </w:tc>
      </w:tr>
      <w:tr>
        <w:trPr>
          <w:trHeight w:val="135"/>
        </w:trPr>
        <w:tc>
          <w:tcPr>
            <w:tcW w:w="6200" w:type="dxa"/>
            <w:vAlign w:val="bottom"/>
          </w:tcPr>
          <w:p>
            <w:pPr>
              <w:spacing w:after="0"/>
              <w:rPr>
                <w:sz w:val="11"/>
                <w:szCs w:val="11"/>
                <w:color w:val="auto"/>
              </w:rPr>
            </w:pPr>
          </w:p>
        </w:tc>
        <w:tc>
          <w:tcPr>
            <w:tcW w:w="1900" w:type="dxa"/>
            <w:vAlign w:val="bottom"/>
            <w:gridSpan w:val="2"/>
          </w:tcPr>
          <w:p>
            <w:pPr>
              <w:jc w:val="right"/>
              <w:ind w:right="221"/>
              <w:spacing w:after="0" w:line="135" w:lineRule="exact"/>
              <w:rPr>
                <w:sz w:val="20"/>
                <w:szCs w:val="20"/>
                <w:color w:val="auto"/>
              </w:rPr>
            </w:pPr>
            <w:r>
              <w:rPr>
                <w:rFonts w:ascii="Arial" w:cs="Arial" w:eastAsia="Arial" w:hAnsi="Arial"/>
                <w:sz w:val="13"/>
                <w:szCs w:val="13"/>
                <w:color w:val="auto"/>
              </w:rPr>
              <w:t>fully exchanged and</w:t>
            </w:r>
          </w:p>
        </w:tc>
        <w:tc>
          <w:tcPr>
            <w:tcW w:w="2020" w:type="dxa"/>
            <w:vAlign w:val="bottom"/>
            <w:gridSpan w:val="2"/>
          </w:tcPr>
          <w:p>
            <w:pPr>
              <w:jc w:val="right"/>
              <w:ind w:right="321"/>
              <w:spacing w:after="0" w:line="135" w:lineRule="exact"/>
              <w:rPr>
                <w:sz w:val="20"/>
                <w:szCs w:val="20"/>
                <w:color w:val="auto"/>
              </w:rPr>
            </w:pPr>
            <w:r>
              <w:rPr>
                <w:rFonts w:ascii="Arial" w:cs="Arial" w:eastAsia="Arial" w:hAnsi="Arial"/>
                <w:sz w:val="13"/>
                <w:szCs w:val="13"/>
                <w:color w:val="auto"/>
              </w:rPr>
              <w:t>Common Stock (on a</w:t>
            </w:r>
          </w:p>
        </w:tc>
        <w:tc>
          <w:tcPr>
            <w:tcW w:w="900" w:type="dxa"/>
            <w:vAlign w:val="bottom"/>
          </w:tcPr>
          <w:p>
            <w:pPr>
              <w:jc w:val="right"/>
              <w:ind w:right="43"/>
              <w:spacing w:after="0" w:line="135" w:lineRule="exact"/>
              <w:rPr>
                <w:sz w:val="20"/>
                <w:szCs w:val="20"/>
                <w:color w:val="auto"/>
              </w:rPr>
            </w:pPr>
            <w:r>
              <w:rPr>
                <w:rFonts w:ascii="Arial" w:cs="Arial" w:eastAsia="Arial" w:hAnsi="Arial"/>
                <w:sz w:val="13"/>
                <w:szCs w:val="13"/>
                <w:color w:val="auto"/>
              </w:rPr>
              <w:t>Voting</w:t>
            </w:r>
          </w:p>
        </w:tc>
      </w:tr>
      <w:tr>
        <w:trPr>
          <w:trHeight w:val="161"/>
        </w:trPr>
        <w:tc>
          <w:tcPr>
            <w:tcW w:w="6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 of beneficial owner</w:t>
            </w:r>
          </w:p>
        </w:tc>
        <w:tc>
          <w:tcPr>
            <w:tcW w:w="19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3"/>
                <w:szCs w:val="13"/>
                <w:color w:val="auto"/>
              </w:rPr>
              <w:t>converted basis)</w:t>
            </w:r>
            <w:r>
              <w:rPr>
                <w:rFonts w:ascii="Arial" w:cs="Arial" w:eastAsia="Arial" w:hAnsi="Arial"/>
                <w:sz w:val="10"/>
                <w:szCs w:val="10"/>
                <w:color w:val="auto"/>
              </w:rPr>
              <w:t>1</w:t>
            </w:r>
          </w:p>
        </w:tc>
        <w:tc>
          <w:tcPr>
            <w:tcW w:w="20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3"/>
                <w:szCs w:val="13"/>
                <w:color w:val="auto"/>
              </w:rPr>
              <w:t>fully exchanged basis)</w:t>
            </w:r>
            <w:r>
              <w:rPr>
                <w:rFonts w:ascii="Arial" w:cs="Arial" w:eastAsia="Arial" w:hAnsi="Arial"/>
                <w:sz w:val="10"/>
                <w:szCs w:val="10"/>
                <w:color w:val="auto"/>
              </w:rPr>
              <w:t>2</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color w:val="auto"/>
              </w:rPr>
              <w:t>Power</w:t>
            </w:r>
            <w:r>
              <w:rPr>
                <w:rFonts w:ascii="Arial" w:cs="Arial" w:eastAsia="Arial" w:hAnsi="Arial"/>
                <w:sz w:val="10"/>
                <w:szCs w:val="10"/>
                <w:color w:val="auto"/>
              </w:rPr>
              <w:t>3</w:t>
            </w:r>
          </w:p>
        </w:tc>
      </w:tr>
      <w:tr>
        <w:trPr>
          <w:trHeight w:val="143"/>
        </w:trPr>
        <w:tc>
          <w:tcPr>
            <w:tcW w:w="6200" w:type="dxa"/>
            <w:vAlign w:val="bottom"/>
            <w:tcBorders>
              <w:bottom w:val="single" w:sz="8" w:color="CCEEF7"/>
            </w:tcBorders>
          </w:tcPr>
          <w:p>
            <w:pPr>
              <w:spacing w:after="0"/>
              <w:rPr>
                <w:sz w:val="12"/>
                <w:szCs w:val="12"/>
                <w:color w:val="auto"/>
              </w:rPr>
            </w:pPr>
          </w:p>
        </w:tc>
        <w:tc>
          <w:tcPr>
            <w:tcW w:w="1140" w:type="dxa"/>
            <w:vAlign w:val="bottom"/>
            <w:tcBorders>
              <w:bottom w:val="single" w:sz="8" w:color="auto"/>
            </w:tcBorders>
          </w:tcPr>
          <w:p>
            <w:pPr>
              <w:jc w:val="right"/>
              <w:ind w:right="2"/>
              <w:spacing w:after="0" w:line="143" w:lineRule="exact"/>
              <w:rPr>
                <w:sz w:val="20"/>
                <w:szCs w:val="20"/>
                <w:color w:val="auto"/>
              </w:rPr>
            </w:pPr>
            <w:r>
              <w:rPr>
                <w:rFonts w:ascii="Arial" w:cs="Arial" w:eastAsia="Arial" w:hAnsi="Arial"/>
                <w:sz w:val="13"/>
                <w:szCs w:val="13"/>
                <w:color w:val="auto"/>
              </w:rPr>
              <w:t>Number</w:t>
            </w:r>
          </w:p>
        </w:tc>
        <w:tc>
          <w:tcPr>
            <w:tcW w:w="760" w:type="dxa"/>
            <w:vAlign w:val="bottom"/>
            <w:tcBorders>
              <w:bottom w:val="single" w:sz="8" w:color="auto"/>
            </w:tcBorders>
          </w:tcPr>
          <w:p>
            <w:pPr>
              <w:jc w:val="right"/>
              <w:ind w:right="221"/>
              <w:spacing w:after="0" w:line="143"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2"/>
              <w:spacing w:after="0" w:line="143" w:lineRule="exact"/>
              <w:rPr>
                <w:sz w:val="20"/>
                <w:szCs w:val="20"/>
                <w:color w:val="auto"/>
              </w:rPr>
            </w:pPr>
            <w:r>
              <w:rPr>
                <w:rFonts w:ascii="Arial" w:cs="Arial" w:eastAsia="Arial" w:hAnsi="Arial"/>
                <w:sz w:val="13"/>
                <w:szCs w:val="13"/>
                <w:color w:val="auto"/>
              </w:rPr>
              <w:t>Number</w:t>
            </w:r>
          </w:p>
        </w:tc>
        <w:tc>
          <w:tcPr>
            <w:tcW w:w="860" w:type="dxa"/>
            <w:vAlign w:val="bottom"/>
            <w:tcBorders>
              <w:bottom w:val="single" w:sz="8" w:color="auto"/>
            </w:tcBorders>
          </w:tcPr>
          <w:p>
            <w:pPr>
              <w:jc w:val="right"/>
              <w:ind w:right="321"/>
              <w:spacing w:after="0" w:line="14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43"/>
              <w:spacing w:after="0" w:line="143" w:lineRule="exact"/>
              <w:rPr>
                <w:sz w:val="20"/>
                <w:szCs w:val="20"/>
                <w:color w:val="auto"/>
              </w:rPr>
            </w:pPr>
            <w:r>
              <w:rPr>
                <w:rFonts w:ascii="Arial" w:cs="Arial" w:eastAsia="Arial" w:hAnsi="Arial"/>
                <w:sz w:val="13"/>
                <w:szCs w:val="13"/>
                <w:color w:val="auto"/>
              </w:rPr>
              <w:t>%</w:t>
            </w:r>
          </w:p>
        </w:tc>
      </w:tr>
      <w:tr>
        <w:trPr>
          <w:trHeight w:val="304"/>
        </w:trPr>
        <w:tc>
          <w:tcPr>
            <w:tcW w:w="6200" w:type="dxa"/>
            <w:vAlign w:val="bottom"/>
            <w:shd w:val="clear" w:color="auto" w:fill="CCEEF7"/>
          </w:tcPr>
          <w:p>
            <w:pPr>
              <w:ind w:left="60"/>
              <w:spacing w:after="0" w:line="303" w:lineRule="exact"/>
              <w:rPr>
                <w:sz w:val="20"/>
                <w:szCs w:val="20"/>
                <w:color w:val="auto"/>
              </w:rPr>
            </w:pPr>
            <w:r>
              <w:rPr>
                <w:rFonts w:ascii="Arial" w:cs="Arial" w:eastAsia="Arial" w:hAnsi="Arial"/>
                <w:sz w:val="16"/>
                <w:szCs w:val="16"/>
                <w:color w:val="auto"/>
              </w:rPr>
              <w:t>Entities affiliated with Refinitiv</w:t>
            </w:r>
            <w:r>
              <w:rPr>
                <w:rFonts w:ascii="Arial" w:cs="Arial" w:eastAsia="Arial" w:hAnsi="Arial"/>
                <w:sz w:val="27"/>
                <w:szCs w:val="27"/>
                <w:color w:val="auto"/>
                <w:vertAlign w:val="superscript"/>
              </w:rPr>
              <w:t>4</w:t>
            </w:r>
          </w:p>
        </w:tc>
        <w:tc>
          <w:tcPr>
            <w:tcW w:w="114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119,921,521</w:t>
            </w:r>
          </w:p>
        </w:tc>
        <w:tc>
          <w:tcPr>
            <w:tcW w:w="76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rPr>
              <w:t>51.8%</w:t>
            </w:r>
          </w:p>
        </w:tc>
        <w:tc>
          <w:tcPr>
            <w:tcW w:w="116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119,921,521</w:t>
            </w:r>
          </w:p>
        </w:tc>
        <w:tc>
          <w:tcPr>
            <w:tcW w:w="860" w:type="dxa"/>
            <w:vAlign w:val="bottom"/>
            <w:shd w:val="clear" w:color="auto" w:fill="CCEEF7"/>
          </w:tcPr>
          <w:p>
            <w:pPr>
              <w:jc w:val="right"/>
              <w:ind w:right="181"/>
              <w:spacing w:after="0"/>
              <w:rPr>
                <w:sz w:val="20"/>
                <w:szCs w:val="20"/>
                <w:color w:val="auto"/>
              </w:rPr>
            </w:pPr>
            <w:r>
              <w:rPr>
                <w:rFonts w:ascii="Arial" w:cs="Arial" w:eastAsia="Arial" w:hAnsi="Arial"/>
                <w:sz w:val="16"/>
                <w:szCs w:val="16"/>
                <w:color w:val="auto"/>
              </w:rPr>
              <w:t>95.3%</w:t>
            </w:r>
          </w:p>
        </w:tc>
        <w:tc>
          <w:tcPr>
            <w:tcW w:w="900" w:type="dxa"/>
            <w:vAlign w:val="bottom"/>
            <w:shd w:val="clear" w:color="auto" w:fill="CCEEF7"/>
          </w:tcPr>
          <w:p>
            <w:pPr>
              <w:jc w:val="right"/>
              <w:ind w:right="43"/>
              <w:spacing w:after="0"/>
              <w:rPr>
                <w:sz w:val="20"/>
                <w:szCs w:val="20"/>
                <w:color w:val="auto"/>
              </w:rPr>
            </w:pPr>
            <w:r>
              <w:rPr>
                <w:rFonts w:ascii="Arial" w:cs="Arial" w:eastAsia="Arial" w:hAnsi="Arial"/>
                <w:sz w:val="16"/>
                <w:szCs w:val="16"/>
                <w:color w:val="auto"/>
              </w:rPr>
              <w:t>87.9%</w:t>
            </w: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T. Rowe Price Associates, Inc.</w:t>
            </w:r>
            <w:r>
              <w:rPr>
                <w:rFonts w:ascii="Arial" w:cs="Arial" w:eastAsia="Arial" w:hAnsi="Arial"/>
                <w:sz w:val="27"/>
                <w:szCs w:val="27"/>
                <w:color w:val="auto"/>
                <w:vertAlign w:val="superscript"/>
              </w:rPr>
              <w:t>5</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15,263,979</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6.6%</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1.1%</w:t>
            </w:r>
          </w:p>
        </w:tc>
      </w:tr>
      <w:tr>
        <w:trPr>
          <w:trHeight w:val="324"/>
        </w:trPr>
        <w:tc>
          <w:tcPr>
            <w:tcW w:w="62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r>
              <w:rPr>
                <w:rFonts w:ascii="Arial" w:cs="Arial" w:eastAsia="Arial" w:hAnsi="Arial"/>
                <w:sz w:val="27"/>
                <w:szCs w:val="27"/>
                <w:color w:val="auto"/>
                <w:vertAlign w:val="superscript"/>
              </w:rPr>
              <w:t>6</w:t>
            </w:r>
          </w:p>
        </w:tc>
        <w:tc>
          <w:tcPr>
            <w:tcW w:w="114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1,879,916</w:t>
            </w:r>
          </w:p>
        </w:tc>
        <w:tc>
          <w:tcPr>
            <w:tcW w:w="760" w:type="dxa"/>
            <w:vAlign w:val="bottom"/>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Billy Hult</w:t>
            </w:r>
            <w:r>
              <w:rPr>
                <w:rFonts w:ascii="Arial" w:cs="Arial" w:eastAsia="Arial" w:hAnsi="Arial"/>
                <w:sz w:val="27"/>
                <w:szCs w:val="27"/>
                <w:color w:val="auto"/>
                <w:vertAlign w:val="superscript"/>
              </w:rPr>
              <w:t>7</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595,921</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4"/>
        </w:trPr>
        <w:tc>
          <w:tcPr>
            <w:tcW w:w="6200" w:type="dxa"/>
            <w:vAlign w:val="bottom"/>
            <w:shd w:val="clear" w:color="auto" w:fill="CCEEF7"/>
          </w:tcPr>
          <w:p>
            <w:pPr>
              <w:ind w:left="60"/>
              <w:spacing w:after="0"/>
              <w:rPr>
                <w:sz w:val="20"/>
                <w:szCs w:val="20"/>
                <w:color w:val="auto"/>
              </w:rPr>
            </w:pPr>
            <w:r>
              <w:rPr>
                <w:rFonts w:ascii="Arial" w:cs="Arial" w:eastAsia="Arial" w:hAnsi="Arial"/>
                <w:sz w:val="16"/>
                <w:szCs w:val="16"/>
                <w:color w:val="auto"/>
              </w:rPr>
              <w:t>Steven Berns</w:t>
            </w:r>
          </w:p>
        </w:tc>
        <w:tc>
          <w:tcPr>
            <w:tcW w:w="114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2,188</w:t>
            </w:r>
          </w:p>
        </w:tc>
        <w:tc>
          <w:tcPr>
            <w:tcW w:w="760" w:type="dxa"/>
            <w:vAlign w:val="bottom"/>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60"/>
        </w:trPr>
        <w:tc>
          <w:tcPr>
            <w:tcW w:w="6200" w:type="dxa"/>
            <w:vAlign w:val="bottom"/>
            <w:shd w:val="clear" w:color="auto" w:fill="CCEEF7"/>
          </w:tcPr>
          <w:p>
            <w:pPr>
              <w:spacing w:after="0"/>
              <w:rPr>
                <w:sz w:val="5"/>
                <w:szCs w:val="5"/>
                <w:color w:val="auto"/>
              </w:rPr>
            </w:pPr>
          </w:p>
        </w:tc>
        <w:tc>
          <w:tcPr>
            <w:tcW w:w="1140" w:type="dxa"/>
            <w:vAlign w:val="bottom"/>
            <w:shd w:val="clear" w:color="auto" w:fill="CCEEF7"/>
          </w:tcPr>
          <w:p>
            <w:pPr>
              <w:spacing w:after="0"/>
              <w:rPr>
                <w:sz w:val="5"/>
                <w:szCs w:val="5"/>
                <w:color w:val="auto"/>
              </w:rPr>
            </w:pPr>
          </w:p>
        </w:tc>
        <w:tc>
          <w:tcPr>
            <w:tcW w:w="760" w:type="dxa"/>
            <w:vAlign w:val="bottom"/>
            <w:shd w:val="clear" w:color="auto" w:fill="CCEEF7"/>
          </w:tcPr>
          <w:p>
            <w:pPr>
              <w:spacing w:after="0"/>
              <w:rPr>
                <w:sz w:val="5"/>
                <w:szCs w:val="5"/>
                <w:color w:val="auto"/>
              </w:rPr>
            </w:pPr>
          </w:p>
        </w:tc>
        <w:tc>
          <w:tcPr>
            <w:tcW w:w="1160" w:type="dxa"/>
            <w:vAlign w:val="bottom"/>
            <w:shd w:val="clear" w:color="auto" w:fill="CCEEF7"/>
          </w:tcPr>
          <w:p>
            <w:pPr>
              <w:spacing w:after="0"/>
              <w:rPr>
                <w:sz w:val="5"/>
                <w:szCs w:val="5"/>
                <w:color w:val="auto"/>
              </w:rPr>
            </w:pPr>
          </w:p>
        </w:tc>
        <w:tc>
          <w:tcPr>
            <w:tcW w:w="860" w:type="dxa"/>
            <w:vAlign w:val="bottom"/>
            <w:shd w:val="clear" w:color="auto" w:fill="CCEEF7"/>
          </w:tcPr>
          <w:p>
            <w:pPr>
              <w:spacing w:after="0"/>
              <w:rPr>
                <w:sz w:val="5"/>
                <w:szCs w:val="5"/>
                <w:color w:val="auto"/>
              </w:rPr>
            </w:pPr>
          </w:p>
        </w:tc>
        <w:tc>
          <w:tcPr>
            <w:tcW w:w="900" w:type="dxa"/>
            <w:vAlign w:val="bottom"/>
            <w:shd w:val="clear" w:color="auto" w:fill="CCEEF7"/>
          </w:tcPr>
          <w:p>
            <w:pPr>
              <w:spacing w:after="0"/>
              <w:rPr>
                <w:sz w:val="5"/>
                <w:szCs w:val="5"/>
                <w:color w:val="auto"/>
              </w:rPr>
            </w:pP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Enrico Bruni</w:t>
            </w:r>
            <w:r>
              <w:rPr>
                <w:rFonts w:ascii="Arial" w:cs="Arial" w:eastAsia="Arial" w:hAnsi="Arial"/>
                <w:sz w:val="27"/>
                <w:szCs w:val="27"/>
                <w:color w:val="auto"/>
                <w:vertAlign w:val="superscript"/>
              </w:rPr>
              <w:t>8</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206,592</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4"/>
        </w:trPr>
        <w:tc>
          <w:tcPr>
            <w:tcW w:w="6200" w:type="dxa"/>
            <w:vAlign w:val="bottom"/>
            <w:shd w:val="clear" w:color="auto" w:fill="CCEEF7"/>
          </w:tcPr>
          <w:p>
            <w:pPr>
              <w:ind w:left="60"/>
              <w:spacing w:after="0"/>
              <w:rPr>
                <w:sz w:val="20"/>
                <w:szCs w:val="20"/>
                <w:color w:val="auto"/>
              </w:rPr>
            </w:pPr>
            <w:r>
              <w:rPr>
                <w:rFonts w:ascii="Arial" w:cs="Arial" w:eastAsia="Arial" w:hAnsi="Arial"/>
                <w:sz w:val="16"/>
                <w:szCs w:val="16"/>
                <w:color w:val="auto"/>
              </w:rPr>
              <w:t>Martin Brand</w:t>
            </w:r>
          </w:p>
        </w:tc>
        <w:tc>
          <w:tcPr>
            <w:tcW w:w="114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60"/>
        </w:trPr>
        <w:tc>
          <w:tcPr>
            <w:tcW w:w="6200" w:type="dxa"/>
            <w:vAlign w:val="bottom"/>
            <w:shd w:val="clear" w:color="auto" w:fill="CCEEF7"/>
          </w:tcPr>
          <w:p>
            <w:pPr>
              <w:spacing w:after="0"/>
              <w:rPr>
                <w:sz w:val="5"/>
                <w:szCs w:val="5"/>
                <w:color w:val="auto"/>
              </w:rPr>
            </w:pPr>
          </w:p>
        </w:tc>
        <w:tc>
          <w:tcPr>
            <w:tcW w:w="1140" w:type="dxa"/>
            <w:vAlign w:val="bottom"/>
            <w:shd w:val="clear" w:color="auto" w:fill="CCEEF7"/>
          </w:tcPr>
          <w:p>
            <w:pPr>
              <w:spacing w:after="0"/>
              <w:rPr>
                <w:sz w:val="5"/>
                <w:szCs w:val="5"/>
                <w:color w:val="auto"/>
              </w:rPr>
            </w:pPr>
          </w:p>
        </w:tc>
        <w:tc>
          <w:tcPr>
            <w:tcW w:w="760" w:type="dxa"/>
            <w:vAlign w:val="bottom"/>
            <w:shd w:val="clear" w:color="auto" w:fill="CCEEF7"/>
          </w:tcPr>
          <w:p>
            <w:pPr>
              <w:spacing w:after="0"/>
              <w:rPr>
                <w:sz w:val="5"/>
                <w:szCs w:val="5"/>
                <w:color w:val="auto"/>
              </w:rPr>
            </w:pPr>
          </w:p>
        </w:tc>
        <w:tc>
          <w:tcPr>
            <w:tcW w:w="1160" w:type="dxa"/>
            <w:vAlign w:val="bottom"/>
            <w:shd w:val="clear" w:color="auto" w:fill="CCEEF7"/>
          </w:tcPr>
          <w:p>
            <w:pPr>
              <w:spacing w:after="0"/>
              <w:rPr>
                <w:sz w:val="5"/>
                <w:szCs w:val="5"/>
                <w:color w:val="auto"/>
              </w:rPr>
            </w:pPr>
          </w:p>
        </w:tc>
        <w:tc>
          <w:tcPr>
            <w:tcW w:w="860" w:type="dxa"/>
            <w:vAlign w:val="bottom"/>
            <w:shd w:val="clear" w:color="auto" w:fill="CCEEF7"/>
          </w:tcPr>
          <w:p>
            <w:pPr>
              <w:spacing w:after="0"/>
              <w:rPr>
                <w:sz w:val="5"/>
                <w:szCs w:val="5"/>
                <w:color w:val="auto"/>
              </w:rPr>
            </w:pPr>
          </w:p>
        </w:tc>
        <w:tc>
          <w:tcPr>
            <w:tcW w:w="900" w:type="dxa"/>
            <w:vAlign w:val="bottom"/>
            <w:shd w:val="clear" w:color="auto" w:fill="CCEEF7"/>
          </w:tcPr>
          <w:p>
            <w:pPr>
              <w:spacing w:after="0"/>
              <w:rPr>
                <w:sz w:val="5"/>
                <w:szCs w:val="5"/>
                <w:color w:val="auto"/>
              </w:rPr>
            </w:pPr>
          </w:p>
        </w:tc>
      </w:tr>
      <w:tr>
        <w:trPr>
          <w:trHeight w:val="264"/>
        </w:trPr>
        <w:tc>
          <w:tcPr>
            <w:tcW w:w="6200" w:type="dxa"/>
            <w:vAlign w:val="bottom"/>
          </w:tcPr>
          <w:p>
            <w:pPr>
              <w:ind w:left="60"/>
              <w:spacing w:after="0"/>
              <w:rPr>
                <w:sz w:val="20"/>
                <w:szCs w:val="20"/>
                <w:color w:val="auto"/>
              </w:rPr>
            </w:pPr>
            <w:r>
              <w:rPr>
                <w:rFonts w:ascii="Arial" w:cs="Arial" w:eastAsia="Arial" w:hAnsi="Arial"/>
                <w:sz w:val="16"/>
                <w:szCs w:val="16"/>
                <w:color w:val="auto"/>
              </w:rPr>
              <w:t>John G. Finley</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60"/>
        </w:trPr>
        <w:tc>
          <w:tcPr>
            <w:tcW w:w="6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304"/>
        </w:trPr>
        <w:tc>
          <w:tcPr>
            <w:tcW w:w="62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Scott C. Ganeles</w:t>
            </w:r>
          </w:p>
        </w:tc>
        <w:tc>
          <w:tcPr>
            <w:tcW w:w="11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6,250</w:t>
            </w:r>
          </w:p>
        </w:tc>
        <w:tc>
          <w:tcPr>
            <w:tcW w:w="760" w:type="dxa"/>
            <w:vAlign w:val="bottom"/>
            <w:tcBorders>
              <w:bottom w:val="single" w:sz="8" w:color="CCEEF7"/>
            </w:tcBorders>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7"/>
            </w:tcBorders>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264"/>
        </w:trPr>
        <w:tc>
          <w:tcPr>
            <w:tcW w:w="6200" w:type="dxa"/>
            <w:vAlign w:val="bottom"/>
          </w:tcPr>
          <w:p>
            <w:pPr>
              <w:ind w:left="60"/>
              <w:spacing w:after="0"/>
              <w:rPr>
                <w:sz w:val="20"/>
                <w:szCs w:val="20"/>
                <w:color w:val="auto"/>
              </w:rPr>
            </w:pPr>
            <w:r>
              <w:rPr>
                <w:rFonts w:ascii="Arial" w:cs="Arial" w:eastAsia="Arial" w:hAnsi="Arial"/>
                <w:sz w:val="16"/>
                <w:szCs w:val="16"/>
                <w:color w:val="auto"/>
              </w:rPr>
              <w:t>Von Hughes</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60"/>
        </w:trPr>
        <w:tc>
          <w:tcPr>
            <w:tcW w:w="6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304"/>
        </w:trPr>
        <w:tc>
          <w:tcPr>
            <w:tcW w:w="62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Paula B. Madoff</w:t>
            </w:r>
          </w:p>
        </w:tc>
        <w:tc>
          <w:tcPr>
            <w:tcW w:w="11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6,250</w:t>
            </w:r>
          </w:p>
        </w:tc>
        <w:tc>
          <w:tcPr>
            <w:tcW w:w="760" w:type="dxa"/>
            <w:vAlign w:val="bottom"/>
            <w:tcBorders>
              <w:bottom w:val="single" w:sz="8" w:color="CCEEF7"/>
            </w:tcBorders>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7"/>
            </w:tcBorders>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Justin Peterson</w:t>
            </w:r>
            <w:r>
              <w:rPr>
                <w:rFonts w:ascii="Arial" w:cs="Arial" w:eastAsia="Arial" w:hAnsi="Arial"/>
                <w:sz w:val="27"/>
                <w:szCs w:val="27"/>
                <w:color w:val="auto"/>
                <w:vertAlign w:val="superscript"/>
              </w:rPr>
              <w:t>9</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138,412</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304"/>
        </w:trPr>
        <w:tc>
          <w:tcPr>
            <w:tcW w:w="62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Thomas Pluta</w:t>
            </w:r>
          </w:p>
        </w:tc>
        <w:tc>
          <w:tcPr>
            <w:tcW w:w="11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6,250</w:t>
            </w:r>
          </w:p>
        </w:tc>
        <w:tc>
          <w:tcPr>
            <w:tcW w:w="760" w:type="dxa"/>
            <w:vAlign w:val="bottom"/>
            <w:tcBorders>
              <w:bottom w:val="single" w:sz="8" w:color="CCEEF7"/>
            </w:tcBorders>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7"/>
            </w:tcBorders>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Murray Roos</w:t>
            </w:r>
            <w:r>
              <w:rPr>
                <w:rFonts w:ascii="Arial" w:cs="Arial" w:eastAsia="Arial" w:hAnsi="Arial"/>
                <w:sz w:val="27"/>
                <w:szCs w:val="27"/>
                <w:color w:val="auto"/>
                <w:vertAlign w:val="superscript"/>
              </w:rPr>
              <w:t>10</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324"/>
        </w:trPr>
        <w:tc>
          <w:tcPr>
            <w:tcW w:w="6200" w:type="dxa"/>
            <w:vAlign w:val="bottom"/>
            <w:shd w:val="clear" w:color="auto" w:fill="CCEEF7"/>
          </w:tcPr>
          <w:p>
            <w:pPr>
              <w:ind w:left="60"/>
              <w:spacing w:after="0"/>
              <w:rPr>
                <w:sz w:val="20"/>
                <w:szCs w:val="20"/>
                <w:color w:val="auto"/>
              </w:rPr>
            </w:pPr>
            <w:r>
              <w:rPr>
                <w:rFonts w:ascii="Arial" w:cs="Arial" w:eastAsia="Arial" w:hAnsi="Arial"/>
                <w:sz w:val="16"/>
                <w:szCs w:val="16"/>
                <w:color w:val="auto"/>
              </w:rPr>
              <w:t>Robert Warshaw</w:t>
            </w:r>
            <w:r>
              <w:rPr>
                <w:rFonts w:ascii="Arial" w:cs="Arial" w:eastAsia="Arial" w:hAnsi="Arial"/>
                <w:sz w:val="27"/>
                <w:szCs w:val="27"/>
                <w:color w:val="auto"/>
                <w:vertAlign w:val="superscript"/>
              </w:rPr>
              <w:t>11</w:t>
            </w:r>
          </w:p>
        </w:tc>
        <w:tc>
          <w:tcPr>
            <w:tcW w:w="114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50,769</w:t>
            </w:r>
          </w:p>
        </w:tc>
        <w:tc>
          <w:tcPr>
            <w:tcW w:w="760" w:type="dxa"/>
            <w:vAlign w:val="bottom"/>
            <w:shd w:val="clear" w:color="auto" w:fill="CCEEF7"/>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324"/>
        </w:trPr>
        <w:tc>
          <w:tcPr>
            <w:tcW w:w="6200" w:type="dxa"/>
            <w:vAlign w:val="bottom"/>
          </w:tcPr>
          <w:p>
            <w:pPr>
              <w:ind w:left="60"/>
              <w:spacing w:after="0"/>
              <w:rPr>
                <w:sz w:val="20"/>
                <w:szCs w:val="20"/>
                <w:color w:val="auto"/>
              </w:rPr>
            </w:pPr>
            <w:r>
              <w:rPr>
                <w:rFonts w:ascii="Arial" w:cs="Arial" w:eastAsia="Arial" w:hAnsi="Arial"/>
                <w:sz w:val="16"/>
                <w:szCs w:val="16"/>
                <w:color w:val="auto"/>
              </w:rPr>
              <w:t>Brian West</w:t>
            </w:r>
            <w:r>
              <w:rPr>
                <w:rFonts w:ascii="Arial" w:cs="Arial" w:eastAsia="Arial" w:hAnsi="Arial"/>
                <w:sz w:val="27"/>
                <w:szCs w:val="27"/>
                <w:color w:val="auto"/>
                <w:vertAlign w:val="superscript"/>
              </w:rPr>
              <w:t>12</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4"/>
        </w:trPr>
        <w:tc>
          <w:tcPr>
            <w:tcW w:w="6200" w:type="dxa"/>
            <w:vAlign w:val="bottom"/>
            <w:tcBorders>
              <w:bottom w:val="single" w:sz="8" w:color="auto"/>
            </w:tcBorders>
            <w:shd w:val="clear" w:color="auto" w:fill="CCEEF7"/>
          </w:tcPr>
          <w:p>
            <w:pPr>
              <w:ind w:left="60"/>
              <w:spacing w:after="0" w:line="257" w:lineRule="exact"/>
              <w:rPr>
                <w:sz w:val="20"/>
                <w:szCs w:val="20"/>
                <w:color w:val="auto"/>
              </w:rPr>
            </w:pPr>
            <w:r>
              <w:rPr>
                <w:rFonts w:ascii="Arial" w:cs="Arial" w:eastAsia="Arial" w:hAnsi="Arial"/>
                <w:sz w:val="16"/>
                <w:szCs w:val="16"/>
                <w:color w:val="auto"/>
              </w:rPr>
              <w:t>All executive officers and directors as a group (17 persons)</w:t>
            </w:r>
            <w:r>
              <w:rPr>
                <w:rFonts w:ascii="Arial" w:cs="Arial" w:eastAsia="Arial" w:hAnsi="Arial"/>
                <w:sz w:val="27"/>
                <w:szCs w:val="27"/>
                <w:color w:val="auto"/>
                <w:vertAlign w:val="superscript"/>
              </w:rPr>
              <w:t>13</w:t>
            </w:r>
          </w:p>
        </w:tc>
        <w:tc>
          <w:tcPr>
            <w:tcW w:w="1140" w:type="dxa"/>
            <w:vAlign w:val="bottom"/>
            <w:tcBorders>
              <w:bottom w:val="single" w:sz="8" w:color="auto"/>
            </w:tcBorders>
            <w:shd w:val="clear" w:color="auto" w:fill="CCEEF7"/>
          </w:tcPr>
          <w:p>
            <w:pPr>
              <w:jc w:val="right"/>
              <w:ind w:right="2"/>
              <w:spacing w:after="0"/>
              <w:rPr>
                <w:sz w:val="20"/>
                <w:szCs w:val="20"/>
                <w:color w:val="auto"/>
              </w:rPr>
            </w:pPr>
            <w:r>
              <w:rPr>
                <w:rFonts w:ascii="Arial" w:cs="Arial" w:eastAsia="Arial" w:hAnsi="Arial"/>
                <w:sz w:val="16"/>
                <w:szCs w:val="16"/>
                <w:color w:val="auto"/>
              </w:rPr>
              <w:t>3,116,708</w:t>
            </w:r>
          </w:p>
        </w:tc>
        <w:tc>
          <w:tcPr>
            <w:tcW w:w="760" w:type="dxa"/>
            <w:vAlign w:val="bottom"/>
            <w:tcBorders>
              <w:bottom w:val="single" w:sz="8" w:color="auto"/>
            </w:tcBorders>
            <w:shd w:val="clear" w:color="auto" w:fill="CCEEF7"/>
          </w:tcPr>
          <w:p>
            <w:pPr>
              <w:jc w:val="right"/>
              <w:ind w:right="81"/>
              <w:spacing w:after="0"/>
              <w:rPr>
                <w:sz w:val="20"/>
                <w:szCs w:val="20"/>
                <w:color w:val="auto"/>
              </w:rPr>
            </w:pPr>
            <w:r>
              <w:rPr>
                <w:rFonts w:ascii="Arial" w:cs="Arial" w:eastAsia="Arial" w:hAnsi="Arial"/>
                <w:sz w:val="16"/>
                <w:szCs w:val="16"/>
                <w:color w:val="auto"/>
              </w:rPr>
              <w:t>1.3%</w:t>
            </w:r>
          </w:p>
        </w:tc>
        <w:tc>
          <w:tcPr>
            <w:tcW w:w="1160" w:type="dxa"/>
            <w:vAlign w:val="bottom"/>
            <w:tcBorders>
              <w:bottom w:val="single" w:sz="8" w:color="auto"/>
            </w:tcBorders>
            <w:shd w:val="clear" w:color="auto" w:fill="CCEEF7"/>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7"/>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7"/>
          </w:tcPr>
          <w:p>
            <w:pPr>
              <w:jc w:val="right"/>
              <w:ind w:right="43"/>
              <w:spacing w:after="0"/>
              <w:rPr>
                <w:sz w:val="20"/>
                <w:szCs w:val="20"/>
                <w:color w:val="auto"/>
              </w:rPr>
            </w:pPr>
            <w:r>
              <w:rPr>
                <w:rFonts w:ascii="Arial" w:cs="Arial" w:eastAsia="Arial" w:hAnsi="Arial"/>
                <w:sz w:val="16"/>
                <w:szCs w:val="16"/>
                <w:color w:val="auto"/>
              </w:rPr>
              <w:t>*</w:t>
            </w:r>
          </w:p>
        </w:tc>
      </w:tr>
      <w:tr>
        <w:trPr>
          <w:trHeight w:val="162"/>
        </w:trPr>
        <w:tc>
          <w:tcPr>
            <w:tcW w:w="6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71"/>
        </w:trPr>
        <w:tc>
          <w:tcPr>
            <w:tcW w:w="6200" w:type="dxa"/>
            <w:vAlign w:val="bottom"/>
          </w:tcPr>
          <w:p>
            <w:pPr>
              <w:spacing w:after="0"/>
              <w:rPr>
                <w:sz w:val="20"/>
                <w:szCs w:val="20"/>
                <w:color w:val="auto"/>
              </w:rPr>
            </w:pPr>
            <w:r>
              <w:rPr>
                <w:rFonts w:ascii="Arial" w:cs="Arial" w:eastAsia="Arial" w:hAnsi="Arial"/>
                <w:sz w:val="16"/>
                <w:szCs w:val="16"/>
                <w:color w:val="auto"/>
              </w:rPr>
              <w:t>28</w:t>
            </w: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Tradeweb</w:t>
            </w:r>
          </w:p>
        </w:tc>
      </w:tr>
    </w:tbl>
    <w:p>
      <w:pPr>
        <w:sectPr>
          <w:pgSz w:w="11900" w:h="16838" w:orient="portrait"/>
          <w:cols w:equalWidth="0" w:num="1">
            <w:col w:w="11020"/>
          </w:cols>
          <w:pgMar w:left="440" w:top="1327" w:right="439" w:bottom="1440" w:gutter="0" w:footer="0" w:header="0"/>
        </w:sectPr>
      </w:pPr>
    </w:p>
    <w:bookmarkStart w:id="31" w:name="page32"/>
    <w:bookmarkEnd w:id="31"/>
    <w:p>
      <w:pPr>
        <w:ind w:left="424" w:hanging="424"/>
        <w:spacing w:after="0"/>
        <w:tabs>
          <w:tab w:leader="none" w:pos="424" w:val="left"/>
        </w:tabs>
        <w:numPr>
          <w:ilvl w:val="0"/>
          <w:numId w:val="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4451350</wp:posOffset>
            </wp:positionH>
            <wp:positionV relativeFrom="page">
              <wp:posOffset>182880</wp:posOffset>
            </wp:positionV>
            <wp:extent cx="2820035"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2820035" cy="145415"/>
                    </a:xfrm>
                    <a:prstGeom prst="rect">
                      <a:avLst/>
                    </a:prstGeom>
                    <a:noFill/>
                  </pic:spPr>
                </pic:pic>
              </a:graphicData>
            </a:graphic>
          </wp:anchor>
        </w:drawing>
        <w:t>Represents less than 1.0% of outstanding shares or voting power, as applicable.</w:t>
      </w:r>
    </w:p>
    <w:p>
      <w:pPr>
        <w:spacing w:after="0" w:line="82" w:lineRule="exact"/>
        <w:rPr>
          <w:sz w:val="20"/>
          <w:szCs w:val="20"/>
          <w:color w:val="auto"/>
        </w:rPr>
      </w:pPr>
    </w:p>
    <w:p>
      <w:pPr>
        <w:ind w:left="424" w:right="40" w:hanging="424"/>
        <w:spacing w:after="0" w:line="243"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231" w:lineRule="exact"/>
        <w:rPr>
          <w:rFonts w:ascii="Arial" w:cs="Arial" w:eastAsia="Arial" w:hAnsi="Arial"/>
          <w:sz w:val="14"/>
          <w:szCs w:val="14"/>
          <w:color w:val="auto"/>
        </w:rPr>
      </w:pPr>
    </w:p>
    <w:p>
      <w:pPr>
        <w:ind w:left="424" w:right="120" w:hanging="424"/>
        <w:spacing w:after="0" w:line="244"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69" w:lineRule="exact"/>
        <w:rPr>
          <w:rFonts w:ascii="Arial" w:cs="Arial" w:eastAsia="Arial" w:hAnsi="Arial"/>
          <w:sz w:val="14"/>
          <w:szCs w:val="14"/>
          <w:color w:val="auto"/>
        </w:rPr>
      </w:pPr>
    </w:p>
    <w:p>
      <w:pPr>
        <w:ind w:left="424" w:right="140" w:hanging="424"/>
        <w:spacing w:after="0" w:line="245"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69" w:lineRule="exact"/>
        <w:rPr>
          <w:rFonts w:ascii="Arial" w:cs="Arial" w:eastAsia="Arial" w:hAnsi="Arial"/>
          <w:sz w:val="14"/>
          <w:szCs w:val="14"/>
          <w:color w:val="auto"/>
        </w:rPr>
      </w:pPr>
    </w:p>
    <w:p>
      <w:pPr>
        <w:ind w:left="424" w:right="20" w:hanging="424"/>
        <w:spacing w:after="0" w:line="243"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securities held directly by Refinitiv TW Holdings Ltd. and Refinitiv US PME LLC. Refinitiv US LLC is the controlling member of Refinitiv US PME LLC. LSEGA, Inc. is the sole member of Refinitiv US LLC. Refinitiv Parent Limited is the sole shareholder of LSEGA, Inc. IAG US LLC is a member of Refinitiv US PME LLC. Refinitiv International Holdings S.à.r.l. is the sole member of IAG US LLC. Refinitiv Netherlands Holdings BV is the sole shareholder of Refinitiv International Holdings S.à.r.l.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71" w:lineRule="exact"/>
        <w:rPr>
          <w:rFonts w:ascii="Arial" w:cs="Arial" w:eastAsia="Arial" w:hAnsi="Arial"/>
          <w:sz w:val="14"/>
          <w:szCs w:val="14"/>
          <w:color w:val="auto"/>
        </w:rPr>
      </w:pPr>
    </w:p>
    <w:p>
      <w:pPr>
        <w:ind w:left="424" w:right="220" w:hanging="424"/>
        <w:spacing w:after="0" w:line="249"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T. Rowe Price Associates, Inc. (“T. Rowe”) with the SEC on February 16, 2021, which reported ownership as of December 31, 2020. Of the 15,263,979 shares of our Class A common stock deemed beneficially owned, T. Rowe reported sole voting power as to 7,144,763 shares and sole dispositive power as to all shares beneficially owned. The address of T. Rowe is 100 E. Pratt Street, Baltimore, MD 21202.</w:t>
      </w:r>
    </w:p>
    <w:p>
      <w:pPr>
        <w:spacing w:after="0" w:line="65" w:lineRule="exact"/>
        <w:rPr>
          <w:rFonts w:ascii="Arial" w:cs="Arial" w:eastAsia="Arial" w:hAnsi="Arial"/>
          <w:sz w:val="14"/>
          <w:szCs w:val="14"/>
          <w:color w:val="auto"/>
        </w:rPr>
      </w:pPr>
    </w:p>
    <w:p>
      <w:pPr>
        <w:ind w:left="424" w:right="100" w:hanging="424"/>
        <w:spacing w:after="0" w:line="245"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1,842,765 shares of Class A common stock issuable upon exercise of options that have vested or will vest within 60 days after March 15, 2021, including 138,164 shares of Class A common stock issuable upon exercise of options through The Lee Olesky 2019 Family Trust. Mr. Olesky owns 20,000 shares of Class A common stock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69" w:lineRule="exact"/>
        <w:rPr>
          <w:rFonts w:ascii="Arial" w:cs="Arial" w:eastAsia="Arial" w:hAnsi="Arial"/>
          <w:sz w:val="14"/>
          <w:szCs w:val="14"/>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569,557 shares of Class A common stock issuable upon exercise of options that have vested or will vest within 60 days after March 15, 2021.</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201,232 shares of Class A common stock issuable upon exercise of options that have vested or will vest within 60 days after March 15, 2021.</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132,124 shares of Class A common stock issuable upon exercise of options that have vested or will vest within 60 days after March 15, 2021.</w:t>
      </w:r>
    </w:p>
    <w:p>
      <w:pPr>
        <w:spacing w:after="0" w:line="82" w:lineRule="exact"/>
        <w:rPr>
          <w:rFonts w:ascii="Arial" w:cs="Arial" w:eastAsia="Arial" w:hAnsi="Arial"/>
          <w:sz w:val="14"/>
          <w:szCs w:val="14"/>
          <w:color w:val="auto"/>
        </w:rPr>
      </w:pPr>
    </w:p>
    <w:p>
      <w:pPr>
        <w:ind w:left="424" w:right="40" w:hanging="424"/>
        <w:spacing w:after="0" w:line="258"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Roos is the Group Director, Capital Markets of LSEG, and is a member of LSEG’s Executive Committee. Mr. Roos disclaims beneficial ownership of any securities owned directly or indirectly by LSEG.</w:t>
      </w:r>
    </w:p>
    <w:p>
      <w:pPr>
        <w:spacing w:after="0" w:line="58" w:lineRule="exact"/>
        <w:rPr>
          <w:rFonts w:ascii="Arial" w:cs="Arial" w:eastAsia="Arial" w:hAnsi="Arial"/>
          <w:sz w:val="14"/>
          <w:szCs w:val="14"/>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39,275 shares of Class A common stock issuable upon exercise of options that have vested or will vest within 60 days after March 15, 2021.</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West is the Chief Financial Officer of Refinitiv. Mr. West disclaims beneficial ownership of any securities owned directly or indirectly by the Refinitiv entities.</w:t>
      </w:r>
    </w:p>
    <w:p>
      <w:pPr>
        <w:spacing w:after="0" w:line="82" w:lineRule="exact"/>
        <w:rPr>
          <w:rFonts w:ascii="Arial" w:cs="Arial" w:eastAsia="Arial" w:hAnsi="Arial"/>
          <w:sz w:val="14"/>
          <w:szCs w:val="14"/>
          <w:color w:val="auto"/>
        </w:rPr>
      </w:pPr>
    </w:p>
    <w:p>
      <w:pPr>
        <w:ind w:left="424" w:right="80" w:hanging="424"/>
        <w:spacing w:after="0" w:line="258"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3,044,592 shares of Class A common stock issuable upon exercise of options and restricted stock units, as applicable, that have vested or will vest within 60 days after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024"/>
          </w:cols>
          <w:pgMar w:left="436" w:top="1157" w:right="439" w:bottom="1440" w:gutter="0" w:footer="0" w:header="0"/>
        </w:sectPr>
      </w:pPr>
    </w:p>
    <w:bookmarkStart w:id="32" w:name="page33"/>
    <w:bookmarkEnd w:id="32"/>
    <w:p>
      <w:pPr>
        <w:ind w:right="1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92290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2922905" cy="257175"/>
                    </a:xfrm>
                    <a:prstGeom prst="rect">
                      <a:avLst/>
                    </a:prstGeom>
                    <a:noFill/>
                  </pic:spPr>
                </pic:pic>
              </a:graphicData>
            </a:graphic>
          </wp:anchor>
        </w:drawing>
        <w:t>Set forth below is certain information regarding each of our current executive officers, including age as of May 11, 2021, other than for Mr. Olesky and Mr. Hult, whose biographical information is presented under “Item 1 — Election of Directors.”</w:t>
      </w:r>
    </w:p>
    <w:p>
      <w:pPr>
        <w:spacing w:after="0" w:line="1" w:lineRule="exact"/>
        <w:rPr>
          <w:sz w:val="20"/>
          <w:szCs w:val="20"/>
          <w:color w:val="auto"/>
        </w:rPr>
      </w:pPr>
    </w:p>
    <w:p>
      <w:pPr>
        <w:ind w:right="60" w:firstLine="440"/>
        <w:spacing w:after="0" w:line="250" w:lineRule="auto"/>
        <w:rPr>
          <w:sz w:val="20"/>
          <w:szCs w:val="20"/>
          <w:color w:val="auto"/>
        </w:rPr>
      </w:pPr>
      <w:r>
        <w:rPr>
          <w:rFonts w:ascii="Arial" w:cs="Arial" w:eastAsia="Arial" w:hAnsi="Arial"/>
          <w:sz w:val="18"/>
          <w:szCs w:val="18"/>
          <w:b w:val="1"/>
          <w:bCs w:val="1"/>
          <w:i w:val="1"/>
          <w:iCs w:val="1"/>
          <w:color w:val="001F5B"/>
        </w:rPr>
        <w:t xml:space="preserve">Enrico Bruni, </w:t>
      </w:r>
      <w:r>
        <w:rPr>
          <w:rFonts w:ascii="Arial" w:cs="Arial" w:eastAsia="Arial" w:hAnsi="Arial"/>
          <w:sz w:val="18"/>
          <w:szCs w:val="18"/>
          <w:color w:val="000000"/>
        </w:rPr>
        <w:t>49, has served as Managing Director, Head of Europe and Asia Business of TWM LLC since February 2013 and has served in the</w:t>
      </w:r>
      <w:r>
        <w:rPr>
          <w:rFonts w:ascii="Arial" w:cs="Arial" w:eastAsia="Arial" w:hAnsi="Arial"/>
          <w:sz w:val="18"/>
          <w:szCs w:val="18"/>
          <w:b w:val="1"/>
          <w:bCs w:val="1"/>
          <w:i w:val="1"/>
          <w:iCs w:val="1"/>
          <w:color w:val="001F5B"/>
        </w:rPr>
        <w:t xml:space="preserve"> </w:t>
      </w:r>
      <w:r>
        <w:rPr>
          <w:rFonts w:ascii="Arial" w:cs="Arial" w:eastAsia="Arial" w:hAnsi="Arial"/>
          <w:sz w:val="18"/>
          <w:szCs w:val="18"/>
          <w:color w:val="000000"/>
        </w:rPr>
        <w:t>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2" w:lineRule="exact"/>
        <w:rPr>
          <w:sz w:val="20"/>
          <w:szCs w:val="20"/>
          <w:color w:val="auto"/>
        </w:rPr>
      </w:pPr>
    </w:p>
    <w:p>
      <w:pPr>
        <w:ind w:right="60" w:firstLine="440"/>
        <w:spacing w:after="0" w:line="265" w:lineRule="auto"/>
        <w:rPr>
          <w:sz w:val="20"/>
          <w:szCs w:val="20"/>
          <w:color w:val="auto"/>
        </w:rPr>
      </w:pPr>
      <w:r>
        <w:rPr>
          <w:rFonts w:ascii="Arial" w:cs="Arial" w:eastAsia="Arial" w:hAnsi="Arial"/>
          <w:sz w:val="17"/>
          <w:szCs w:val="17"/>
          <w:b w:val="1"/>
          <w:bCs w:val="1"/>
          <w:i w:val="1"/>
          <w:iCs w:val="1"/>
          <w:color w:val="001F5B"/>
        </w:rPr>
        <w:t xml:space="preserve">Douglas Friedman, </w:t>
      </w:r>
      <w:r>
        <w:rPr>
          <w:rFonts w:ascii="Arial" w:cs="Arial" w:eastAsia="Arial" w:hAnsi="Arial"/>
          <w:sz w:val="17"/>
          <w:szCs w:val="17"/>
          <w:color w:val="000000"/>
        </w:rPr>
        <w:t>50, has served as Tradeweb’s General Counsel and Secretary since its formation and as the General Counsel of TWM LLC</w:t>
      </w:r>
      <w:r>
        <w:rPr>
          <w:rFonts w:ascii="Arial" w:cs="Arial" w:eastAsia="Arial" w:hAnsi="Arial"/>
          <w:sz w:val="17"/>
          <w:szCs w:val="17"/>
          <w:b w:val="1"/>
          <w:bCs w:val="1"/>
          <w:i w:val="1"/>
          <w:iCs w:val="1"/>
          <w:color w:val="001F5B"/>
        </w:rPr>
        <w:t xml:space="preserve"> </w:t>
      </w:r>
      <w:r>
        <w:rPr>
          <w:rFonts w:ascii="Arial" w:cs="Arial" w:eastAsia="Arial" w:hAnsi="Arial"/>
          <w:sz w:val="17"/>
          <w:szCs w:val="17"/>
          <w:color w:val="000000"/>
        </w:rPr>
        <w:t xml:space="preserve">since November 2009, prior to which he served as the Assistant General Counsel of TWM LLC beginning in June 2005. Mr. Friedman is actively involved in regulatory discussions impacting global financial markets and is a member of the Federal Reserve Bank of New York’s </w:t>
      </w:r>
      <w:r>
        <w:rPr>
          <w:rFonts w:ascii="Arial" w:cs="Arial" w:eastAsia="Arial" w:hAnsi="Arial"/>
          <w:sz w:val="17"/>
          <w:szCs w:val="17"/>
          <w:i w:val="1"/>
          <w:iCs w:val="1"/>
          <w:color w:val="000000"/>
        </w:rPr>
        <w:t>Treasury Market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Practices Group </w:t>
      </w:r>
      <w:r>
        <w:rPr>
          <w:rFonts w:ascii="Arial" w:cs="Arial" w:eastAsia="Arial" w:hAnsi="Arial"/>
          <w:sz w:val="17"/>
          <w:szCs w:val="17"/>
          <w:color w:val="000000"/>
        </w:rPr>
        <w:t>and has participated in Commodity Futures Trading Commission (CTFC) and industry discussions on the Dodd-Frank Wall Street</w:t>
      </w:r>
      <w:r>
        <w:rPr>
          <w:rFonts w:ascii="Arial" w:cs="Arial" w:eastAsia="Arial" w:hAnsi="Arial"/>
          <w:sz w:val="17"/>
          <w:szCs w:val="17"/>
          <w:i w:val="1"/>
          <w:iCs w:val="1"/>
          <w:color w:val="000000"/>
        </w:rPr>
        <w:t xml:space="preserve"> </w:t>
      </w:r>
      <w:r>
        <w:rPr>
          <w:rFonts w:ascii="Arial" w:cs="Arial" w:eastAsia="Arial" w:hAnsi="Arial"/>
          <w:sz w:val="17"/>
          <w:szCs w:val="17"/>
          <w:color w:val="000000"/>
        </w:rPr>
        <w:t>Reform and Consumer Protection Act, as well as SEC panels on securities and derivatives reform.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 w:lineRule="exact"/>
        <w:rPr>
          <w:sz w:val="20"/>
          <w:szCs w:val="20"/>
          <w:color w:val="auto"/>
        </w:rPr>
      </w:pPr>
    </w:p>
    <w:p>
      <w:pPr>
        <w:ind w:right="20" w:firstLine="440"/>
        <w:spacing w:after="0" w:line="250" w:lineRule="auto"/>
        <w:rPr>
          <w:sz w:val="20"/>
          <w:szCs w:val="20"/>
          <w:color w:val="auto"/>
        </w:rPr>
      </w:pPr>
      <w:r>
        <w:rPr>
          <w:rFonts w:ascii="Arial" w:cs="Arial" w:eastAsia="Arial" w:hAnsi="Arial"/>
          <w:sz w:val="18"/>
          <w:szCs w:val="18"/>
          <w:b w:val="1"/>
          <w:bCs w:val="1"/>
          <w:i w:val="1"/>
          <w:iCs w:val="1"/>
          <w:color w:val="001F5B"/>
        </w:rPr>
        <w:t xml:space="preserve">Simon Maisey, </w:t>
      </w:r>
      <w:r>
        <w:rPr>
          <w:rFonts w:ascii="Arial" w:cs="Arial" w:eastAsia="Arial" w:hAnsi="Arial"/>
          <w:sz w:val="18"/>
          <w:szCs w:val="18"/>
          <w:color w:val="000000"/>
        </w:rPr>
        <w:t>49, has served as Managing Director, Global Head of Corporate Development of TWM LLC since May 2016 and has served in the</w:t>
      </w:r>
      <w:r>
        <w:rPr>
          <w:rFonts w:ascii="Arial" w:cs="Arial" w:eastAsia="Arial" w:hAnsi="Arial"/>
          <w:sz w:val="18"/>
          <w:szCs w:val="18"/>
          <w:b w:val="1"/>
          <w:bCs w:val="1"/>
          <w:i w:val="1"/>
          <w:iCs w:val="1"/>
          <w:color w:val="001F5B"/>
        </w:rPr>
        <w:t xml:space="preserve"> </w:t>
      </w:r>
      <w:r>
        <w:rPr>
          <w:rFonts w:ascii="Arial" w:cs="Arial" w:eastAsia="Arial" w:hAnsi="Arial"/>
          <w:sz w:val="18"/>
          <w:szCs w:val="18"/>
          <w:color w:val="000000"/>
        </w:rPr>
        <w:t>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2" w:lineRule="exact"/>
        <w:rPr>
          <w:sz w:val="20"/>
          <w:szCs w:val="20"/>
          <w:color w:val="auto"/>
        </w:rPr>
      </w:pPr>
    </w:p>
    <w:p>
      <w:pPr>
        <w:ind w:right="80" w:firstLine="440"/>
        <w:spacing w:after="0" w:line="250" w:lineRule="auto"/>
        <w:rPr>
          <w:sz w:val="20"/>
          <w:szCs w:val="20"/>
          <w:color w:val="auto"/>
        </w:rPr>
      </w:pPr>
      <w:r>
        <w:rPr>
          <w:rFonts w:ascii="Arial" w:cs="Arial" w:eastAsia="Arial" w:hAnsi="Arial"/>
          <w:sz w:val="18"/>
          <w:szCs w:val="18"/>
          <w:b w:val="1"/>
          <w:bCs w:val="1"/>
          <w:i w:val="1"/>
          <w:iCs w:val="1"/>
          <w:color w:val="001F5B"/>
        </w:rPr>
        <w:t xml:space="preserve">Justin Peterson, </w:t>
      </w:r>
      <w:r>
        <w:rPr>
          <w:rFonts w:ascii="Arial" w:cs="Arial" w:eastAsia="Arial" w:hAnsi="Arial"/>
          <w:sz w:val="18"/>
          <w:szCs w:val="18"/>
          <w:color w:val="000000"/>
        </w:rPr>
        <w:t>58, has served as Chief Technology Officer of Tradeweb since April 1, 2020, and has served on TWM LLC’s Global Operating</w:t>
      </w:r>
      <w:r>
        <w:rPr>
          <w:rFonts w:ascii="Arial" w:cs="Arial" w:eastAsia="Arial" w:hAnsi="Arial"/>
          <w:sz w:val="18"/>
          <w:szCs w:val="18"/>
          <w:b w:val="1"/>
          <w:bCs w:val="1"/>
          <w:i w:val="1"/>
          <w:iCs w:val="1"/>
          <w:color w:val="001F5B"/>
        </w:rPr>
        <w:t xml:space="preserve"> </w:t>
      </w:r>
      <w:r>
        <w:rPr>
          <w:rFonts w:ascii="Arial" w:cs="Arial" w:eastAsia="Arial" w:hAnsi="Arial"/>
          <w:sz w:val="18"/>
          <w:szCs w:val="18"/>
          <w:color w:val="000000"/>
        </w:rPr>
        <w:t>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2"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b w:val="1"/>
          <w:bCs w:val="1"/>
          <w:i w:val="1"/>
          <w:iCs w:val="1"/>
          <w:color w:val="001F5B"/>
        </w:rPr>
        <w:t xml:space="preserve">Robert Warshaw, </w:t>
      </w:r>
      <w:r>
        <w:rPr>
          <w:rFonts w:ascii="Arial" w:cs="Arial" w:eastAsia="Arial" w:hAnsi="Arial"/>
          <w:sz w:val="16"/>
          <w:szCs w:val="16"/>
          <w:color w:val="000000"/>
        </w:rPr>
        <w:t>67, has served as Tradeweb’s Chief Financial Officer since its formation and as the Chief Financial Officer of TWM LLC since</w:t>
      </w:r>
      <w:r>
        <w:rPr>
          <w:rFonts w:ascii="Arial" w:cs="Arial" w:eastAsia="Arial" w:hAnsi="Arial"/>
          <w:sz w:val="16"/>
          <w:szCs w:val="16"/>
          <w:b w:val="1"/>
          <w:bCs w:val="1"/>
          <w:i w:val="1"/>
          <w:iCs w:val="1"/>
          <w:color w:val="001F5B"/>
        </w:rPr>
        <w:t xml:space="preserve"> </w:t>
      </w:r>
      <w:r>
        <w:rPr>
          <w:rFonts w:ascii="Arial" w:cs="Arial" w:eastAsia="Arial" w:hAnsi="Arial"/>
          <w:sz w:val="16"/>
          <w:szCs w:val="16"/>
          <w:color w:val="000000"/>
        </w:rPr>
        <w:t>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4"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30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327" w:right="439" w:bottom="1440" w:gutter="0" w:footer="0" w:header="0"/>
        </w:sectPr>
      </w:pPr>
    </w:p>
    <w:bookmarkStart w:id="33" w:name="page34"/>
    <w:bookmarkEnd w:id="33"/>
    <w:p>
      <w:pPr>
        <w:ind w:right="60" w:firstLine="440"/>
        <w:spacing w:after="0" w:line="254" w:lineRule="auto"/>
        <w:rPr>
          <w:sz w:val="20"/>
          <w:szCs w:val="20"/>
          <w:color w:val="auto"/>
        </w:rPr>
      </w:pPr>
      <w:r>
        <w:rPr>
          <w:rFonts w:ascii="Arial" w:cs="Arial" w:eastAsia="Arial" w:hAnsi="Arial"/>
          <w:sz w:val="18"/>
          <w:szCs w:val="18"/>
          <w:b w:val="1"/>
          <w:bCs w:val="1"/>
          <w:i w:val="1"/>
          <w:iCs w:val="1"/>
          <w:color w:val="001F5B"/>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414780" cy="145415"/>
                    </a:xfrm>
                    <a:prstGeom prst="rect">
                      <a:avLst/>
                    </a:prstGeom>
                    <a:noFill/>
                  </pic:spPr>
                </pic:pic>
              </a:graphicData>
            </a:graphic>
          </wp:anchor>
        </w:drawing>
        <w:t xml:space="preserve">Scott Zucker, </w:t>
      </w:r>
      <w:r>
        <w:rPr>
          <w:rFonts w:ascii="Arial" w:cs="Arial" w:eastAsia="Arial" w:hAnsi="Arial"/>
          <w:sz w:val="18"/>
          <w:szCs w:val="18"/>
          <w:color w:val="000000"/>
        </w:rPr>
        <w:t>52, has served as Tradeweb’s Chief Risk and Administrative Officer since February 2020 and served as Chief Administrative</w:t>
      </w:r>
      <w:r>
        <w:rPr>
          <w:rFonts w:ascii="Arial" w:cs="Arial" w:eastAsia="Arial" w:hAnsi="Arial"/>
          <w:sz w:val="18"/>
          <w:szCs w:val="18"/>
          <w:b w:val="1"/>
          <w:bCs w:val="1"/>
          <w:i w:val="1"/>
          <w:iCs w:val="1"/>
          <w:color w:val="001F5B"/>
        </w:rPr>
        <w:t xml:space="preserve"> </w:t>
      </w:r>
      <w:r>
        <w:rPr>
          <w:rFonts w:ascii="Arial" w:cs="Arial" w:eastAsia="Arial" w:hAnsi="Arial"/>
          <w:sz w:val="18"/>
          <w:szCs w:val="18"/>
          <w:color w:val="000000"/>
        </w:rPr>
        <w:t>Officer since its formation and as the Chief Administrative Officer of TWM LLC since November 2009.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Mr. Zucker is a member of the Market Risk Advisory Committee of the U.S. Commodity Futures Trading Commission and serves on the board of directors of Habitat for Humanity NYC. He received a B.A. from Tufts University and a J.D. from Hofstra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31</w:t>
            </w:r>
          </w:p>
        </w:tc>
      </w:tr>
    </w:tbl>
    <w:p>
      <w:pPr>
        <w:sectPr>
          <w:pgSz w:w="11900" w:h="16838" w:orient="portrait"/>
          <w:cols w:equalWidth="0" w:num="1">
            <w:col w:w="11020"/>
          </w:cols>
          <w:pgMar w:left="440" w:top="1138" w:right="439" w:bottom="1440" w:gutter="0" w:footer="0" w:header="0"/>
        </w:sectPr>
      </w:pPr>
    </w:p>
    <w:bookmarkStart w:id="34" w:name="page35"/>
    <w:bookmarkEnd w:id="34"/>
    <w:p>
      <w:pPr>
        <w:ind w:left="4"/>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125980" cy="257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2125980" cy="257175"/>
                    </a:xfrm>
                    <a:prstGeom prst="rect">
                      <a:avLst/>
                    </a:prstGeom>
                    <a:noFill/>
                  </pic:spPr>
                </pic:pic>
              </a:graphicData>
            </a:graphic>
          </wp:anchor>
        </w:drawing>
        <w:t>Compensation Discussion &amp; Analysis Purpose</w:t>
      </w:r>
    </w:p>
    <w:p>
      <w:pPr>
        <w:spacing w:after="0" w:line="102"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This Compensation Discussion and Analysis (CD&amp;A) presents in detail our executive compensation philosophy and practices, describing each element of compensation and the decision-making process by our Compensation Committee that supports it. We encourage you to read this CD&amp;A in conjunction with the compensation tables that follow for additional context to the Compensation Committee’s decisions with respect to the 2020 compensation of our Named Executive Officers (“NEOs”), as listed below.</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w:t>
            </w: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Title</w:t>
            </w:r>
          </w:p>
        </w:tc>
      </w:tr>
      <w:tr>
        <w:trPr>
          <w:trHeight w:val="285"/>
        </w:trPr>
        <w:tc>
          <w:tcPr>
            <w:tcW w:w="562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5400" w:type="dxa"/>
            <w:vAlign w:val="bottom"/>
            <w:tcBorders>
              <w:bottom w:val="single" w:sz="8" w:color="CCEEF7"/>
            </w:tcBorders>
            <w:shd w:val="clear" w:color="auto" w:fill="CCEEF7"/>
          </w:tcPr>
          <w:p>
            <w:pPr>
              <w:ind w:left="120"/>
              <w:spacing w:after="0"/>
              <w:rPr>
                <w:sz w:val="20"/>
                <w:szCs w:val="20"/>
                <w:color w:val="auto"/>
              </w:rPr>
            </w:pPr>
            <w:r>
              <w:rPr>
                <w:rFonts w:ascii="Arial" w:cs="Arial" w:eastAsia="Arial" w:hAnsi="Arial"/>
                <w:sz w:val="16"/>
                <w:szCs w:val="16"/>
                <w:color w:val="auto"/>
              </w:rPr>
              <w:t>Chief Executive Officer</w:t>
            </w:r>
          </w:p>
        </w:tc>
      </w:tr>
      <w:tr>
        <w:trPr>
          <w:trHeight w:val="264"/>
        </w:trPr>
        <w:tc>
          <w:tcPr>
            <w:tcW w:w="562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540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60"/>
        </w:trPr>
        <w:tc>
          <w:tcPr>
            <w:tcW w:w="5620" w:type="dxa"/>
            <w:vAlign w:val="bottom"/>
          </w:tcPr>
          <w:p>
            <w:pPr>
              <w:spacing w:after="0"/>
              <w:rPr>
                <w:sz w:val="5"/>
                <w:szCs w:val="5"/>
                <w:color w:val="auto"/>
              </w:rPr>
            </w:pPr>
          </w:p>
        </w:tc>
        <w:tc>
          <w:tcPr>
            <w:tcW w:w="5400" w:type="dxa"/>
            <w:vAlign w:val="bottom"/>
          </w:tcPr>
          <w:p>
            <w:pPr>
              <w:spacing w:after="0"/>
              <w:rPr>
                <w:sz w:val="5"/>
                <w:szCs w:val="5"/>
                <w:color w:val="auto"/>
              </w:rPr>
            </w:pPr>
          </w:p>
        </w:tc>
      </w:tr>
      <w:tr>
        <w:trPr>
          <w:trHeight w:val="304"/>
        </w:trPr>
        <w:tc>
          <w:tcPr>
            <w:tcW w:w="562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5400" w:type="dxa"/>
            <w:vAlign w:val="bottom"/>
            <w:tcBorders>
              <w:bottom w:val="single" w:sz="8" w:color="CCEEF7"/>
            </w:tcBorders>
            <w:shd w:val="clear" w:color="auto" w:fill="CCEEF7"/>
          </w:tcPr>
          <w:p>
            <w:pPr>
              <w:ind w:left="120"/>
              <w:spacing w:after="0"/>
              <w:rPr>
                <w:sz w:val="20"/>
                <w:szCs w:val="20"/>
                <w:color w:val="auto"/>
              </w:rPr>
            </w:pPr>
            <w:r>
              <w:rPr>
                <w:rFonts w:ascii="Arial" w:cs="Arial" w:eastAsia="Arial" w:hAnsi="Arial"/>
                <w:sz w:val="16"/>
                <w:szCs w:val="16"/>
                <w:color w:val="auto"/>
              </w:rPr>
              <w:t>President</w:t>
            </w:r>
          </w:p>
        </w:tc>
      </w:tr>
      <w:tr>
        <w:trPr>
          <w:trHeight w:val="264"/>
        </w:trPr>
        <w:tc>
          <w:tcPr>
            <w:tcW w:w="562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5400" w:type="dxa"/>
            <w:vAlign w:val="bottom"/>
          </w:tcPr>
          <w:p>
            <w:pPr>
              <w:ind w:left="120"/>
              <w:spacing w:after="0"/>
              <w:rPr>
                <w:sz w:val="20"/>
                <w:szCs w:val="20"/>
                <w:color w:val="auto"/>
              </w:rPr>
            </w:pPr>
            <w:r>
              <w:rPr>
                <w:rFonts w:ascii="Arial" w:cs="Arial" w:eastAsia="Arial" w:hAnsi="Arial"/>
                <w:sz w:val="16"/>
                <w:szCs w:val="16"/>
                <w:color w:val="auto"/>
              </w:rPr>
              <w:t>Managing Director, Head of Europe and Asia Business</w:t>
            </w:r>
          </w:p>
        </w:tc>
      </w:tr>
      <w:tr>
        <w:trPr>
          <w:trHeight w:val="60"/>
        </w:trPr>
        <w:tc>
          <w:tcPr>
            <w:tcW w:w="5620" w:type="dxa"/>
            <w:vAlign w:val="bottom"/>
          </w:tcPr>
          <w:p>
            <w:pPr>
              <w:spacing w:after="0"/>
              <w:rPr>
                <w:sz w:val="5"/>
                <w:szCs w:val="5"/>
                <w:color w:val="auto"/>
              </w:rPr>
            </w:pPr>
          </w:p>
        </w:tc>
        <w:tc>
          <w:tcPr>
            <w:tcW w:w="5400" w:type="dxa"/>
            <w:vAlign w:val="bottom"/>
          </w:tcPr>
          <w:p>
            <w:pPr>
              <w:spacing w:after="0"/>
              <w:rPr>
                <w:sz w:val="5"/>
                <w:szCs w:val="5"/>
                <w:color w:val="auto"/>
              </w:rPr>
            </w:pPr>
          </w:p>
        </w:tc>
      </w:tr>
      <w:tr>
        <w:trPr>
          <w:trHeight w:val="264"/>
        </w:trPr>
        <w:tc>
          <w:tcPr>
            <w:tcW w:w="562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5400" w:type="dxa"/>
            <w:vAlign w:val="bottom"/>
            <w:tcBorders>
              <w:bottom w:val="single" w:sz="8" w:color="auto"/>
            </w:tcBorders>
            <w:shd w:val="clear" w:color="auto" w:fill="CCEEF7"/>
          </w:tcPr>
          <w:p>
            <w:pPr>
              <w:ind w:left="120"/>
              <w:spacing w:after="0" w:line="257" w:lineRule="exact"/>
              <w:rPr>
                <w:sz w:val="20"/>
                <w:szCs w:val="20"/>
                <w:color w:val="auto"/>
              </w:rPr>
            </w:pPr>
            <w:r>
              <w:rPr>
                <w:rFonts w:ascii="Arial" w:cs="Arial" w:eastAsia="Arial" w:hAnsi="Arial"/>
                <w:sz w:val="16"/>
                <w:szCs w:val="16"/>
                <w:color w:val="auto"/>
              </w:rPr>
              <w:t>Chief Technology Officer</w:t>
            </w:r>
            <w:r>
              <w:rPr>
                <w:rFonts w:ascii="Arial" w:cs="Arial" w:eastAsia="Arial" w:hAnsi="Arial"/>
                <w:sz w:val="27"/>
                <w:szCs w:val="27"/>
                <w:color w:val="auto"/>
                <w:vertAlign w:val="superscript"/>
              </w:rPr>
              <w:t>1</w:t>
            </w:r>
          </w:p>
        </w:tc>
      </w:tr>
    </w:tbl>
    <w:p>
      <w:pPr>
        <w:spacing w:after="0" w:line="248"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Justin Peterson was promoted to the position of Chief Technology Officer in April of 2020.</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5"/>
          <w:szCs w:val="25"/>
          <w:color w:val="00ADD8"/>
        </w:rPr>
        <w:t>Company Overview</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Summary of 2020 Performance</w:t>
      </w:r>
    </w:p>
    <w:p>
      <w:pPr>
        <w:spacing w:after="0" w:line="23" w:lineRule="exact"/>
        <w:rPr>
          <w:sz w:val="20"/>
          <w:szCs w:val="20"/>
          <w:color w:val="auto"/>
        </w:rPr>
      </w:pPr>
    </w:p>
    <w:p>
      <w:pPr>
        <w:ind w:left="4" w:right="180"/>
        <w:spacing w:after="0" w:line="281" w:lineRule="auto"/>
        <w:rPr>
          <w:sz w:val="20"/>
          <w:szCs w:val="20"/>
          <w:color w:val="auto"/>
        </w:rPr>
      </w:pPr>
      <w:r>
        <w:rPr>
          <w:rFonts w:ascii="Arial" w:cs="Arial" w:eastAsia="Arial" w:hAnsi="Arial"/>
          <w:sz w:val="16"/>
          <w:szCs w:val="16"/>
          <w:color w:val="auto"/>
        </w:rPr>
        <w:t>Tradeweb is a leader in building and operating electronic marketplaces for its network of clients located in 65+ countries globally. We have a powerful client network that had a daily trading average in 2020 of over $0.8 trillion across our global electronic marketplaces, which are deeply integrated in, and supported by, our proprietary technology. Since our inception, we have combined the creativity of our employees, power of our technology, and depth of our network to collaboratively innovate with our clients to simplify their workflows across the fixed income and equity markets.</w:t>
      </w:r>
    </w:p>
    <w:p>
      <w:pPr>
        <w:spacing w:after="0" w:line="2" w:lineRule="exact"/>
        <w:rPr>
          <w:sz w:val="20"/>
          <w:szCs w:val="20"/>
          <w:color w:val="auto"/>
        </w:rPr>
      </w:pPr>
    </w:p>
    <w:p>
      <w:pPr>
        <w:ind w:left="4" w:right="60" w:firstLine="440"/>
        <w:spacing w:after="0" w:line="281" w:lineRule="auto"/>
        <w:rPr>
          <w:sz w:val="20"/>
          <w:szCs w:val="20"/>
          <w:color w:val="auto"/>
        </w:rPr>
      </w:pPr>
      <w:r>
        <w:rPr>
          <w:rFonts w:ascii="Arial" w:cs="Arial" w:eastAsia="Arial" w:hAnsi="Arial"/>
          <w:sz w:val="16"/>
          <w:szCs w:val="16"/>
          <w:color w:val="auto"/>
        </w:rPr>
        <w:t>In 2020, the COVID-19 pandemic became a global emergency, requiring businesses to reassess their operations and take steps to ensure the safety of their employees and survival of their business. Despite the widespread economic uncertainty caused by COVID-19, Tradeweb, as a virtual marketplace company, was able to quickly and efficiently invoke its business continuity procedures to enable employees to work from home and customers to connect from their business continuity infrastructure to our marketplaces. As such, we have successfully avoided any layoffs, furloughs or salary reductions among our workforce due to COVID-19, while being able to maintain our business operations and keep our employees safe.</w:t>
      </w:r>
    </w:p>
    <w:p>
      <w:pPr>
        <w:spacing w:after="0" w:line="3" w:lineRule="exact"/>
        <w:rPr>
          <w:sz w:val="20"/>
          <w:szCs w:val="20"/>
          <w:color w:val="auto"/>
        </w:rPr>
      </w:pPr>
    </w:p>
    <w:p>
      <w:pPr>
        <w:ind w:left="4" w:right="220" w:firstLine="440"/>
        <w:spacing w:after="0" w:line="265" w:lineRule="auto"/>
        <w:rPr>
          <w:sz w:val="20"/>
          <w:szCs w:val="20"/>
          <w:color w:val="auto"/>
        </w:rPr>
      </w:pPr>
      <w:r>
        <w:rPr>
          <w:rFonts w:ascii="Arial" w:cs="Arial" w:eastAsia="Arial" w:hAnsi="Arial"/>
          <w:sz w:val="17"/>
          <w:szCs w:val="17"/>
          <w:color w:val="auto"/>
        </w:rPr>
        <w:t>The shockwaves created by the COVID-19 pandemic further illuminated the importance of Tradeweb as a critical marketplace. We helped our clients seamlessly shift their workflows remotely and trade more than a trillion dollars in volume on a number of days, a feat that would have been unthinkable only a few years ago. We believe the acceleration of digitization that we saw in 2020 is here to stay and we remain excited about the opportunity ahead of us to drive further innovation across our markets. We believe the defining trends underpinning our growth, such as technological advances, globalization of debt, growth of ETFs, focus on cost reduction, and data-driven trading, have a long runway. We remain focused on responding to these trends as we strive to be the primary electronic price discovery and trading platform where our clients can efficiently discover the best price across rates, credit, OTC equities and money markets.</w:t>
      </w:r>
    </w:p>
    <w:p>
      <w:pPr>
        <w:spacing w:after="0" w:line="1" w:lineRule="exact"/>
        <w:rPr>
          <w:sz w:val="20"/>
          <w:szCs w:val="20"/>
          <w:color w:val="auto"/>
        </w:rPr>
      </w:pPr>
    </w:p>
    <w:p>
      <w:pPr>
        <w:jc w:val="both"/>
        <w:ind w:left="4" w:right="100" w:firstLine="440"/>
        <w:spacing w:after="0" w:line="323" w:lineRule="auto"/>
        <w:rPr>
          <w:sz w:val="20"/>
          <w:szCs w:val="20"/>
          <w:color w:val="auto"/>
        </w:rPr>
      </w:pPr>
      <w:r>
        <w:rPr>
          <w:rFonts w:ascii="Arial" w:cs="Arial" w:eastAsia="Arial" w:hAnsi="Arial"/>
          <w:sz w:val="16"/>
          <w:szCs w:val="16"/>
          <w:color w:val="auto"/>
        </w:rPr>
        <w:t>Despite the unprecedented challenges brought on by the COVID-19 pandemic, our 2020 results demonstrate that our investments in our network, technology, and people continue to bring value to the Company’s stockholders. Highlights of our 2020 financial performance and other matters include:</w:t>
      </w:r>
    </w:p>
    <w:p>
      <w:pPr>
        <w:spacing w:after="0" w:line="44" w:lineRule="exact"/>
        <w:rPr>
          <w:sz w:val="20"/>
          <w:szCs w:val="20"/>
          <w:color w:val="auto"/>
        </w:rPr>
      </w:pPr>
    </w:p>
    <w:p>
      <w:pPr>
        <w:ind w:left="424" w:right="60" w:hanging="208"/>
        <w:spacing w:after="0" w:line="26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revenues of $233 million during Q4 were up 18.1% year over year on a reported basis and 15.9% on a constant currency basis. The revenue growth and the resulting scale translated into improved profitability year over year as our fourth quarter adjusted EBITDA margin* expanded by 231 basis points to 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803" w:right="439" w:bottom="1440" w:gutter="0" w:footer="0" w:header="0"/>
        </w:sectPr>
      </w:pPr>
    </w:p>
    <w:bookmarkStart w:id="35" w:name="page36"/>
    <w:bookmarkEnd w:id="35"/>
    <w:p>
      <w:pPr>
        <w:ind w:left="420" w:right="40" w:hanging="208"/>
        <w:spacing w:after="0" w:line="25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Record volumes across asset classes translated into 15.1% and 14.5% revenue growth on a reported and constant currency basis, respectively. As a result, we recorded our 21</w:t>
      </w:r>
      <w:r>
        <w:rPr>
          <w:rFonts w:ascii="Arial" w:cs="Arial" w:eastAsia="Arial" w:hAnsi="Arial"/>
          <w:sz w:val="15"/>
          <w:szCs w:val="15"/>
          <w:color w:val="auto"/>
        </w:rPr>
        <w:t>st</w:t>
      </w:r>
      <w:r>
        <w:rPr>
          <w:rFonts w:ascii="Arial" w:cs="Arial" w:eastAsia="Arial" w:hAnsi="Arial"/>
          <w:sz w:val="18"/>
          <w:szCs w:val="18"/>
          <w:color w:val="auto"/>
        </w:rPr>
        <w:t xml:space="preserve"> consecutive year of record revenues. The scale generated by our strong top-line results drove approximately 336 basis points of EBITDA margin expansion and 31% earnings growth. As our growth initiatives continued to scale, we maintained our tradition of consistent and focused organic investment.</w:t>
      </w:r>
    </w:p>
    <w:p>
      <w:pPr>
        <w:spacing w:after="0" w:line="2" w:lineRule="exact"/>
        <w:rPr>
          <w:rFonts w:ascii="Arial" w:cs="Arial" w:eastAsia="Arial" w:hAnsi="Arial"/>
          <w:sz w:val="18"/>
          <w:szCs w:val="18"/>
          <w:color w:val="auto"/>
        </w:rPr>
      </w:pPr>
    </w:p>
    <w:p>
      <w:pPr>
        <w:ind w:left="420" w:right="440" w:hanging="208"/>
        <w:spacing w:after="0" w:line="260"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closing price of a share of Company common stock at 2020 fiscal year end was $62.45 versus $46.35 for 2019 fiscal year end, reflecting management’s creation of long-term value for stockholders.</w:t>
      </w:r>
    </w:p>
    <w:p>
      <w:pPr>
        <w:spacing w:after="0" w:line="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*Adjusted EBITDA margin is a non-GAAP financial measure used by the Company to supplement information on our financial results. A reconciliation of this non-GAAP financial measure may be found in our Annual Report on Form 10-K for the year ended December 31, 2020, filed with the SEC on February 25, 2021, under the heading “Use of Non-GAAP Financial Measures” beginning on page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Compensation Program Highlights for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some of the highlights of our fiscal 2020 executive compensation program:</w:t>
      </w:r>
    </w:p>
    <w:p>
      <w:pPr>
        <w:spacing w:after="0" w:line="116" w:lineRule="exact"/>
        <w:rPr>
          <w:sz w:val="20"/>
          <w:szCs w:val="20"/>
          <w:color w:val="auto"/>
        </w:rPr>
      </w:pPr>
    </w:p>
    <w:p>
      <w:pPr>
        <w:ind w:left="420" w:hanging="208"/>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increase the base salaries for any NEOs in 2020.</w:t>
      </w:r>
    </w:p>
    <w:p>
      <w:pPr>
        <w:spacing w:after="0" w:line="23" w:lineRule="exact"/>
        <w:rPr>
          <w:rFonts w:ascii="Arial" w:cs="Arial" w:eastAsia="Arial" w:hAnsi="Arial"/>
          <w:sz w:val="18"/>
          <w:szCs w:val="18"/>
          <w:color w:val="auto"/>
        </w:rPr>
      </w:pPr>
    </w:p>
    <w:p>
      <w:pPr>
        <w:ind w:left="420" w:right="140" w:hanging="208"/>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Outperformance of annual revenue versus budget allowed for a larger cash bonus pool for annual bonuses to all employees, which was taken into account in awarding bonuses to the NEOs (other than the Chief Executive Officer and President).</w:t>
      </w:r>
    </w:p>
    <w:p>
      <w:pPr>
        <w:ind w:left="420" w:right="60" w:hanging="208"/>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Chief Executive Officer and President received their maximum annual bonus payouts at 200% of target based on the Company’s achievement of rigorous, specified financial goals for 2020 tied to EBITDA margin and revenue growth.</w:t>
      </w:r>
    </w:p>
    <w:p>
      <w:pPr>
        <w:ind w:left="420" w:right="720" w:hanging="208"/>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growth and revenue growth targets for 2020 performance were achieved with respect to outstanding pre-IPO option grants with performance-based vesting features.</w:t>
      </w:r>
    </w:p>
    <w:p>
      <w:pPr>
        <w:ind w:left="420" w:right="420" w:hanging="208"/>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February 2021, the Company confirmed the achievement of the maximum “performance modifier” (described further below) applicable to performance-based restricted stock units granted in 2020 based on Company performance during fiscal year 2020, which will result in the maximum payouts under those awards at the time of settlement.</w:t>
      </w:r>
    </w:p>
    <w:p>
      <w:pPr>
        <w:spacing w:after="0" w:line="1" w:lineRule="exact"/>
        <w:rPr>
          <w:rFonts w:ascii="Arial" w:cs="Arial" w:eastAsia="Arial" w:hAnsi="Arial"/>
          <w:sz w:val="18"/>
          <w:szCs w:val="18"/>
          <w:color w:val="auto"/>
        </w:rPr>
      </w:pPr>
    </w:p>
    <w:p>
      <w:pPr>
        <w:ind w:left="420" w:right="400" w:hanging="208"/>
        <w:spacing w:after="0" w:line="26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granted a combination of performance-based and service-based restricted stock units to our executives, with 50% of the total award being performance-based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“Say-on-Pay” Vote</w:t>
      </w:r>
    </w:p>
    <w:p>
      <w:pPr>
        <w:spacing w:after="0" w:line="2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Prior to 2020, Tradeweb was considered an “emerging growth company” and therefore not required to undertake a say-on-pay vote for executive compensation. This will be the first year Tradeweb conducts say-on-pay and say-on-frequency votes and the Company intends to take the results of these votes into consideration in its executive compensation decisions and shareholder engagement activities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33</w:t>
            </w:r>
          </w:p>
        </w:tc>
      </w:tr>
    </w:tbl>
    <w:p>
      <w:pPr>
        <w:sectPr>
          <w:pgSz w:w="11900" w:h="16838" w:orient="portrait"/>
          <w:cols w:equalWidth="0" w:num="1">
            <w:col w:w="11020"/>
          </w:cols>
          <w:pgMar w:left="440" w:top="1138" w:right="439" w:bottom="1440" w:gutter="0" w:footer="0" w:header="0"/>
        </w:sectPr>
      </w:pPr>
    </w:p>
    <w:bookmarkStart w:id="36" w:name="page37"/>
    <w:bookmarkEnd w:id="36"/>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6299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Determining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Executive Compensation Practices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5620" w:type="dxa"/>
            <w:vAlign w:val="bottom"/>
            <w:tcBorders>
              <w:bottom w:val="single" w:sz="8" w:color="00ADD8"/>
            </w:tcBorders>
            <w:shd w:val="clear" w:color="auto" w:fill="CCEEF7"/>
          </w:tcPr>
          <w:p>
            <w:pPr>
              <w:ind w:left="2180"/>
              <w:spacing w:after="0" w:line="184" w:lineRule="exact"/>
              <w:rPr>
                <w:sz w:val="20"/>
                <w:szCs w:val="20"/>
                <w:color w:val="auto"/>
              </w:rPr>
            </w:pPr>
            <w:r>
              <w:rPr>
                <w:rFonts w:ascii="Arial" w:cs="Arial" w:eastAsia="Arial" w:hAnsi="Arial"/>
                <w:sz w:val="16"/>
                <w:szCs w:val="16"/>
                <w:b w:val="1"/>
                <w:bCs w:val="1"/>
                <w:color w:val="auto"/>
              </w:rPr>
              <w:t xml:space="preserve">WHAT WE DO  </w:t>
            </w:r>
            <w:r>
              <w:rPr>
                <w:rFonts w:ascii="MS PGothic" w:cs="MS PGothic" w:eastAsia="MS PGothic" w:hAnsi="MS PGothic"/>
                <w:sz w:val="16"/>
                <w:szCs w:val="16"/>
                <w:color w:val="auto"/>
              </w:rPr>
              <w:t>✓</w:t>
            </w:r>
          </w:p>
        </w:tc>
        <w:tc>
          <w:tcPr>
            <w:tcW w:w="5400" w:type="dxa"/>
            <w:vAlign w:val="bottom"/>
            <w:tcBorders>
              <w:bottom w:val="single" w:sz="8" w:color="00ADD8"/>
            </w:tcBorders>
            <w:shd w:val="clear" w:color="auto" w:fill="CCEEF7"/>
          </w:tcPr>
          <w:p>
            <w:pPr>
              <w:ind w:left="1800"/>
              <w:spacing w:after="0" w:line="184" w:lineRule="exact"/>
              <w:rPr>
                <w:sz w:val="20"/>
                <w:szCs w:val="20"/>
                <w:color w:val="auto"/>
              </w:rPr>
            </w:pPr>
            <w:r>
              <w:rPr>
                <w:rFonts w:ascii="Arial" w:cs="Arial" w:eastAsia="Arial" w:hAnsi="Arial"/>
                <w:sz w:val="16"/>
                <w:szCs w:val="16"/>
                <w:b w:val="1"/>
                <w:bCs w:val="1"/>
                <w:color w:val="auto"/>
              </w:rPr>
              <w:t xml:space="preserve">WHAT WE DON’T DO  </w:t>
            </w:r>
            <w:r>
              <w:rPr>
                <w:rFonts w:ascii="MS PGothic" w:cs="MS PGothic" w:eastAsia="MS PGothic" w:hAnsi="MS PGothic"/>
                <w:sz w:val="16"/>
                <w:szCs w:val="16"/>
                <w:color w:val="auto"/>
              </w:rPr>
              <w:t>☒</w:t>
            </w:r>
          </w:p>
        </w:tc>
      </w:tr>
      <w:tr>
        <w:trPr>
          <w:trHeight w:val="204"/>
        </w:trPr>
        <w:tc>
          <w:tcPr>
            <w:tcW w:w="56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Pay for performance</w:t>
            </w:r>
            <w:r>
              <w:rPr>
                <w:rFonts w:ascii="Arial" w:cs="Arial" w:eastAsia="Arial" w:hAnsi="Arial"/>
                <w:sz w:val="16"/>
                <w:szCs w:val="16"/>
                <w:color w:val="auto"/>
              </w:rPr>
              <w:t>. Approximately 90% of our executive compensation</w:t>
            </w:r>
          </w:p>
        </w:tc>
        <w:tc>
          <w:tcPr>
            <w:tcW w:w="5400" w:type="dxa"/>
            <w:vAlign w:val="bottom"/>
            <w:tcBorders>
              <w:top w:val="single" w:sz="8" w:color="EDEDED"/>
            </w:tcBorders>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Hedging/pledging of Company stock. </w:t>
            </w:r>
            <w:r>
              <w:rPr>
                <w:rFonts w:ascii="Arial" w:cs="Arial" w:eastAsia="Arial" w:hAnsi="Arial"/>
                <w:sz w:val="16"/>
                <w:szCs w:val="16"/>
                <w:color w:val="auto"/>
              </w:rPr>
              <w:t>We prohibit our officers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4540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454025"/>
                    </a:xfrm>
                    <a:prstGeom prst="rect">
                      <a:avLst/>
                    </a:prstGeom>
                    <a:noFill/>
                  </pic:spPr>
                </pic:pic>
              </a:graphicData>
            </a:graphic>
          </wp:anchor>
        </w:drawing>
      </w:r>
    </w:p>
    <w:p>
      <w:pPr>
        <w:sectPr>
          <w:pgSz w:w="11900" w:h="16838" w:orient="portrait"/>
          <w:cols w:equalWidth="0" w:num="1">
            <w:col w:w="11020"/>
          </w:cols>
          <w:pgMar w:left="440" w:top="1154" w:right="439" w:bottom="1440" w:gutter="0" w:footer="0" w:header="0"/>
        </w:sectPr>
      </w:pPr>
    </w:p>
    <w:p>
      <w:pPr>
        <w:ind w:left="60"/>
        <w:spacing w:after="0" w:line="260" w:lineRule="auto"/>
        <w:rPr>
          <w:sz w:val="20"/>
          <w:szCs w:val="20"/>
          <w:color w:val="auto"/>
        </w:rPr>
      </w:pPr>
      <w:r>
        <w:rPr>
          <w:rFonts w:ascii="Arial" w:cs="Arial" w:eastAsia="Arial" w:hAnsi="Arial"/>
          <w:sz w:val="16"/>
          <w:szCs w:val="16"/>
          <w:color w:val="auto"/>
        </w:rPr>
        <w:t>is at-risk, variable compensation, and 68% of our executive compensation is tied directly to performance.</w:t>
      </w:r>
    </w:p>
    <w:p>
      <w:pPr>
        <w:spacing w:after="0" w:line="20" w:lineRule="exact"/>
        <w:rPr>
          <w:sz w:val="20"/>
          <w:szCs w:val="20"/>
          <w:color w:val="auto"/>
        </w:rPr>
      </w:pPr>
      <w:r>
        <w:rPr>
          <w:sz w:val="20"/>
          <w:szCs w:val="20"/>
          <w:color w:val="auto"/>
        </w:rPr>
        <w:br w:type="column"/>
      </w:r>
    </w:p>
    <w:p>
      <w:pPr>
        <w:ind w:right="440"/>
        <w:spacing w:after="0" w:line="260" w:lineRule="auto"/>
        <w:rPr>
          <w:sz w:val="20"/>
          <w:szCs w:val="20"/>
          <w:color w:val="auto"/>
        </w:rPr>
      </w:pPr>
      <w:r>
        <w:rPr>
          <w:rFonts w:ascii="Arial" w:cs="Arial" w:eastAsia="Arial" w:hAnsi="Arial"/>
          <w:sz w:val="16"/>
          <w:szCs w:val="16"/>
          <w:color w:val="auto"/>
        </w:rPr>
        <w:t>directors from hedging, margining, pledging, short-selling or publicly trading options in our stock.</w:t>
      </w:r>
    </w:p>
    <w:p>
      <w:pPr>
        <w:spacing w:after="0" w:line="146" w:lineRule="exact"/>
        <w:rPr>
          <w:sz w:val="20"/>
          <w:szCs w:val="20"/>
          <w:color w:val="auto"/>
        </w:rPr>
      </w:pPr>
    </w:p>
    <w:p>
      <w:pPr>
        <w:sectPr>
          <w:pgSz w:w="11900" w:h="16838" w:orient="portrait"/>
          <w:cols w:equalWidth="0" w:num="2">
            <w:col w:w="5520" w:space="220"/>
            <w:col w:w="5280"/>
          </w:cols>
          <w:pgMar w:left="440" w:top="1154" w:right="43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5620" w:type="dxa"/>
            <w:vAlign w:val="bottom"/>
            <w:tcBorders>
              <w:top w:val="single" w:sz="8" w:color="00ADD8"/>
            </w:tcBorders>
            <w:shd w:val="clear" w:color="auto" w:fill="EDEDED"/>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Encourage long-term outlook</w:t>
            </w:r>
            <w:r>
              <w:rPr>
                <w:rFonts w:ascii="Arial" w:cs="Arial" w:eastAsia="Arial" w:hAnsi="Arial"/>
                <w:sz w:val="16"/>
                <w:szCs w:val="16"/>
                <w:color w:val="auto"/>
              </w:rPr>
              <w:t>. Long-term equity awards have a three-</w:t>
            </w:r>
          </w:p>
        </w:tc>
        <w:tc>
          <w:tcPr>
            <w:tcW w:w="5400" w:type="dxa"/>
            <w:vAlign w:val="bottom"/>
            <w:tcBorders>
              <w:top w:val="single" w:sz="8" w:color="00ADD8"/>
            </w:tcBorders>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Excise tax gross-ups. </w:t>
            </w:r>
            <w:r>
              <w:rPr>
                <w:rFonts w:ascii="Arial" w:cs="Arial" w:eastAsia="Arial" w:hAnsi="Arial"/>
                <w:sz w:val="16"/>
                <w:szCs w:val="16"/>
                <w:color w:val="auto"/>
              </w:rPr>
              <w:t>We do not pay excise tax gross-ups on</w:t>
            </w:r>
          </w:p>
        </w:tc>
      </w:tr>
      <w:tr>
        <w:trPr>
          <w:trHeight w:val="235"/>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year vesting period.</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change-in-control payments.</w:t>
            </w:r>
          </w:p>
        </w:tc>
      </w:tr>
      <w:tr>
        <w:trPr>
          <w:trHeight w:val="122"/>
        </w:trPr>
        <w:tc>
          <w:tcPr>
            <w:tcW w:w="5620" w:type="dxa"/>
            <w:vAlign w:val="bottom"/>
            <w:tcBorders>
              <w:bottom w:val="single" w:sz="8" w:color="00ADD8"/>
            </w:tcBorders>
          </w:tcPr>
          <w:p>
            <w:pPr>
              <w:spacing w:after="0"/>
              <w:rPr>
                <w:sz w:val="10"/>
                <w:szCs w:val="10"/>
                <w:color w:val="auto"/>
              </w:rPr>
            </w:pPr>
          </w:p>
        </w:tc>
        <w:tc>
          <w:tcPr>
            <w:tcW w:w="5400" w:type="dxa"/>
            <w:vAlign w:val="bottom"/>
            <w:tcBorders>
              <w:bottom w:val="single" w:sz="8" w:color="00ADD8"/>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995160" cy="454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454025"/>
                    </a:xfrm>
                    <a:prstGeom prst="rect">
                      <a:avLst/>
                    </a:prstGeom>
                    <a:noFill/>
                  </pic:spPr>
                </pic:pic>
              </a:graphicData>
            </a:graphic>
          </wp:anchor>
        </w:drawing>
      </w:r>
    </w:p>
    <w:p>
      <w:pPr>
        <w:sectPr>
          <w:pgSz w:w="11900" w:h="16838" w:orient="portrait"/>
          <w:cols w:equalWidth="0" w:num="1">
            <w:col w:w="11020"/>
          </w:cols>
          <w:pgMar w:left="440" w:top="1154" w:right="439" w:bottom="1440" w:gutter="0" w:footer="0" w:header="0"/>
          <w:type w:val="continuous"/>
        </w:sectPr>
      </w:pPr>
    </w:p>
    <w:p>
      <w:pPr>
        <w:spacing w:after="0" w:line="36" w:lineRule="exact"/>
        <w:rPr>
          <w:sz w:val="20"/>
          <w:szCs w:val="20"/>
          <w:color w:val="auto"/>
        </w:rPr>
      </w:pPr>
    </w:p>
    <w:p>
      <w:pPr>
        <w:ind w:left="60" w:firstLine="7"/>
        <w:spacing w:after="0" w:line="275" w:lineRule="auto"/>
        <w:tabs>
          <w:tab w:leader="none" w:pos="240" w:val="left"/>
        </w:tabs>
        <w:numPr>
          <w:ilvl w:val="0"/>
          <w:numId w:val="24"/>
        </w:numPr>
        <w:rPr>
          <w:rFonts w:ascii="MS PGothic" w:cs="MS PGothic" w:eastAsia="MS PGothic" w:hAnsi="MS PGothic"/>
          <w:sz w:val="16"/>
          <w:szCs w:val="16"/>
          <w:color w:val="auto"/>
        </w:rPr>
      </w:pPr>
      <w:r>
        <w:rPr>
          <w:rFonts w:ascii="Arial" w:cs="Arial" w:eastAsia="Arial" w:hAnsi="Arial"/>
          <w:sz w:val="16"/>
          <w:szCs w:val="16"/>
          <w:b w:val="1"/>
          <w:bCs w:val="1"/>
          <w:color w:val="auto"/>
        </w:rPr>
        <w:t>Limited Employment Agreements</w:t>
      </w:r>
      <w:r>
        <w:rPr>
          <w:rFonts w:ascii="Arial" w:cs="Arial" w:eastAsia="Arial" w:hAnsi="Arial"/>
          <w:sz w:val="16"/>
          <w:szCs w:val="16"/>
          <w:color w:val="auto"/>
        </w:rPr>
        <w:t>. We maintain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with only a limited number of executives, including the Chief Executive Officer and President.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7" w:right="180" w:hanging="7"/>
        <w:spacing w:after="0" w:line="275" w:lineRule="auto"/>
        <w:tabs>
          <w:tab w:leader="none" w:pos="200"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color w:val="auto"/>
        </w:rPr>
        <w:t>Repricing or exchange of underwater options</w:t>
      </w:r>
      <w:r>
        <w:rPr>
          <w:rFonts w:ascii="Arial" w:cs="Arial" w:eastAsia="Arial" w:hAnsi="Arial"/>
          <w:sz w:val="16"/>
          <w:szCs w:val="16"/>
          <w:color w:val="auto"/>
        </w:rPr>
        <w: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omnibus equity plan, we specifically prohibit share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-389255</wp:posOffset>
            </wp:positionV>
            <wp:extent cx="6995160" cy="1062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473"/>
            <w:col w:w="5287"/>
          </w:cols>
          <w:pgMar w:left="440" w:top="1154" w:right="439" w:bottom="1440" w:gutter="0" w:footer="0" w:header="0"/>
          <w:type w:val="continuous"/>
        </w:sectPr>
      </w:pPr>
    </w:p>
    <w:p>
      <w:pPr>
        <w:spacing w:after="0" w:line="5" w:lineRule="exact"/>
        <w:rPr>
          <w:sz w:val="20"/>
          <w:szCs w:val="20"/>
          <w:color w:val="auto"/>
        </w:rPr>
      </w:pPr>
    </w:p>
    <w:p>
      <w:pPr>
        <w:ind w:left="60" w:firstLine="7"/>
        <w:spacing w:after="0" w:line="265" w:lineRule="auto"/>
        <w:tabs>
          <w:tab w:leader="none" w:pos="240" w:val="left"/>
        </w:tabs>
        <w:numPr>
          <w:ilvl w:val="0"/>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We maintain a robust clawback policy that allows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recoup incentive compensation earned by executive officers or other employees in the event of a material restatement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6995160" cy="342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 w:right="20" w:hanging="7"/>
        <w:spacing w:after="0" w:line="275" w:lineRule="auto"/>
        <w:tabs>
          <w:tab w:leader="none" w:pos="200" w:val="left"/>
        </w:tabs>
        <w:numPr>
          <w:ilvl w:val="0"/>
          <w:numId w:val="27"/>
        </w:numPr>
        <w:rPr>
          <w:rFonts w:ascii="MS PGothic" w:cs="MS PGothic" w:eastAsia="MS PGothic" w:hAnsi="MS PGothic"/>
          <w:sz w:val="16"/>
          <w:szCs w:val="16"/>
          <w:color w:val="auto"/>
        </w:rPr>
      </w:pPr>
      <w:r>
        <w:rPr>
          <w:rFonts w:ascii="Arial" w:cs="Arial" w:eastAsia="Arial" w:hAnsi="Arial"/>
          <w:sz w:val="16"/>
          <w:szCs w:val="16"/>
          <w:b w:val="1"/>
          <w:bCs w:val="1"/>
          <w:color w:val="auto"/>
        </w:rPr>
        <w:t>No dividends or dividend equivalents on unearned equity awards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 rights accrued on equity awards are not paid until the underlying award itself vests and becomes payable.</w:t>
      </w:r>
    </w:p>
    <w:p>
      <w:pPr>
        <w:spacing w:after="0" w:line="380" w:lineRule="exact"/>
        <w:rPr>
          <w:sz w:val="20"/>
          <w:szCs w:val="20"/>
          <w:color w:val="auto"/>
        </w:rPr>
      </w:pPr>
    </w:p>
    <w:p>
      <w:pPr>
        <w:sectPr>
          <w:pgSz w:w="11900" w:h="16838" w:orient="portrait"/>
          <w:cols w:equalWidth="0" w:num="2">
            <w:col w:w="5460" w:space="273"/>
            <w:col w:w="5287"/>
          </w:cols>
          <w:pgMar w:left="440" w:top="1154" w:right="439" w:bottom="1440" w:gutter="0" w:footer="0" w:header="0"/>
          <w:type w:val="continuous"/>
        </w:sectPr>
      </w:pPr>
    </w:p>
    <w:p>
      <w:pPr>
        <w:spacing w:after="0" w:line="13" w:lineRule="exact"/>
        <w:rPr>
          <w:sz w:val="20"/>
          <w:szCs w:val="20"/>
          <w:color w:val="auto"/>
        </w:rPr>
      </w:pPr>
    </w:p>
    <w:p>
      <w:pPr>
        <w:jc w:val="both"/>
        <w:ind w:left="60" w:right="5940" w:firstLine="7"/>
        <w:spacing w:after="0" w:line="304" w:lineRule="auto"/>
        <w:tabs>
          <w:tab w:leader="none" w:pos="240" w:val="left"/>
        </w:tabs>
        <w:numPr>
          <w:ilvl w:val="0"/>
          <w:numId w:val="2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Rigorous Performance Goals. </w:t>
      </w:r>
      <w:r>
        <w:rPr>
          <w:rFonts w:ascii="Arial" w:cs="Arial" w:eastAsia="Arial" w:hAnsi="Arial"/>
          <w:sz w:val="16"/>
          <w:szCs w:val="16"/>
          <w:color w:val="auto"/>
        </w:rPr>
        <w:t>The Company establishes rigorous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related to its incentive-based compensation plans.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Executive Compensation Philosophy and Objectives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executive compensation program is designed to attract and retain the leadership needed for the success of our business. We believe that investing in our talent through a market-based and flexible total compensation program has been critical to the success of Tradeweb, enabling us to promote both short- and long-term profitable growth of the Company and achieve our ultimate goal of bringing value to our customers and stockholders. Our compensation philosophy emphasizes creating an “ownership mentality” to align our executives’ interests with those of our shareholders. To this end, our total compensation program is guided by the following principles: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Borders>
              <w:top w:val="single" w:sz="8" w:color="00ADD8"/>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Maintain a</w:t>
            </w:r>
          </w:p>
        </w:tc>
        <w:tc>
          <w:tcPr>
            <w:tcW w:w="9040" w:type="dxa"/>
            <w:vAlign w:val="bottom"/>
            <w:tcBorders>
              <w:top w:val="single" w:sz="8" w:color="00ADD8"/>
            </w:tcBorders>
            <w:shd w:val="clear" w:color="auto" w:fill="EDEDED"/>
          </w:tcPr>
          <w:p>
            <w:pPr>
              <w:ind w:left="120"/>
              <w:spacing w:after="0"/>
              <w:rPr>
                <w:sz w:val="20"/>
                <w:szCs w:val="20"/>
                <w:color w:val="auto"/>
              </w:rPr>
            </w:pPr>
            <w:r>
              <w:rPr>
                <w:rFonts w:ascii="Arial" w:cs="Arial" w:eastAsia="Arial" w:hAnsi="Arial"/>
                <w:sz w:val="16"/>
                <w:szCs w:val="16"/>
                <w:color w:val="auto"/>
              </w:rPr>
              <w:t>Annual pay opportunities emphasize variable performance-based compensation, with metrics aligned to the Company’s</w:t>
            </w:r>
          </w:p>
        </w:tc>
      </w:tr>
      <w:tr>
        <w:trPr>
          <w:trHeight w:val="189"/>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pay-for-performance</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financial results and business strategy, ensuring a high degree of performance orientation in our executive compensation</w:t>
            </w:r>
          </w:p>
        </w:tc>
      </w:tr>
      <w:tr>
        <w:trPr>
          <w:trHeight w:val="215"/>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culture</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program.</w:t>
            </w:r>
          </w:p>
        </w:tc>
      </w:tr>
      <w:tr>
        <w:trPr>
          <w:trHeight w:val="60"/>
        </w:trPr>
        <w:tc>
          <w:tcPr>
            <w:tcW w:w="1980" w:type="dxa"/>
            <w:vAlign w:val="bottom"/>
            <w:shd w:val="clear" w:color="auto" w:fill="EDEDED"/>
          </w:tcPr>
          <w:p>
            <w:pPr>
              <w:spacing w:after="0"/>
              <w:rPr>
                <w:sz w:val="5"/>
                <w:szCs w:val="5"/>
                <w:color w:val="auto"/>
              </w:rPr>
            </w:pPr>
          </w:p>
        </w:tc>
        <w:tc>
          <w:tcPr>
            <w:tcW w:w="9040" w:type="dxa"/>
            <w:vAlign w:val="bottom"/>
            <w:shd w:val="clear" w:color="auto" w:fill="EDEDED"/>
          </w:tcPr>
          <w:p>
            <w:pPr>
              <w:spacing w:after="0"/>
              <w:rPr>
                <w:sz w:val="5"/>
                <w:szCs w:val="5"/>
                <w:color w:val="auto"/>
              </w:rPr>
            </w:pPr>
          </w:p>
        </w:tc>
      </w:tr>
      <w:tr>
        <w:trPr>
          <w:trHeight w:val="121"/>
        </w:trPr>
        <w:tc>
          <w:tcPr>
            <w:tcW w:w="1980" w:type="dxa"/>
            <w:vAlign w:val="bottom"/>
            <w:tcBorders>
              <w:bottom w:val="single" w:sz="8" w:color="00ADD8"/>
            </w:tcBorders>
          </w:tcPr>
          <w:p>
            <w:pPr>
              <w:spacing w:after="0"/>
              <w:rPr>
                <w:sz w:val="10"/>
                <w:szCs w:val="10"/>
                <w:color w:val="auto"/>
              </w:rPr>
            </w:pPr>
          </w:p>
        </w:tc>
        <w:tc>
          <w:tcPr>
            <w:tcW w:w="9040" w:type="dxa"/>
            <w:vAlign w:val="bottom"/>
            <w:tcBorders>
              <w:bottom w:val="single" w:sz="8" w:color="00ADD8"/>
            </w:tcBorders>
          </w:tcPr>
          <w:p>
            <w:pPr>
              <w:spacing w:after="0"/>
              <w:rPr>
                <w:sz w:val="10"/>
                <w:szCs w:val="10"/>
                <w:color w:val="auto"/>
              </w:rPr>
            </w:pPr>
          </w:p>
        </w:tc>
      </w:tr>
      <w:tr>
        <w:trPr>
          <w:trHeight w:val="218"/>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Foster long-term</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Outstanding equity awards in the form of pre-IPO option grants and performance-based restricted stock unit grants as well</w:t>
            </w:r>
          </w:p>
        </w:tc>
      </w:tr>
      <w:tr>
        <w:trPr>
          <w:trHeight w:val="189"/>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alignment with</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as annual performance-based restricted stock unit grants and annual restricted stock unit grants directly tie pay outcomes to</w:t>
            </w:r>
          </w:p>
        </w:tc>
      </w:tr>
      <w:tr>
        <w:trPr>
          <w:trHeight w:val="255"/>
        </w:trPr>
        <w:tc>
          <w:tcPr>
            <w:tcW w:w="19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stockholders</w:t>
            </w:r>
          </w:p>
        </w:tc>
        <w:tc>
          <w:tcPr>
            <w:tcW w:w="904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value creation.</w:t>
            </w:r>
          </w:p>
        </w:tc>
      </w:tr>
      <w:tr>
        <w:trPr>
          <w:trHeight w:val="121"/>
        </w:trPr>
        <w:tc>
          <w:tcPr>
            <w:tcW w:w="1980" w:type="dxa"/>
            <w:vAlign w:val="bottom"/>
            <w:tcBorders>
              <w:bottom w:val="single" w:sz="8" w:color="00ADD8"/>
            </w:tcBorders>
          </w:tcPr>
          <w:p>
            <w:pPr>
              <w:spacing w:after="0"/>
              <w:rPr>
                <w:sz w:val="10"/>
                <w:szCs w:val="10"/>
                <w:color w:val="auto"/>
              </w:rPr>
            </w:pPr>
          </w:p>
        </w:tc>
        <w:tc>
          <w:tcPr>
            <w:tcW w:w="9040" w:type="dxa"/>
            <w:vAlign w:val="bottom"/>
            <w:tcBorders>
              <w:bottom w:val="single" w:sz="8" w:color="00ADD8"/>
            </w:tcBorders>
          </w:tcPr>
          <w:p>
            <w:pPr>
              <w:spacing w:after="0"/>
              <w:rPr>
                <w:sz w:val="10"/>
                <w:szCs w:val="10"/>
                <w:color w:val="auto"/>
              </w:rPr>
            </w:pPr>
          </w:p>
        </w:tc>
      </w:tr>
      <w:tr>
        <w:trPr>
          <w:trHeight w:val="218"/>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Attraction and</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Our executive compensation program provides overall target compensation that is intended to attract and retain high-caliber</w:t>
            </w:r>
          </w:p>
        </w:tc>
      </w:tr>
      <w:tr>
        <w:trPr>
          <w:trHeight w:val="255"/>
        </w:trPr>
        <w:tc>
          <w:tcPr>
            <w:tcW w:w="19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retention</w:t>
            </w:r>
          </w:p>
        </w:tc>
        <w:tc>
          <w:tcPr>
            <w:tcW w:w="904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talent.</w:t>
            </w:r>
          </w:p>
        </w:tc>
      </w:tr>
      <w:tr>
        <w:trPr>
          <w:trHeight w:val="122"/>
        </w:trPr>
        <w:tc>
          <w:tcPr>
            <w:tcW w:w="1980" w:type="dxa"/>
            <w:vAlign w:val="bottom"/>
            <w:tcBorders>
              <w:bottom w:val="single" w:sz="8" w:color="00ADD8"/>
            </w:tcBorders>
          </w:tcPr>
          <w:p>
            <w:pPr>
              <w:spacing w:after="0"/>
              <w:rPr>
                <w:sz w:val="10"/>
                <w:szCs w:val="10"/>
                <w:color w:val="auto"/>
              </w:rPr>
            </w:pPr>
          </w:p>
        </w:tc>
        <w:tc>
          <w:tcPr>
            <w:tcW w:w="9040" w:type="dxa"/>
            <w:vAlign w:val="bottom"/>
            <w:tcBorders>
              <w:bottom w:val="single" w:sz="8" w:color="00ADD8"/>
            </w:tcBorders>
          </w:tcPr>
          <w:p>
            <w:pPr>
              <w:spacing w:after="0"/>
              <w:rPr>
                <w:sz w:val="10"/>
                <w:szCs w:val="10"/>
                <w:color w:val="auto"/>
              </w:rPr>
            </w:pPr>
          </w:p>
        </w:tc>
      </w:tr>
      <w:tr>
        <w:trPr>
          <w:trHeight w:val="218"/>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Reflect internal</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Compensation decisions are made in the context of individual factors, fostering growth and motivation through a flexible</w:t>
            </w:r>
          </w:p>
        </w:tc>
      </w:tr>
      <w:tr>
        <w:trPr>
          <w:trHeight w:val="215"/>
        </w:trPr>
        <w:tc>
          <w:tcPr>
            <w:tcW w:w="1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equity considerations</w:t>
            </w:r>
          </w:p>
        </w:tc>
        <w:tc>
          <w:tcPr>
            <w:tcW w:w="90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compensation design.</w:t>
            </w:r>
          </w:p>
        </w:tc>
      </w:tr>
      <w:tr>
        <w:trPr>
          <w:trHeight w:val="74"/>
        </w:trPr>
        <w:tc>
          <w:tcPr>
            <w:tcW w:w="1980" w:type="dxa"/>
            <w:vAlign w:val="bottom"/>
            <w:shd w:val="clear" w:color="auto" w:fill="EDEDED"/>
          </w:tcPr>
          <w:p>
            <w:pPr>
              <w:spacing w:after="0"/>
              <w:rPr>
                <w:sz w:val="6"/>
                <w:szCs w:val="6"/>
                <w:color w:val="auto"/>
              </w:rPr>
            </w:pPr>
          </w:p>
        </w:tc>
        <w:tc>
          <w:tcPr>
            <w:tcW w:w="9040" w:type="dxa"/>
            <w:vAlign w:val="bottom"/>
            <w:shd w:val="clear" w:color="auto" w:fill="EDEDED"/>
          </w:tcPr>
          <w:p>
            <w:pPr>
              <w:spacing w:after="0"/>
              <w:rPr>
                <w:sz w:val="6"/>
                <w:szCs w:val="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Compensation Determination Process</w:t>
      </w:r>
    </w:p>
    <w:p>
      <w:pPr>
        <w:spacing w:after="0" w:line="23" w:lineRule="exact"/>
        <w:rPr>
          <w:sz w:val="20"/>
          <w:szCs w:val="20"/>
          <w:color w:val="auto"/>
        </w:rPr>
      </w:pPr>
    </w:p>
    <w:p>
      <w:pPr>
        <w:jc w:val="both"/>
        <w:ind w:right="760"/>
        <w:spacing w:after="0" w:line="277" w:lineRule="auto"/>
        <w:rPr>
          <w:sz w:val="20"/>
          <w:szCs w:val="20"/>
          <w:color w:val="auto"/>
        </w:rPr>
      </w:pPr>
      <w:r>
        <w:rPr>
          <w:rFonts w:ascii="Arial" w:cs="Arial" w:eastAsia="Arial" w:hAnsi="Arial"/>
          <w:sz w:val="17"/>
          <w:szCs w:val="17"/>
          <w:i w:val="1"/>
          <w:iCs w:val="1"/>
          <w:color w:val="auto"/>
        </w:rPr>
        <w:t xml:space="preserve">Role of the Compensation Committee. </w:t>
      </w:r>
      <w:r>
        <w:rPr>
          <w:rFonts w:ascii="Arial" w:cs="Arial" w:eastAsia="Arial" w:hAnsi="Arial"/>
          <w:sz w:val="17"/>
          <w:szCs w:val="17"/>
          <w:color w:val="auto"/>
        </w:rPr>
        <w:t>The Compensation Committee of our Board is responsible for establishing and overseeing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arrangements for our executive officers, including our NEOs, as described above in the section titled “Corporate Governance — Compensation Committee.” The formal written Compensation Committee charter is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995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54" w:right="439" w:bottom="1440" w:gutter="0" w:footer="0" w:header="0"/>
          <w:type w:val="continuous"/>
        </w:sectPr>
      </w:pPr>
    </w:p>
    <w:bookmarkStart w:id="37" w:name="page38"/>
    <w:bookmarkEnd w:id="37"/>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The Compensation Committee meets annually, along with, at the request of the Compensation Committee, the Chief Executive Officer and General Counsel. As part of the annual review process, the Compensation Committee will specifically:</w:t>
      </w:r>
    </w:p>
    <w:p>
      <w:pPr>
        <w:spacing w:after="0" w:line="76" w:lineRule="exact"/>
        <w:rPr>
          <w:sz w:val="20"/>
          <w:szCs w:val="20"/>
          <w:color w:val="auto"/>
        </w:rPr>
      </w:pPr>
    </w:p>
    <w:p>
      <w:pPr>
        <w:ind w:left="420" w:right="380" w:hanging="208"/>
        <w:spacing w:after="0" w:line="258"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Confirm achievement of performance goals in respect of the annual bonus for the Chief Executive Officer and President for the prior calendar year, and set performance goals for the upcoming calendar year.</w:t>
      </w:r>
    </w:p>
    <w:p>
      <w:pPr>
        <w:spacing w:after="0" w:line="1" w:lineRule="exact"/>
        <w:rPr>
          <w:rFonts w:ascii="Arial" w:cs="Arial" w:eastAsia="Arial" w:hAnsi="Arial"/>
          <w:sz w:val="18"/>
          <w:szCs w:val="18"/>
          <w:color w:val="auto"/>
        </w:rPr>
      </w:pPr>
    </w:p>
    <w:p>
      <w:pPr>
        <w:ind w:left="420" w:right="220" w:hanging="208"/>
        <w:spacing w:after="0" w:line="250"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 the methodology for determining the Company’s annual cash incentive program payout pool (for NEOs other than the Chief Executive Officer and President) for the upcoming calendar year.</w:t>
      </w:r>
    </w:p>
    <w:p>
      <w:pPr>
        <w:ind w:left="420" w:hanging="208"/>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bonus allocations with respect to prior calendar year as recommended by the Chief Executive Officer.</w:t>
      </w:r>
    </w:p>
    <w:p>
      <w:pPr>
        <w:spacing w:after="0" w:line="9" w:lineRule="exact"/>
        <w:rPr>
          <w:rFonts w:ascii="Arial" w:cs="Arial" w:eastAsia="Arial" w:hAnsi="Arial"/>
          <w:sz w:val="18"/>
          <w:szCs w:val="18"/>
          <w:color w:val="auto"/>
        </w:rPr>
      </w:pPr>
    </w:p>
    <w:p>
      <w:pPr>
        <w:ind w:left="420" w:right="40" w:hanging="208"/>
        <w:spacing w:after="0" w:line="250"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Confirm achievement of performance goals in respect of equity awards, including the performance-based restricted stock units granted in the prior calendar year and option grants.</w:t>
      </w:r>
    </w:p>
    <w:p>
      <w:pPr>
        <w:ind w:left="420" w:hanging="208"/>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pool for annual equity grants for the upcoming calendar year.</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 equity grants from the pool to the Chief Executive Officer and President.</w:t>
      </w:r>
    </w:p>
    <w:p>
      <w:pPr>
        <w:spacing w:after="0" w:line="9" w:lineRule="exact"/>
        <w:rPr>
          <w:rFonts w:ascii="Arial" w:cs="Arial" w:eastAsia="Arial" w:hAnsi="Arial"/>
          <w:sz w:val="18"/>
          <w:szCs w:val="18"/>
          <w:color w:val="auto"/>
        </w:rPr>
      </w:pPr>
    </w:p>
    <w:p>
      <w:pPr>
        <w:ind w:left="420" w:hanging="208"/>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performance goals for performance-based restricted stock unit grants.</w:t>
      </w:r>
    </w:p>
    <w:p>
      <w:pPr>
        <w:spacing w:after="0" w:line="103"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color w:val="auto"/>
        </w:rPr>
        <w:t>The Compensation Committee makes the above determinations in consultation with the Chief Executive Officer, and has delegated certain other responsibilities to the Chief Executive Officer, as described further below.</w:t>
      </w:r>
    </w:p>
    <w:p>
      <w:pPr>
        <w:spacing w:after="0" w:line="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i w:val="1"/>
          <w:iCs w:val="1"/>
          <w:color w:val="auto"/>
        </w:rPr>
        <w:t xml:space="preserve">Role of our CEO. </w:t>
      </w:r>
      <w:r>
        <w:rPr>
          <w:rFonts w:ascii="Arial" w:cs="Arial" w:eastAsia="Arial" w:hAnsi="Arial"/>
          <w:sz w:val="16"/>
          <w:szCs w:val="16"/>
          <w:color w:val="auto"/>
        </w:rPr>
        <w:t>Our Chief Executive Officer informs our Compensation Committee on the individual performance and contributions of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NEOs and consults with the Compensation Committee for all compensation decisions concerning the NEOs (including himself and the President). Following such consultation, the Compensation Committee makes compensation determinations (including base salary, bonus, and equity grants) for the Chief Executive Officer and President, as outlined above. In addition, the Chief Executive Officer will review, with the Compensation Committee, base salary, bonus, and equity award opportunities for all other NEOs. Ultimately, the Compensation Committee retains full authority over the final compensation decisions for all NEOs; however, the Compensation Committee will generally rely on the recommendations of the Chief Executive Officer for all decisions concerning NEOs other than the Chief Executive Officer, and provides the Chief Executive Officer with discretion to make reasonable adjustments that he deems prudent (other than with respect to the Chief Executive Officer and President).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Principal Elements of Executive Compensation</w:t>
      </w:r>
    </w:p>
    <w:p>
      <w:pPr>
        <w:spacing w:after="0" w:line="23"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Our executive compensation program consists of a mix of fixed and variable pay elements, with the latter tied to both short- and long-term company success. Performance-based pay elements are linked to goals that we believe will deliver both year-over-year and long-term increases in stockholder value. The elements of total direct executive compensation for our NEOs include: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20" w:type="dxa"/>
            <w:vAlign w:val="bottom"/>
            <w:tcBorders>
              <w:bottom w:val="single" w:sz="8" w:color="00ADD8"/>
            </w:tcBorders>
            <w:shd w:val="clear" w:color="auto" w:fill="CCEEF7"/>
          </w:tcPr>
          <w:p>
            <w:pPr>
              <w:ind w:left="60"/>
              <w:spacing w:after="0"/>
              <w:rPr>
                <w:sz w:val="20"/>
                <w:szCs w:val="20"/>
                <w:color w:val="auto"/>
              </w:rPr>
            </w:pPr>
            <w:r>
              <w:rPr>
                <w:rFonts w:ascii="Arial" w:cs="Arial" w:eastAsia="Arial" w:hAnsi="Arial"/>
                <w:sz w:val="13"/>
                <w:szCs w:val="13"/>
                <w:b w:val="1"/>
                <w:bCs w:val="1"/>
                <w:color w:val="auto"/>
              </w:rPr>
              <w:t>Element</w:t>
            </w:r>
          </w:p>
        </w:tc>
        <w:tc>
          <w:tcPr>
            <w:tcW w:w="580" w:type="dxa"/>
            <w:vAlign w:val="bottom"/>
            <w:tcBorders>
              <w:bottom w:val="single" w:sz="8" w:color="00ADD8"/>
            </w:tcBorders>
            <w:shd w:val="clear" w:color="auto" w:fill="CCEEF7"/>
          </w:tcPr>
          <w:p>
            <w:pPr>
              <w:ind w:left="120"/>
              <w:spacing w:after="0"/>
              <w:rPr>
                <w:sz w:val="20"/>
                <w:szCs w:val="20"/>
                <w:color w:val="auto"/>
              </w:rPr>
            </w:pPr>
            <w:r>
              <w:rPr>
                <w:rFonts w:ascii="Arial" w:cs="Arial" w:eastAsia="Arial" w:hAnsi="Arial"/>
                <w:sz w:val="13"/>
                <w:szCs w:val="13"/>
                <w:b w:val="1"/>
                <w:bCs w:val="1"/>
                <w:color w:val="auto"/>
              </w:rPr>
              <w:t>Form</w:t>
            </w:r>
          </w:p>
        </w:tc>
        <w:tc>
          <w:tcPr>
            <w:tcW w:w="2740" w:type="dxa"/>
            <w:vAlign w:val="bottom"/>
            <w:tcBorders>
              <w:bottom w:val="single" w:sz="8" w:color="00ADD8"/>
            </w:tcBorders>
            <w:shd w:val="clear" w:color="auto" w:fill="CCEEF7"/>
          </w:tcPr>
          <w:p>
            <w:pPr>
              <w:ind w:left="100"/>
              <w:spacing w:after="0"/>
              <w:rPr>
                <w:sz w:val="20"/>
                <w:szCs w:val="20"/>
                <w:color w:val="auto"/>
              </w:rPr>
            </w:pPr>
            <w:r>
              <w:rPr>
                <w:rFonts w:ascii="Arial" w:cs="Arial" w:eastAsia="Arial" w:hAnsi="Arial"/>
                <w:sz w:val="13"/>
                <w:szCs w:val="13"/>
                <w:b w:val="1"/>
                <w:bCs w:val="1"/>
                <w:color w:val="auto"/>
              </w:rPr>
              <w:t>Pay Philosophy/Objectives</w:t>
            </w:r>
          </w:p>
        </w:tc>
        <w:tc>
          <w:tcPr>
            <w:tcW w:w="6380" w:type="dxa"/>
            <w:vAlign w:val="bottom"/>
            <w:tcBorders>
              <w:bottom w:val="single" w:sz="8" w:color="00ADD8"/>
            </w:tcBorders>
            <w:gridSpan w:val="2"/>
            <w:shd w:val="clear" w:color="auto" w:fill="CCEEF7"/>
          </w:tcPr>
          <w:p>
            <w:pPr>
              <w:ind w:left="640"/>
              <w:spacing w:after="0"/>
              <w:rPr>
                <w:sz w:val="20"/>
                <w:szCs w:val="20"/>
                <w:color w:val="auto"/>
              </w:rPr>
            </w:pPr>
            <w:r>
              <w:rPr>
                <w:rFonts w:ascii="Arial" w:cs="Arial" w:eastAsia="Arial" w:hAnsi="Arial"/>
                <w:sz w:val="13"/>
                <w:szCs w:val="13"/>
                <w:b w:val="1"/>
                <w:bCs w:val="1"/>
                <w:color w:val="auto"/>
              </w:rPr>
              <w:t>Key Features</w:t>
            </w:r>
          </w:p>
        </w:tc>
        <w:tc>
          <w:tcPr>
            <w:tcW w:w="0" w:type="dxa"/>
            <w:vAlign w:val="bottom"/>
          </w:tcPr>
          <w:p>
            <w:pPr>
              <w:spacing w:after="0"/>
              <w:rPr>
                <w:sz w:val="1"/>
                <w:szCs w:val="1"/>
                <w:color w:val="auto"/>
              </w:rPr>
            </w:pPr>
          </w:p>
        </w:tc>
      </w:tr>
      <w:tr>
        <w:trPr>
          <w:trHeight w:val="240"/>
        </w:trPr>
        <w:tc>
          <w:tcPr>
            <w:tcW w:w="1320" w:type="dxa"/>
            <w:vAlign w:val="bottom"/>
            <w:vMerge w:val="restart"/>
            <w:shd w:val="clear" w:color="auto" w:fill="EDEDED"/>
          </w:tcPr>
          <w:p>
            <w:pPr>
              <w:ind w:left="60"/>
              <w:spacing w:after="0"/>
              <w:rPr>
                <w:sz w:val="20"/>
                <w:szCs w:val="20"/>
                <w:color w:val="auto"/>
              </w:rPr>
            </w:pPr>
            <w:r>
              <w:rPr>
                <w:rFonts w:ascii="Arial" w:cs="Arial" w:eastAsia="Arial" w:hAnsi="Arial"/>
                <w:sz w:val="16"/>
                <w:szCs w:val="16"/>
                <w:b w:val="1"/>
                <w:bCs w:val="1"/>
                <w:i w:val="1"/>
                <w:iCs w:val="1"/>
                <w:color w:val="auto"/>
              </w:rPr>
              <w:t>Base Salary</w:t>
            </w:r>
          </w:p>
        </w:tc>
        <w:tc>
          <w:tcPr>
            <w:tcW w:w="58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Cash</w:t>
            </w:r>
          </w:p>
        </w:tc>
        <w:tc>
          <w:tcPr>
            <w:tcW w:w="274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Attract and retain top talent.</w:t>
            </w:r>
          </w:p>
        </w:tc>
        <w:tc>
          <w:tcPr>
            <w:tcW w:w="760" w:type="dxa"/>
            <w:vAlign w:val="bottom"/>
            <w:shd w:val="clear" w:color="auto" w:fill="EDEDED"/>
          </w:tcPr>
          <w:p>
            <w:pPr>
              <w:ind w:left="640"/>
              <w:spacing w:after="0"/>
              <w:rPr>
                <w:sz w:val="20"/>
                <w:szCs w:val="20"/>
                <w:color w:val="auto"/>
              </w:rPr>
            </w:pPr>
            <w:r>
              <w:rPr>
                <w:rFonts w:ascii="Arial" w:cs="Arial" w:eastAsia="Arial" w:hAnsi="Arial"/>
                <w:sz w:val="16"/>
                <w:szCs w:val="16"/>
                <w:color w:val="auto"/>
              </w:rPr>
              <w:t>•</w:t>
            </w:r>
          </w:p>
        </w:tc>
        <w:tc>
          <w:tcPr>
            <w:tcW w:w="5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Fixed cash amount.</w:t>
            </w:r>
          </w:p>
        </w:tc>
        <w:tc>
          <w:tcPr>
            <w:tcW w:w="0" w:type="dxa"/>
            <w:vAlign w:val="bottom"/>
          </w:tcPr>
          <w:p>
            <w:pPr>
              <w:spacing w:after="0"/>
              <w:rPr>
                <w:sz w:val="1"/>
                <w:szCs w:val="1"/>
                <w:color w:val="auto"/>
              </w:rPr>
            </w:pPr>
          </w:p>
        </w:tc>
      </w:tr>
      <w:tr>
        <w:trPr>
          <w:trHeight w:val="100"/>
        </w:trPr>
        <w:tc>
          <w:tcPr>
            <w:tcW w:w="1320" w:type="dxa"/>
            <w:vAlign w:val="bottom"/>
            <w:vMerge w:val="continue"/>
            <w:shd w:val="clear" w:color="auto" w:fill="EDEDED"/>
          </w:tcPr>
          <w:p>
            <w:pPr>
              <w:spacing w:after="0"/>
              <w:rPr>
                <w:sz w:val="8"/>
                <w:szCs w:val="8"/>
                <w:color w:val="auto"/>
              </w:rPr>
            </w:pPr>
          </w:p>
        </w:tc>
        <w:tc>
          <w:tcPr>
            <w:tcW w:w="580" w:type="dxa"/>
            <w:vAlign w:val="bottom"/>
            <w:vMerge w:val="continue"/>
            <w:shd w:val="clear" w:color="auto" w:fill="EDEDED"/>
          </w:tcPr>
          <w:p>
            <w:pPr>
              <w:spacing w:after="0"/>
              <w:rPr>
                <w:sz w:val="8"/>
                <w:szCs w:val="8"/>
                <w:color w:val="auto"/>
              </w:rPr>
            </w:pPr>
          </w:p>
        </w:tc>
        <w:tc>
          <w:tcPr>
            <w:tcW w:w="2740" w:type="dxa"/>
            <w:vAlign w:val="bottom"/>
            <w:vMerge w:val="continue"/>
            <w:shd w:val="clear" w:color="auto" w:fill="EDEDED"/>
          </w:tcPr>
          <w:p>
            <w:pPr>
              <w:spacing w:after="0"/>
              <w:rPr>
                <w:sz w:val="8"/>
                <w:szCs w:val="8"/>
                <w:color w:val="auto"/>
              </w:rPr>
            </w:pPr>
          </w:p>
        </w:tc>
        <w:tc>
          <w:tcPr>
            <w:tcW w:w="760" w:type="dxa"/>
            <w:vAlign w:val="bottom"/>
            <w:vMerge w:val="restart"/>
            <w:shd w:val="clear" w:color="auto" w:fill="EDEDED"/>
          </w:tcPr>
          <w:p>
            <w:pPr>
              <w:ind w:left="640"/>
              <w:spacing w:after="0"/>
              <w:rPr>
                <w:sz w:val="20"/>
                <w:szCs w:val="20"/>
                <w:color w:val="auto"/>
              </w:rPr>
            </w:pPr>
            <w:r>
              <w:rPr>
                <w:rFonts w:ascii="Arial" w:cs="Arial" w:eastAsia="Arial" w:hAnsi="Arial"/>
                <w:sz w:val="16"/>
                <w:szCs w:val="16"/>
                <w:color w:val="auto"/>
              </w:rPr>
              <w:t>•</w:t>
            </w:r>
          </w:p>
        </w:tc>
        <w:tc>
          <w:tcPr>
            <w:tcW w:w="56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No increases in 2020.</w:t>
            </w:r>
          </w:p>
        </w:tc>
        <w:tc>
          <w:tcPr>
            <w:tcW w:w="0" w:type="dxa"/>
            <w:vAlign w:val="bottom"/>
          </w:tcPr>
          <w:p>
            <w:pPr>
              <w:spacing w:after="0"/>
              <w:rPr>
                <w:sz w:val="1"/>
                <w:szCs w:val="1"/>
                <w:color w:val="auto"/>
              </w:rPr>
            </w:pPr>
          </w:p>
        </w:tc>
      </w:tr>
      <w:tr>
        <w:trPr>
          <w:trHeight w:val="95"/>
        </w:trPr>
        <w:tc>
          <w:tcPr>
            <w:tcW w:w="1320" w:type="dxa"/>
            <w:vAlign w:val="bottom"/>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2740" w:type="dxa"/>
            <w:vAlign w:val="bottom"/>
            <w:shd w:val="clear" w:color="auto" w:fill="EDEDED"/>
          </w:tcPr>
          <w:p>
            <w:pPr>
              <w:spacing w:after="0"/>
              <w:rPr>
                <w:sz w:val="8"/>
                <w:szCs w:val="8"/>
                <w:color w:val="auto"/>
              </w:rPr>
            </w:pPr>
          </w:p>
        </w:tc>
        <w:tc>
          <w:tcPr>
            <w:tcW w:w="760" w:type="dxa"/>
            <w:vAlign w:val="bottom"/>
            <w:vMerge w:val="continue"/>
            <w:shd w:val="clear" w:color="auto" w:fill="EDEDED"/>
          </w:tcPr>
          <w:p>
            <w:pPr>
              <w:spacing w:after="0"/>
              <w:rPr>
                <w:sz w:val="8"/>
                <w:szCs w:val="8"/>
                <w:color w:val="auto"/>
              </w:rPr>
            </w:pPr>
          </w:p>
        </w:tc>
        <w:tc>
          <w:tcPr>
            <w:tcW w:w="562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320" w:type="dxa"/>
            <w:vAlign w:val="bottom"/>
            <w:shd w:val="clear" w:color="auto" w:fill="EDEDED"/>
          </w:tcPr>
          <w:p>
            <w:pPr>
              <w:spacing w:after="0"/>
              <w:rPr>
                <w:sz w:val="6"/>
                <w:szCs w:val="6"/>
                <w:color w:val="auto"/>
              </w:rPr>
            </w:pPr>
          </w:p>
        </w:tc>
        <w:tc>
          <w:tcPr>
            <w:tcW w:w="580" w:type="dxa"/>
            <w:vAlign w:val="bottom"/>
            <w:shd w:val="clear" w:color="auto" w:fill="EDEDED"/>
          </w:tcPr>
          <w:p>
            <w:pPr>
              <w:spacing w:after="0"/>
              <w:rPr>
                <w:sz w:val="6"/>
                <w:szCs w:val="6"/>
                <w:color w:val="auto"/>
              </w:rPr>
            </w:pPr>
          </w:p>
        </w:tc>
        <w:tc>
          <w:tcPr>
            <w:tcW w:w="2740" w:type="dxa"/>
            <w:vAlign w:val="bottom"/>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56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320" w:type="dxa"/>
            <w:vAlign w:val="bottom"/>
            <w:tcBorders>
              <w:bottom w:val="single" w:sz="8" w:color="00ADD8"/>
            </w:tcBorders>
          </w:tcPr>
          <w:p>
            <w:pPr>
              <w:spacing w:after="0"/>
              <w:rPr>
                <w:sz w:val="16"/>
                <w:szCs w:val="16"/>
                <w:color w:val="auto"/>
              </w:rPr>
            </w:pPr>
          </w:p>
        </w:tc>
        <w:tc>
          <w:tcPr>
            <w:tcW w:w="580" w:type="dxa"/>
            <w:vAlign w:val="bottom"/>
            <w:tcBorders>
              <w:bottom w:val="single" w:sz="8" w:color="00ADD8"/>
            </w:tcBorders>
          </w:tcPr>
          <w:p>
            <w:pPr>
              <w:spacing w:after="0"/>
              <w:rPr>
                <w:sz w:val="16"/>
                <w:szCs w:val="16"/>
                <w:color w:val="auto"/>
              </w:rPr>
            </w:pPr>
          </w:p>
        </w:tc>
        <w:tc>
          <w:tcPr>
            <w:tcW w:w="2740" w:type="dxa"/>
            <w:vAlign w:val="bottom"/>
            <w:tcBorders>
              <w:bottom w:val="single" w:sz="8" w:color="00ADD8"/>
            </w:tcBorders>
          </w:tcPr>
          <w:p>
            <w:pPr>
              <w:spacing w:after="0"/>
              <w:rPr>
                <w:sz w:val="16"/>
                <w:szCs w:val="16"/>
                <w:color w:val="auto"/>
              </w:rPr>
            </w:pPr>
          </w:p>
        </w:tc>
        <w:tc>
          <w:tcPr>
            <w:tcW w:w="760" w:type="dxa"/>
            <w:vAlign w:val="bottom"/>
            <w:tcBorders>
              <w:bottom w:val="single" w:sz="8" w:color="00ADD8"/>
            </w:tcBorders>
          </w:tcPr>
          <w:p>
            <w:pPr>
              <w:spacing w:after="0"/>
              <w:rPr>
                <w:sz w:val="16"/>
                <w:szCs w:val="16"/>
                <w:color w:val="auto"/>
              </w:rPr>
            </w:pPr>
          </w:p>
        </w:tc>
        <w:tc>
          <w:tcPr>
            <w:tcW w:w="5620" w:type="dxa"/>
            <w:vAlign w:val="bottom"/>
            <w:tcBorders>
              <w:bottom w:val="single" w:sz="8" w:color="00ADD8"/>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580" w:type="dxa"/>
            <w:vAlign w:val="bottom"/>
            <w:shd w:val="clear" w:color="auto" w:fill="EDEDED"/>
          </w:tcPr>
          <w:p>
            <w:pPr>
              <w:spacing w:after="0"/>
              <w:rPr>
                <w:sz w:val="4"/>
                <w:szCs w:val="4"/>
                <w:color w:val="auto"/>
              </w:rPr>
            </w:pPr>
          </w:p>
        </w:tc>
        <w:tc>
          <w:tcPr>
            <w:tcW w:w="2740" w:type="dxa"/>
            <w:vAlign w:val="bottom"/>
            <w:shd w:val="clear" w:color="auto" w:fill="EDEDED"/>
          </w:tcPr>
          <w:p>
            <w:pPr>
              <w:spacing w:after="0"/>
              <w:rPr>
                <w:sz w:val="4"/>
                <w:szCs w:val="4"/>
                <w:color w:val="auto"/>
              </w:rPr>
            </w:pPr>
          </w:p>
        </w:tc>
        <w:tc>
          <w:tcPr>
            <w:tcW w:w="760" w:type="dxa"/>
            <w:vAlign w:val="bottom"/>
            <w:shd w:val="clear" w:color="auto" w:fill="EDEDED"/>
          </w:tcPr>
          <w:p>
            <w:pPr>
              <w:spacing w:after="0"/>
              <w:rPr>
                <w:sz w:val="4"/>
                <w:szCs w:val="4"/>
                <w:color w:val="auto"/>
              </w:rPr>
            </w:pPr>
          </w:p>
        </w:tc>
        <w:tc>
          <w:tcPr>
            <w:tcW w:w="562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6995160" cy="129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29413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1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Annual Cash</w:t>
            </w:r>
          </w:p>
        </w:tc>
        <w:tc>
          <w:tcPr>
            <w:tcW w:w="3740" w:type="dxa"/>
            <w:vAlign w:val="bottom"/>
          </w:tcPr>
          <w:p>
            <w:pPr>
              <w:ind w:left="760"/>
              <w:spacing w:after="0"/>
              <w:rPr>
                <w:sz w:val="20"/>
                <w:szCs w:val="20"/>
                <w:color w:val="auto"/>
              </w:rPr>
            </w:pPr>
            <w:r>
              <w:rPr>
                <w:rFonts w:ascii="Arial" w:cs="Arial" w:eastAsia="Arial" w:hAnsi="Arial"/>
                <w:sz w:val="16"/>
                <w:szCs w:val="16"/>
                <w:color w:val="auto"/>
              </w:rPr>
              <w:t>Reward strong Company and individual</w:t>
            </w:r>
          </w:p>
        </w:tc>
        <w:tc>
          <w:tcPr>
            <w:tcW w:w="0" w:type="dxa"/>
            <w:vAlign w:val="bottom"/>
          </w:tcPr>
          <w:p>
            <w:pPr>
              <w:spacing w:after="0"/>
              <w:rPr>
                <w:sz w:val="1"/>
                <w:szCs w:val="1"/>
                <w:color w:val="auto"/>
              </w:rPr>
            </w:pPr>
          </w:p>
        </w:tc>
      </w:tr>
      <w:tr>
        <w:trPr>
          <w:trHeight w:val="74"/>
        </w:trPr>
        <w:tc>
          <w:tcPr>
            <w:tcW w:w="1180" w:type="dxa"/>
            <w:vAlign w:val="bottom"/>
            <w:vMerge w:val="continue"/>
          </w:tcPr>
          <w:p>
            <w:pPr>
              <w:spacing w:after="0"/>
              <w:rPr>
                <w:sz w:val="6"/>
                <w:szCs w:val="6"/>
                <w:color w:val="auto"/>
              </w:rPr>
            </w:pPr>
          </w:p>
        </w:tc>
        <w:tc>
          <w:tcPr>
            <w:tcW w:w="3740" w:type="dxa"/>
            <w:vAlign w:val="bottom"/>
            <w:vMerge w:val="restart"/>
          </w:tcPr>
          <w:p>
            <w:pPr>
              <w:ind w:left="200"/>
              <w:spacing w:after="0"/>
              <w:rPr>
                <w:sz w:val="20"/>
                <w:szCs w:val="20"/>
                <w:color w:val="auto"/>
              </w:rPr>
            </w:pPr>
            <w:r>
              <w:rPr>
                <w:rFonts w:ascii="Arial" w:cs="Arial" w:eastAsia="Arial" w:hAnsi="Arial"/>
                <w:sz w:val="16"/>
                <w:szCs w:val="16"/>
                <w:color w:val="auto"/>
              </w:rPr>
              <w:t>Cash  performance against important short-term</w:t>
            </w:r>
          </w:p>
        </w:tc>
        <w:tc>
          <w:tcPr>
            <w:tcW w:w="0" w:type="dxa"/>
            <w:vAlign w:val="bottom"/>
          </w:tcPr>
          <w:p>
            <w:pPr>
              <w:spacing w:after="0"/>
              <w:rPr>
                <w:sz w:val="1"/>
                <w:szCs w:val="1"/>
                <w:color w:val="auto"/>
              </w:rPr>
            </w:pPr>
          </w:p>
        </w:tc>
      </w:tr>
      <w:tr>
        <w:trPr>
          <w:trHeight w:val="115"/>
        </w:trPr>
        <w:tc>
          <w:tcPr>
            <w:tcW w:w="11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Bonus</w:t>
            </w: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80" w:type="dxa"/>
            <w:vAlign w:val="bottom"/>
            <w:vMerge w:val="continue"/>
          </w:tcPr>
          <w:p>
            <w:pPr>
              <w:spacing w:after="0"/>
              <w:rPr>
                <w:sz w:val="8"/>
                <w:szCs w:val="8"/>
                <w:color w:val="auto"/>
              </w:rPr>
            </w:pPr>
          </w:p>
        </w:tc>
        <w:tc>
          <w:tcPr>
            <w:tcW w:w="3740" w:type="dxa"/>
            <w:vAlign w:val="bottom"/>
            <w:vMerge w:val="restart"/>
          </w:tcPr>
          <w:p>
            <w:pPr>
              <w:ind w:left="76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72" w:hanging="172"/>
        <w:spacing w:after="0"/>
        <w:tabs>
          <w:tab w:leader="none" w:pos="1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5" w:lineRule="exact"/>
        <w:rPr>
          <w:rFonts w:ascii="Arial" w:cs="Arial" w:eastAsia="Arial" w:hAnsi="Arial"/>
          <w:sz w:val="16"/>
          <w:szCs w:val="16"/>
          <w:color w:val="auto"/>
        </w:rPr>
      </w:pPr>
    </w:p>
    <w:p>
      <w:pPr>
        <w:ind w:left="172" w:right="420" w:hanging="172"/>
        <w:spacing w:after="0" w:line="246" w:lineRule="auto"/>
        <w:tabs>
          <w:tab w:leader="none" w:pos="1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the Chief Executive Officer and President, based on achievement of specified annual Company financial performance goals, which are pre-determined by the Compensation Committee.</w:t>
      </w:r>
    </w:p>
    <w:p>
      <w:pPr>
        <w:spacing w:after="0" w:line="1" w:lineRule="exact"/>
        <w:rPr>
          <w:rFonts w:ascii="Arial" w:cs="Arial" w:eastAsia="Arial" w:hAnsi="Arial"/>
          <w:sz w:val="16"/>
          <w:szCs w:val="16"/>
          <w:color w:val="auto"/>
        </w:rPr>
      </w:pPr>
    </w:p>
    <w:p>
      <w:pPr>
        <w:ind w:left="172" w:right="180" w:hanging="172"/>
        <w:spacing w:after="0" w:line="249" w:lineRule="auto"/>
        <w:tabs>
          <w:tab w:leader="none" w:pos="1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NEOs other than the Chief Executive Officer and President, based on a set bonus pool, which is determined based on achievement of Company financial performance goals for the calendar year. Allocations from the pool are determined based on individual and Company performance by recommendation to the Compensation Committee by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146050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308"/>
            <w:col w:w="5732"/>
          </w:cols>
          <w:pgMar w:left="440" w:top="1138" w:right="43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35</w:t>
            </w:r>
          </w:p>
        </w:tc>
      </w:tr>
    </w:tbl>
    <w:p>
      <w:pPr>
        <w:sectPr>
          <w:pgSz w:w="11900" w:h="16838" w:orient="portrait"/>
          <w:cols w:equalWidth="0" w:num="1">
            <w:col w:w="11020"/>
          </w:cols>
          <w:pgMar w:left="440" w:top="1138" w:right="439" w:bottom="1440" w:gutter="0" w:footer="0" w:header="0"/>
          <w:type w:val="continuous"/>
        </w:sectPr>
      </w:pPr>
    </w:p>
    <w:bookmarkStart w:id="38" w:name="page39"/>
    <w:bookmarkEnd w:id="38"/>
    <w:p>
      <w:pPr>
        <w:ind w:left="60"/>
        <w:spacing w:after="0"/>
        <w:tabs>
          <w:tab w:leader="none" w:pos="1420" w:val="left"/>
          <w:tab w:leader="none" w:pos="2320" w:val="left"/>
          <w:tab w:leader="none" w:pos="560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732155</wp:posOffset>
            </wp:positionV>
            <wp:extent cx="699516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Element</w:t>
      </w:r>
      <w:r>
        <w:rPr>
          <w:sz w:val="20"/>
          <w:szCs w:val="20"/>
          <w:color w:val="auto"/>
        </w:rPr>
        <w:tab/>
      </w: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Pay Philosophy/Objectives</w:t>
      </w:r>
      <w:r>
        <w:rPr>
          <w:sz w:val="20"/>
          <w:szCs w:val="20"/>
          <w:color w:val="auto"/>
        </w:rPr>
        <w:tab/>
      </w:r>
      <w:r>
        <w:rPr>
          <w:rFonts w:ascii="Arial" w:cs="Arial" w:eastAsia="Arial" w:hAnsi="Arial"/>
          <w:sz w:val="10"/>
          <w:szCs w:val="10"/>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995160" cy="24942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2494280"/>
                    </a:xfrm>
                    <a:prstGeom prst="rect">
                      <a:avLst/>
                    </a:prstGeom>
                    <a:noFill/>
                  </pic:spPr>
                </pic:pic>
              </a:graphicData>
            </a:graphic>
          </wp:anchor>
        </w:drawing>
      </w:r>
    </w:p>
    <w:p>
      <w:pPr>
        <w:sectPr>
          <w:pgSz w:w="11900" w:h="16838" w:orient="portrait"/>
          <w:cols w:equalWidth="0" w:num="1">
            <w:col w:w="11020"/>
          </w:cols>
          <w:pgMar w:left="440" w:top="1174" w:right="4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Promotes performance, supports retention</w:t>
      </w:r>
    </w:p>
    <w:p>
      <w:pPr>
        <w:spacing w:after="0" w:line="5" w:lineRule="exact"/>
        <w:rPr>
          <w:sz w:val="20"/>
          <w:szCs w:val="20"/>
          <w:color w:val="auto"/>
        </w:rPr>
      </w:pPr>
    </w:p>
    <w:p>
      <w:pPr>
        <w:ind w:left="1440"/>
        <w:spacing w:after="0"/>
        <w:tabs>
          <w:tab w:leader="none" w:pos="2320" w:val="left"/>
        </w:tabs>
        <w:rPr>
          <w:sz w:val="20"/>
          <w:szCs w:val="20"/>
          <w:color w:val="auto"/>
        </w:rPr>
      </w:pPr>
      <w:r>
        <w:rPr>
          <w:rFonts w:ascii="Arial" w:cs="Arial" w:eastAsia="Arial" w:hAnsi="Arial"/>
          <w:sz w:val="16"/>
          <w:szCs w:val="16"/>
          <w:color w:val="auto"/>
        </w:rPr>
        <w:t>Equity</w:t>
      </w:r>
      <w:r>
        <w:rPr>
          <w:sz w:val="20"/>
          <w:szCs w:val="20"/>
          <w:color w:val="auto"/>
        </w:rPr>
        <w:tab/>
      </w:r>
      <w:r>
        <w:rPr>
          <w:rFonts w:ascii="Arial" w:cs="Arial" w:eastAsia="Arial" w:hAnsi="Arial"/>
          <w:sz w:val="16"/>
          <w:szCs w:val="16"/>
          <w:color w:val="auto"/>
        </w:rPr>
        <w:t>and creates long-term shareholder value</w:t>
      </w:r>
    </w:p>
    <w:p>
      <w:pPr>
        <w:spacing w:after="0" w:line="5" w:lineRule="exact"/>
        <w:rPr>
          <w:sz w:val="20"/>
          <w:szCs w:val="20"/>
          <w:color w:val="auto"/>
        </w:rPr>
      </w:pPr>
    </w:p>
    <w:p>
      <w:pPr>
        <w:ind w:left="1440"/>
        <w:spacing w:after="0"/>
        <w:tabs>
          <w:tab w:leader="none" w:pos="2320" w:val="left"/>
        </w:tabs>
        <w:rPr>
          <w:sz w:val="20"/>
          <w:szCs w:val="20"/>
          <w:color w:val="auto"/>
        </w:rPr>
      </w:pPr>
      <w:r>
        <w:rPr>
          <w:rFonts w:ascii="Arial" w:cs="Arial" w:eastAsia="Arial" w:hAnsi="Arial"/>
          <w:sz w:val="16"/>
          <w:szCs w:val="16"/>
          <w:color w:val="auto"/>
        </w:rPr>
        <w:t>(PRSUs)</w:t>
        <w:tab/>
        <w:t>and stockholder alignment by creating an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“ownership mentality.”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175" w:hanging="175"/>
        <w:spacing w:after="0"/>
        <w:tabs>
          <w:tab w:leader="none" w:pos="1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5" w:lineRule="exact"/>
        <w:rPr>
          <w:rFonts w:ascii="Arial" w:cs="Arial" w:eastAsia="Arial" w:hAnsi="Arial"/>
          <w:sz w:val="16"/>
          <w:szCs w:val="16"/>
          <w:color w:val="auto"/>
        </w:rPr>
      </w:pPr>
    </w:p>
    <w:p>
      <w:pPr>
        <w:ind w:left="155" w:right="180" w:hanging="155"/>
        <w:spacing w:after="0" w:line="246" w:lineRule="auto"/>
        <w:tabs>
          <w:tab w:leader="none" w:pos="1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Annual grant of restricted stock units which vests based on continuous service through the third calendar year following the year of grant.</w:t>
      </w:r>
    </w:p>
    <w:p>
      <w:pPr>
        <w:ind w:left="155" w:right="380" w:hanging="155"/>
        <w:spacing w:after="0" w:line="246" w:lineRule="auto"/>
        <w:tabs>
          <w:tab w:leader="none" w:pos="1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Award may be modified, on a range of 0% to 200%, based on achievement of set goals related to Company financial performance during the year of grant.</w:t>
      </w:r>
    </w:p>
    <w:p>
      <w:pPr>
        <w:spacing w:after="0" w:line="1" w:lineRule="exact"/>
        <w:rPr>
          <w:rFonts w:ascii="Arial" w:cs="Arial" w:eastAsia="Arial" w:hAnsi="Arial"/>
          <w:sz w:val="16"/>
          <w:szCs w:val="16"/>
          <w:color w:val="auto"/>
        </w:rPr>
      </w:pPr>
    </w:p>
    <w:p>
      <w:pPr>
        <w:ind w:left="155" w:right="320" w:hanging="155"/>
        <w:spacing w:after="0" w:line="260" w:lineRule="auto"/>
        <w:tabs>
          <w:tab w:leader="none" w:pos="1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Company financial goals include target EBITDA margin and revenue growth achievement.</w:t>
      </w:r>
    </w:p>
    <w:p>
      <w:pPr>
        <w:spacing w:after="0" w:line="1" w:lineRule="exact"/>
        <w:rPr>
          <w:sz w:val="20"/>
          <w:szCs w:val="20"/>
          <w:color w:val="auto"/>
        </w:rPr>
      </w:pPr>
    </w:p>
    <w:p>
      <w:pPr>
        <w:sectPr>
          <w:pgSz w:w="11900" w:h="16838" w:orient="portrait"/>
          <w:cols w:equalWidth="0" w:num="2">
            <w:col w:w="5360" w:space="265"/>
            <w:col w:w="5395"/>
          </w:cols>
          <w:pgMar w:left="440" w:top="1174" w:right="439" w:bottom="1440" w:gutter="0" w:footer="0" w:header="0"/>
          <w:type w:val="continuous"/>
        </w:sectPr>
      </w:pPr>
    </w:p>
    <w:tbl>
      <w:tblPr>
        <w:tblLayout w:type="fixed"/>
        <w:tblInd w:w="60" w:type="dxa"/>
        <w:tblCellMar>
          <w:top w:w="0" w:type="dxa"/>
          <w:left w:w="0" w:type="dxa"/>
          <w:bottom w:w="0" w:type="dxa"/>
          <w:right w:w="0" w:type="dxa"/>
        </w:tblCellMar>
      </w:tblPr>
      <w:tr>
        <w:trPr>
          <w:trHeight w:val="243"/>
        </w:trPr>
        <w:tc>
          <w:tcPr>
            <w:tcW w:w="1260" w:type="dxa"/>
            <w:vAlign w:val="bottom"/>
          </w:tcPr>
          <w:p>
            <w:pPr>
              <w:spacing w:after="0"/>
              <w:rPr>
                <w:sz w:val="20"/>
                <w:szCs w:val="20"/>
                <w:color w:val="auto"/>
              </w:rPr>
            </w:pPr>
            <w:r>
              <w:rPr>
                <w:rFonts w:ascii="Arial" w:cs="Arial" w:eastAsia="Arial" w:hAnsi="Arial"/>
                <w:sz w:val="16"/>
                <w:szCs w:val="16"/>
                <w:b w:val="1"/>
                <w:bCs w:val="1"/>
                <w:i w:val="1"/>
                <w:iCs w:val="1"/>
                <w:color w:val="auto"/>
              </w:rPr>
              <w:t>Long-Term</w:t>
            </w:r>
          </w:p>
        </w:tc>
        <w:tc>
          <w:tcPr>
            <w:tcW w:w="120" w:type="dxa"/>
            <w:vAlign w:val="bottom"/>
            <w:tcBorders>
              <w:top w:val="single" w:sz="8" w:color="00ADD8"/>
            </w:tcBorders>
          </w:tcPr>
          <w:p>
            <w:pPr>
              <w:spacing w:after="0"/>
              <w:rPr>
                <w:sz w:val="21"/>
                <w:szCs w:val="21"/>
                <w:color w:val="auto"/>
              </w:rPr>
            </w:pPr>
          </w:p>
        </w:tc>
        <w:tc>
          <w:tcPr>
            <w:tcW w:w="780" w:type="dxa"/>
            <w:vAlign w:val="bottom"/>
            <w:tcBorders>
              <w:top w:val="single" w:sz="8" w:color="00ADD8"/>
            </w:tcBorders>
            <w:vMerge w:val="restart"/>
            <w:shd w:val="clear" w:color="auto" w:fill="EDEDED"/>
          </w:tcPr>
          <w:p>
            <w:pPr>
              <w:spacing w:after="0"/>
              <w:rPr>
                <w:sz w:val="20"/>
                <w:szCs w:val="20"/>
                <w:color w:val="auto"/>
              </w:rPr>
            </w:pPr>
            <w:r>
              <w:rPr>
                <w:rFonts w:ascii="Arial" w:cs="Arial" w:eastAsia="Arial" w:hAnsi="Arial"/>
                <w:sz w:val="16"/>
                <w:szCs w:val="16"/>
                <w:color w:val="auto"/>
              </w:rPr>
              <w:t>Equity</w:t>
            </w:r>
          </w:p>
        </w:tc>
        <w:tc>
          <w:tcPr>
            <w:tcW w:w="3300" w:type="dxa"/>
            <w:vAlign w:val="bottom"/>
            <w:tcBorders>
              <w:top w:val="single" w:sz="8" w:color="00ADD8"/>
            </w:tcBorders>
            <w:vMerge w:val="restart"/>
            <w:shd w:val="clear" w:color="auto" w:fill="EDEDED"/>
          </w:tcPr>
          <w:p>
            <w:pPr>
              <w:ind w:left="120"/>
              <w:spacing w:after="0"/>
              <w:rPr>
                <w:sz w:val="20"/>
                <w:szCs w:val="20"/>
                <w:color w:val="auto"/>
              </w:rPr>
            </w:pPr>
            <w:r>
              <w:rPr>
                <w:rFonts w:ascii="Arial" w:cs="Arial" w:eastAsia="Arial" w:hAnsi="Arial"/>
                <w:sz w:val="16"/>
                <w:szCs w:val="16"/>
                <w:color w:val="auto"/>
              </w:rPr>
              <w:t>Encourages retention and rewards the</w:t>
            </w:r>
          </w:p>
        </w:tc>
        <w:tc>
          <w:tcPr>
            <w:tcW w:w="5500" w:type="dxa"/>
            <w:vAlign w:val="bottom"/>
            <w:tcBorders>
              <w:top w:val="single" w:sz="8" w:color="00ADD8"/>
            </w:tcBorders>
            <w:shd w:val="clear" w:color="auto" w:fill="EDEDED"/>
          </w:tcPr>
          <w:p>
            <w:pPr>
              <w:ind w:left="100"/>
              <w:spacing w:after="0"/>
              <w:rPr>
                <w:sz w:val="20"/>
                <w:szCs w:val="20"/>
                <w:color w:val="auto"/>
              </w:rPr>
            </w:pPr>
            <w:r>
              <w:rPr>
                <w:rFonts w:ascii="Arial" w:cs="Arial" w:eastAsia="Arial" w:hAnsi="Arial"/>
                <w:sz w:val="16"/>
                <w:szCs w:val="16"/>
                <w:color w:val="auto"/>
              </w:rPr>
              <w:t>•  At-risk variable compensation.</w:t>
            </w:r>
          </w:p>
        </w:tc>
        <w:tc>
          <w:tcPr>
            <w:tcW w:w="0" w:type="dxa"/>
            <w:vAlign w:val="bottom"/>
          </w:tcPr>
          <w:p>
            <w:pPr>
              <w:spacing w:after="0"/>
              <w:rPr>
                <w:sz w:val="1"/>
                <w:szCs w:val="1"/>
                <w:color w:val="auto"/>
              </w:rPr>
            </w:pPr>
          </w:p>
        </w:tc>
      </w:tr>
      <w:tr>
        <w:trPr>
          <w:trHeight w:val="81"/>
        </w:trPr>
        <w:tc>
          <w:tcPr>
            <w:tcW w:w="12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Incentive</w:t>
            </w:r>
          </w:p>
        </w:tc>
        <w:tc>
          <w:tcPr>
            <w:tcW w:w="120" w:type="dxa"/>
            <w:vAlign w:val="bottom"/>
          </w:tcPr>
          <w:p>
            <w:pPr>
              <w:spacing w:after="0"/>
              <w:rPr>
                <w:sz w:val="7"/>
                <w:szCs w:val="7"/>
                <w:color w:val="auto"/>
              </w:rPr>
            </w:pPr>
          </w:p>
        </w:tc>
        <w:tc>
          <w:tcPr>
            <w:tcW w:w="780" w:type="dxa"/>
            <w:vAlign w:val="bottom"/>
            <w:vMerge w:val="continue"/>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  Annual grant of restricted stock units which vests annually over a three</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(RSUs)</w:t>
            </w: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creation of stockholder value over time.</w:t>
            </w:r>
          </w:p>
        </w:tc>
        <w:tc>
          <w:tcPr>
            <w:tcW w:w="55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Awards</w:t>
            </w:r>
          </w:p>
        </w:tc>
        <w:tc>
          <w:tcPr>
            <w:tcW w:w="120" w:type="dxa"/>
            <w:vAlign w:val="bottom"/>
          </w:tcPr>
          <w:p>
            <w:pPr>
              <w:spacing w:after="0"/>
              <w:rPr>
                <w:sz w:val="7"/>
                <w:szCs w:val="7"/>
                <w:color w:val="auto"/>
              </w:rPr>
            </w:pPr>
          </w:p>
        </w:tc>
        <w:tc>
          <w:tcPr>
            <w:tcW w:w="780" w:type="dxa"/>
            <w:vAlign w:val="bottom"/>
            <w:vMerge w:val="continue"/>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year period (1/3 per year), subject to continuous service.</w:t>
            </w:r>
          </w:p>
        </w:tc>
        <w:tc>
          <w:tcPr>
            <w:tcW w:w="0" w:type="dxa"/>
            <w:vAlign w:val="bottom"/>
          </w:tcPr>
          <w:p>
            <w:pPr>
              <w:spacing w:after="0"/>
              <w:rPr>
                <w:sz w:val="1"/>
                <w:szCs w:val="1"/>
                <w:color w:val="auto"/>
              </w:rPr>
            </w:pPr>
          </w:p>
        </w:tc>
      </w:tr>
      <w:tr>
        <w:trPr>
          <w:trHeight w:val="138"/>
        </w:trPr>
        <w:tc>
          <w:tcPr>
            <w:tcW w:w="1260" w:type="dxa"/>
            <w:vAlign w:val="bottom"/>
            <w:vMerge w:val="continue"/>
          </w:tcPr>
          <w:p>
            <w:pPr>
              <w:spacing w:after="0"/>
              <w:rPr>
                <w:sz w:val="12"/>
                <w:szCs w:val="12"/>
                <w:color w:val="auto"/>
              </w:rPr>
            </w:pPr>
          </w:p>
        </w:tc>
        <w:tc>
          <w:tcPr>
            <w:tcW w:w="120" w:type="dxa"/>
            <w:vAlign w:val="bottom"/>
            <w:tcBorders>
              <w:bottom w:val="single" w:sz="8" w:color="00ADD8"/>
            </w:tcBorders>
          </w:tcPr>
          <w:p>
            <w:pPr>
              <w:spacing w:after="0"/>
              <w:rPr>
                <w:sz w:val="12"/>
                <w:szCs w:val="12"/>
                <w:color w:val="auto"/>
              </w:rPr>
            </w:pPr>
          </w:p>
        </w:tc>
        <w:tc>
          <w:tcPr>
            <w:tcW w:w="780" w:type="dxa"/>
            <w:vAlign w:val="bottom"/>
            <w:tcBorders>
              <w:bottom w:val="single" w:sz="8" w:color="00ADD8"/>
            </w:tcBorders>
            <w:shd w:val="clear" w:color="auto" w:fill="EDEDED"/>
          </w:tcPr>
          <w:p>
            <w:pPr>
              <w:spacing w:after="0"/>
              <w:rPr>
                <w:sz w:val="12"/>
                <w:szCs w:val="12"/>
                <w:color w:val="auto"/>
              </w:rPr>
            </w:pPr>
          </w:p>
        </w:tc>
        <w:tc>
          <w:tcPr>
            <w:tcW w:w="3300" w:type="dxa"/>
            <w:vAlign w:val="bottom"/>
            <w:tcBorders>
              <w:bottom w:val="single" w:sz="8" w:color="00ADD8"/>
            </w:tcBorders>
            <w:shd w:val="clear" w:color="auto" w:fill="EDEDED"/>
          </w:tcPr>
          <w:p>
            <w:pPr>
              <w:spacing w:after="0"/>
              <w:rPr>
                <w:sz w:val="12"/>
                <w:szCs w:val="12"/>
                <w:color w:val="auto"/>
              </w:rPr>
            </w:pPr>
          </w:p>
        </w:tc>
        <w:tc>
          <w:tcPr>
            <w:tcW w:w="5500" w:type="dxa"/>
            <w:vAlign w:val="bottom"/>
            <w:tcBorders>
              <w:bottom w:val="single" w:sz="8" w:color="00ADD8"/>
            </w:tcBorders>
            <w:vMerge w:val="continue"/>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3300" w:type="dxa"/>
            <w:vAlign w:val="bottom"/>
            <w:shd w:val="clear" w:color="auto" w:fill="EDEDED"/>
          </w:tcPr>
          <w:p>
            <w:pPr>
              <w:spacing w:after="0"/>
              <w:rPr>
                <w:sz w:val="19"/>
                <w:szCs w:val="19"/>
                <w:color w:val="auto"/>
              </w:rPr>
            </w:pPr>
          </w:p>
        </w:tc>
        <w:tc>
          <w:tcPr>
            <w:tcW w:w="550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At-risk variable compensation.</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Promotes performance, supports retention,</w:t>
            </w:r>
          </w:p>
        </w:tc>
        <w:tc>
          <w:tcPr>
            <w:tcW w:w="550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Pre-IPO option grant which vested, and continues to vest, based on</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continued service as well as achievement of Company financial goals.</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Equity</w:t>
            </w: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and directly rewards creation of long-term</w:t>
            </w:r>
          </w:p>
        </w:tc>
        <w:tc>
          <w:tcPr>
            <w:tcW w:w="55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100"/>
              <w:spacing w:after="0" w:line="175" w:lineRule="exact"/>
              <w:rPr>
                <w:sz w:val="20"/>
                <w:szCs w:val="20"/>
                <w:color w:val="auto"/>
              </w:rPr>
            </w:pPr>
            <w:r>
              <w:rPr>
                <w:rFonts w:ascii="Arial" w:cs="Arial" w:eastAsia="Arial" w:hAnsi="Arial"/>
                <w:sz w:val="16"/>
                <w:szCs w:val="16"/>
                <w:color w:val="auto"/>
              </w:rPr>
              <w:t>•  Currently outstanding and unvested options will vest based on EBITDA</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shd w:val="clear" w:color="auto" w:fill="EDEDED"/>
          </w:tcPr>
          <w:p>
            <w:pPr>
              <w:spacing w:after="0"/>
              <w:rPr>
                <w:sz w:val="8"/>
                <w:szCs w:val="8"/>
                <w:color w:val="auto"/>
              </w:rPr>
            </w:pP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stockholder value after the grant date,</w:t>
            </w:r>
          </w:p>
        </w:tc>
        <w:tc>
          <w:tcPr>
            <w:tcW w:w="550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(Options)</w:t>
            </w:r>
          </w:p>
        </w:tc>
        <w:tc>
          <w:tcPr>
            <w:tcW w:w="3300" w:type="dxa"/>
            <w:vAlign w:val="bottom"/>
            <w:vMerge w:val="continue"/>
            <w:shd w:val="clear" w:color="auto" w:fill="EDEDED"/>
          </w:tcPr>
          <w:p>
            <w:pPr>
              <w:spacing w:after="0"/>
              <w:rPr>
                <w:sz w:val="8"/>
                <w:szCs w:val="8"/>
                <w:color w:val="auto"/>
              </w:rPr>
            </w:pPr>
          </w:p>
        </w:tc>
        <w:tc>
          <w:tcPr>
            <w:tcW w:w="550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growth and revenue growth achievement for calendar year 2021.</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shd w:val="clear" w:color="auto" w:fill="EDEDED"/>
          </w:tcPr>
          <w:p>
            <w:pPr>
              <w:spacing w:after="0"/>
              <w:rPr>
                <w:sz w:val="9"/>
                <w:szCs w:val="9"/>
                <w:color w:val="auto"/>
              </w:rPr>
            </w:pP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aligning the interests of our executives and</w:t>
            </w:r>
          </w:p>
        </w:tc>
        <w:tc>
          <w:tcPr>
            <w:tcW w:w="55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  Have value only to the extent our stock price increases in comparison to</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shd w:val="clear" w:color="auto" w:fill="EDEDED"/>
          </w:tcPr>
          <w:p>
            <w:pPr>
              <w:spacing w:after="0"/>
              <w:rPr>
                <w:sz w:val="9"/>
                <w:szCs w:val="9"/>
                <w:color w:val="auto"/>
              </w:rPr>
            </w:pPr>
          </w:p>
        </w:tc>
        <w:tc>
          <w:tcPr>
            <w:tcW w:w="330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stockholders.</w:t>
            </w:r>
          </w:p>
        </w:tc>
        <w:tc>
          <w:tcPr>
            <w:tcW w:w="55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3300" w:type="dxa"/>
            <w:vAlign w:val="bottom"/>
            <w:vMerge w:val="continue"/>
            <w:shd w:val="clear" w:color="auto" w:fill="EDEDED"/>
          </w:tcPr>
          <w:p>
            <w:pPr>
              <w:spacing w:after="0"/>
              <w:rPr>
                <w:sz w:val="7"/>
                <w:szCs w:val="7"/>
                <w:color w:val="auto"/>
              </w:rPr>
            </w:pPr>
          </w:p>
        </w:tc>
        <w:tc>
          <w:tcPr>
            <w:tcW w:w="550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the stock price on the date of the grant.</w:t>
            </w: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shd w:val="clear" w:color="auto" w:fill="EDEDED"/>
          </w:tcPr>
          <w:p>
            <w:pPr>
              <w:spacing w:after="0"/>
              <w:rPr>
                <w:sz w:val="8"/>
                <w:szCs w:val="8"/>
                <w:color w:val="auto"/>
              </w:rPr>
            </w:pPr>
          </w:p>
        </w:tc>
        <w:tc>
          <w:tcPr>
            <w:tcW w:w="3300" w:type="dxa"/>
            <w:vAlign w:val="bottom"/>
            <w:shd w:val="clear" w:color="auto" w:fill="EDEDED"/>
          </w:tcPr>
          <w:p>
            <w:pPr>
              <w:spacing w:after="0"/>
              <w:rPr>
                <w:sz w:val="8"/>
                <w:szCs w:val="8"/>
                <w:color w:val="auto"/>
              </w:rPr>
            </w:pPr>
          </w:p>
        </w:tc>
        <w:tc>
          <w:tcPr>
            <w:tcW w:w="550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3300" w:type="dxa"/>
            <w:vAlign w:val="bottom"/>
            <w:shd w:val="clear" w:color="auto" w:fill="EDEDED"/>
          </w:tcPr>
          <w:p>
            <w:pPr>
              <w:spacing w:after="0"/>
              <w:rPr>
                <w:sz w:val="16"/>
                <w:szCs w:val="16"/>
                <w:color w:val="auto"/>
              </w:rPr>
            </w:pPr>
          </w:p>
        </w:tc>
        <w:tc>
          <w:tcPr>
            <w:tcW w:w="550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No options were granted to our NEOs in 2020.</w:t>
            </w:r>
          </w:p>
        </w:tc>
        <w:tc>
          <w:tcPr>
            <w:tcW w:w="0" w:type="dxa"/>
            <w:vAlign w:val="bottom"/>
          </w:tcPr>
          <w:p>
            <w:pPr>
              <w:spacing w:after="0"/>
              <w:rPr>
                <w:sz w:val="1"/>
                <w:szCs w:val="1"/>
                <w:color w:val="auto"/>
              </w:rPr>
            </w:pPr>
          </w:p>
        </w:tc>
      </w:tr>
      <w:tr>
        <w:trPr>
          <w:trHeight w:val="73"/>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shd w:val="clear" w:color="auto" w:fill="EDEDED"/>
          </w:tcPr>
          <w:p>
            <w:pPr>
              <w:spacing w:after="0"/>
              <w:rPr>
                <w:sz w:val="6"/>
                <w:szCs w:val="6"/>
                <w:color w:val="auto"/>
              </w:rPr>
            </w:pPr>
          </w:p>
        </w:tc>
        <w:tc>
          <w:tcPr>
            <w:tcW w:w="3300" w:type="dxa"/>
            <w:vAlign w:val="bottom"/>
            <w:shd w:val="clear" w:color="auto" w:fill="EDEDED"/>
          </w:tcPr>
          <w:p>
            <w:pPr>
              <w:spacing w:after="0"/>
              <w:rPr>
                <w:sz w:val="6"/>
                <w:szCs w:val="6"/>
                <w:color w:val="auto"/>
              </w:rPr>
            </w:pPr>
          </w:p>
        </w:tc>
        <w:tc>
          <w:tcPr>
            <w:tcW w:w="55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40"/>
        <w:spacing w:after="0" w:line="268" w:lineRule="auto"/>
        <w:rPr>
          <w:sz w:val="20"/>
          <w:szCs w:val="20"/>
          <w:color w:val="auto"/>
        </w:rPr>
      </w:pPr>
      <w:r>
        <w:rPr>
          <w:rFonts w:ascii="Arial" w:cs="Arial" w:eastAsia="Arial" w:hAnsi="Arial"/>
          <w:sz w:val="17"/>
          <w:szCs w:val="17"/>
          <w:color w:val="auto"/>
        </w:rPr>
        <w:t>The Compensation Committee does not maintain any formal policy or formula for allocating the mix of compensation as it believes it is more important to remain flexible to respond to business needs and shifts in the marketplace in which the Company must compete to recruit and retain executive talent, and also to take into consideration individual performance and responsibilities of the NEOs each year. Therefore, the Compensation Committee retains the authority to review our NEOs’ compensation periodically and to use its discretion to adjust the mix of compensation and the amount of any element of compensation as it deems appropriate for each NEO.</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charts below illustrate the allocation of the principal compensation components discussed above for our NEOs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160020</wp:posOffset>
            </wp:positionV>
            <wp:extent cx="4286250" cy="19030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62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The amounts included in the above charts are based on (1) grant-date fair values for long-term incentive equity awards, as disclosed in the Summary Compensation Table below, (2) target bonus compensation for the Chief Executive Officer and President, and (3) actual bonuses earned in 2020 for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74" w:right="439" w:bottom="1440" w:gutter="0" w:footer="0" w:header="0"/>
          <w:type w:val="continuous"/>
        </w:sectPr>
      </w:pPr>
    </w:p>
    <w:bookmarkStart w:id="39" w:name="page40"/>
    <w:bookmarkEnd w:id="39"/>
    <w:p>
      <w:pPr>
        <w:ind w:left="4"/>
        <w:spacing w:after="0"/>
        <w:rPr>
          <w:sz w:val="20"/>
          <w:szCs w:val="20"/>
          <w:color w:val="auto"/>
        </w:rPr>
      </w:pPr>
      <w:r>
        <w:rPr>
          <w:rFonts w:ascii="Arial" w:cs="Arial" w:eastAsia="Arial" w:hAnsi="Arial"/>
          <w:sz w:val="18"/>
          <w:szCs w:val="18"/>
          <w:b w:val="1"/>
          <w:bCs w:val="1"/>
          <w:color w:val="001F5B"/>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FISCAL 2020 COMPENSATION PROGRAM IN DETAIL</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Base Salaries</w:t>
      </w:r>
    </w:p>
    <w:p>
      <w:pPr>
        <w:spacing w:after="0" w:line="23" w:lineRule="exact"/>
        <w:rPr>
          <w:sz w:val="20"/>
          <w:szCs w:val="20"/>
          <w:color w:val="auto"/>
        </w:rPr>
      </w:pPr>
    </w:p>
    <w:p>
      <w:pPr>
        <w:ind w:left="4" w:right="100"/>
        <w:spacing w:after="0" w:line="271" w:lineRule="auto"/>
        <w:rPr>
          <w:sz w:val="20"/>
          <w:szCs w:val="20"/>
          <w:color w:val="auto"/>
        </w:rPr>
      </w:pPr>
      <w:r>
        <w:rPr>
          <w:rFonts w:ascii="Arial" w:cs="Arial" w:eastAsia="Arial" w:hAnsi="Arial"/>
          <w:sz w:val="17"/>
          <w:szCs w:val="17"/>
          <w:color w:val="auto"/>
        </w:rPr>
        <w:t>We believe that base salary plays an important role in attracting and retaining top executive talent. We set base salaries that reflect each individual’s duties, responsibilities, experience and performance. Base salaries are reviewed annually by (A) the Compensation Committee for the Chief Executive Officer and President and (B) the Chief Executive Officer for all other NEOs; however we generally do not provide for merit salary increases for the NEOs other than in connection with an executive’s promotion. As such, the Compensation Committee determined to keep base salaries for the NEOs in fiscal 2020 consistent with the base salaries provided for fiscal 2019, as set forth on the table below.</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1600" w:type="dxa"/>
            <w:vAlign w:val="bottom"/>
          </w:tcPr>
          <w:p>
            <w:pPr>
              <w:jc w:val="right"/>
              <w:ind w:right="144"/>
              <w:spacing w:after="0"/>
              <w:rPr>
                <w:sz w:val="20"/>
                <w:szCs w:val="20"/>
                <w:color w:val="auto"/>
              </w:rPr>
            </w:pPr>
            <w:r>
              <w:rPr>
                <w:rFonts w:ascii="Arial" w:cs="Arial" w:eastAsia="Arial" w:hAnsi="Arial"/>
                <w:sz w:val="13"/>
                <w:szCs w:val="13"/>
                <w:color w:val="auto"/>
              </w:rPr>
              <w:t>Base Salary at</w:t>
            </w:r>
          </w:p>
        </w:tc>
        <w:tc>
          <w:tcPr>
            <w:tcW w:w="1340" w:type="dxa"/>
            <w:vAlign w:val="bottom"/>
          </w:tcPr>
          <w:p>
            <w:pPr>
              <w:jc w:val="right"/>
              <w:ind w:right="44"/>
              <w:spacing w:after="0"/>
              <w:rPr>
                <w:sz w:val="20"/>
                <w:szCs w:val="20"/>
                <w:color w:val="auto"/>
              </w:rPr>
            </w:pPr>
            <w:r>
              <w:rPr>
                <w:rFonts w:ascii="Arial" w:cs="Arial" w:eastAsia="Arial" w:hAnsi="Arial"/>
                <w:sz w:val="13"/>
                <w:szCs w:val="13"/>
                <w:color w:val="auto"/>
              </w:rPr>
              <w:t>Base Salary at</w:t>
            </w:r>
          </w:p>
        </w:tc>
        <w:tc>
          <w:tcPr>
            <w:tcW w:w="1140" w:type="dxa"/>
            <w:vAlign w:val="bottom"/>
          </w:tcPr>
          <w:p>
            <w:pPr>
              <w:spacing w:after="0"/>
              <w:rPr>
                <w:sz w:val="13"/>
                <w:szCs w:val="13"/>
                <w:color w:val="auto"/>
              </w:rPr>
            </w:pPr>
          </w:p>
        </w:tc>
      </w:tr>
      <w:tr>
        <w:trPr>
          <w:trHeight w:val="161"/>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w:t>
            </w:r>
          </w:p>
        </w:tc>
        <w:tc>
          <w:tcPr>
            <w:tcW w:w="1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color w:val="auto"/>
              </w:rPr>
              <w:t>December 31, 2019</w:t>
            </w: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color w:val="auto"/>
              </w:rPr>
              <w:t>December 31, 2020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color w:val="auto"/>
                <w:w w:val="95"/>
              </w:rPr>
              <w:t>Percent Increase</w:t>
            </w:r>
          </w:p>
        </w:tc>
      </w:tr>
      <w:tr>
        <w:trPr>
          <w:trHeight w:val="285"/>
        </w:trPr>
        <w:tc>
          <w:tcPr>
            <w:tcW w:w="69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600" w:type="dxa"/>
            <w:vAlign w:val="bottom"/>
            <w:tcBorders>
              <w:bottom w:val="single" w:sz="8" w:color="CCEEF7"/>
            </w:tcBorders>
            <w:shd w:val="clear" w:color="auto" w:fill="CCEEF7"/>
          </w:tcPr>
          <w:p>
            <w:pPr>
              <w:jc w:val="right"/>
              <w:ind w:right="144"/>
              <w:spacing w:after="0"/>
              <w:rPr>
                <w:sz w:val="20"/>
                <w:szCs w:val="20"/>
                <w:color w:val="auto"/>
              </w:rPr>
            </w:pPr>
            <w:r>
              <w:rPr>
                <w:rFonts w:ascii="Arial" w:cs="Arial" w:eastAsia="Arial" w:hAnsi="Arial"/>
                <w:sz w:val="16"/>
                <w:szCs w:val="16"/>
                <w:color w:val="auto"/>
              </w:rPr>
              <w:t>$770,000</w:t>
            </w:r>
          </w:p>
        </w:tc>
        <w:tc>
          <w:tcPr>
            <w:tcW w:w="134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$770,000</w:t>
            </w:r>
          </w:p>
        </w:tc>
        <w:tc>
          <w:tcPr>
            <w:tcW w:w="1140" w:type="dxa"/>
            <w:vAlign w:val="bottom"/>
            <w:tcBorders>
              <w:bottom w:val="single" w:sz="8" w:color="CCEEF7"/>
            </w:tcBorders>
            <w:shd w:val="clear" w:color="auto" w:fill="CCEEF7"/>
          </w:tcPr>
          <w:p>
            <w:pPr>
              <w:jc w:val="right"/>
              <w:ind w:right="102"/>
              <w:spacing w:after="0"/>
              <w:rPr>
                <w:sz w:val="20"/>
                <w:szCs w:val="20"/>
                <w:color w:val="auto"/>
              </w:rPr>
            </w:pPr>
            <w:r>
              <w:rPr>
                <w:rFonts w:ascii="Arial" w:cs="Arial" w:eastAsia="Arial" w:hAnsi="Arial"/>
                <w:sz w:val="16"/>
                <w:szCs w:val="16"/>
                <w:color w:val="auto"/>
              </w:rPr>
              <w:t>0%</w:t>
            </w:r>
          </w:p>
        </w:tc>
      </w:tr>
      <w:tr>
        <w:trPr>
          <w:trHeight w:val="264"/>
        </w:trPr>
        <w:tc>
          <w:tcPr>
            <w:tcW w:w="694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1600" w:type="dxa"/>
            <w:vAlign w:val="bottom"/>
          </w:tcPr>
          <w:p>
            <w:pPr>
              <w:jc w:val="right"/>
              <w:ind w:right="144"/>
              <w:spacing w:after="0"/>
              <w:rPr>
                <w:sz w:val="20"/>
                <w:szCs w:val="20"/>
                <w:color w:val="auto"/>
              </w:rPr>
            </w:pPr>
            <w:r>
              <w:rPr>
                <w:rFonts w:ascii="Arial" w:cs="Arial" w:eastAsia="Arial" w:hAnsi="Arial"/>
                <w:sz w:val="16"/>
                <w:szCs w:val="16"/>
                <w:color w:val="auto"/>
              </w:rPr>
              <w:t>$400,000</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$400,000</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0%</w:t>
            </w:r>
          </w:p>
        </w:tc>
      </w:tr>
      <w:tr>
        <w:trPr>
          <w:trHeight w:val="60"/>
        </w:trPr>
        <w:tc>
          <w:tcPr>
            <w:tcW w:w="6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304"/>
        </w:trPr>
        <w:tc>
          <w:tcPr>
            <w:tcW w:w="69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1600" w:type="dxa"/>
            <w:vAlign w:val="bottom"/>
            <w:tcBorders>
              <w:bottom w:val="single" w:sz="8" w:color="CCEEF7"/>
            </w:tcBorders>
            <w:shd w:val="clear" w:color="auto" w:fill="CCEEF7"/>
          </w:tcPr>
          <w:p>
            <w:pPr>
              <w:jc w:val="right"/>
              <w:ind w:right="144"/>
              <w:spacing w:after="0"/>
              <w:rPr>
                <w:sz w:val="20"/>
                <w:szCs w:val="20"/>
                <w:color w:val="auto"/>
              </w:rPr>
            </w:pPr>
            <w:r>
              <w:rPr>
                <w:rFonts w:ascii="Arial" w:cs="Arial" w:eastAsia="Arial" w:hAnsi="Arial"/>
                <w:sz w:val="16"/>
                <w:szCs w:val="16"/>
                <w:color w:val="auto"/>
              </w:rPr>
              <w:t>$660,000</w:t>
            </w:r>
          </w:p>
        </w:tc>
        <w:tc>
          <w:tcPr>
            <w:tcW w:w="134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$660,000</w:t>
            </w:r>
          </w:p>
        </w:tc>
        <w:tc>
          <w:tcPr>
            <w:tcW w:w="1140" w:type="dxa"/>
            <w:vAlign w:val="bottom"/>
            <w:tcBorders>
              <w:bottom w:val="single" w:sz="8" w:color="CCEEF7"/>
            </w:tcBorders>
            <w:shd w:val="clear" w:color="auto" w:fill="CCEEF7"/>
          </w:tcPr>
          <w:p>
            <w:pPr>
              <w:jc w:val="right"/>
              <w:ind w:right="102"/>
              <w:spacing w:after="0"/>
              <w:rPr>
                <w:sz w:val="20"/>
                <w:szCs w:val="20"/>
                <w:color w:val="auto"/>
              </w:rPr>
            </w:pPr>
            <w:r>
              <w:rPr>
                <w:rFonts w:ascii="Arial" w:cs="Arial" w:eastAsia="Arial" w:hAnsi="Arial"/>
                <w:sz w:val="16"/>
                <w:szCs w:val="16"/>
                <w:color w:val="auto"/>
              </w:rPr>
              <w:t>0%</w:t>
            </w:r>
          </w:p>
        </w:tc>
      </w:tr>
      <w:tr>
        <w:trPr>
          <w:trHeight w:val="264"/>
        </w:trPr>
        <w:tc>
          <w:tcPr>
            <w:tcW w:w="694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600" w:type="dxa"/>
            <w:vAlign w:val="bottom"/>
          </w:tcPr>
          <w:p>
            <w:pPr>
              <w:jc w:val="right"/>
              <w:ind w:right="164"/>
              <w:spacing w:after="0"/>
              <w:rPr>
                <w:sz w:val="20"/>
                <w:szCs w:val="20"/>
                <w:color w:val="auto"/>
              </w:rPr>
            </w:pPr>
            <w:r>
              <w:rPr>
                <w:rFonts w:ascii="Arial" w:cs="Arial" w:eastAsia="Arial" w:hAnsi="Arial"/>
                <w:sz w:val="16"/>
                <w:szCs w:val="16"/>
                <w:color w:val="auto"/>
              </w:rPr>
              <w:t>300,000 GBP</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300,000 GBP</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0%</w:t>
            </w:r>
          </w:p>
        </w:tc>
      </w:tr>
      <w:tr>
        <w:trPr>
          <w:trHeight w:val="60"/>
        </w:trPr>
        <w:tc>
          <w:tcPr>
            <w:tcW w:w="6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3"/>
        </w:trPr>
        <w:tc>
          <w:tcPr>
            <w:tcW w:w="694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1600" w:type="dxa"/>
            <w:vAlign w:val="bottom"/>
            <w:tcBorders>
              <w:bottom w:val="single" w:sz="8" w:color="auto"/>
            </w:tcBorders>
            <w:shd w:val="clear" w:color="auto" w:fill="CCEEF7"/>
          </w:tcPr>
          <w:p>
            <w:pPr>
              <w:jc w:val="right"/>
              <w:ind w:right="144"/>
              <w:spacing w:after="0"/>
              <w:rPr>
                <w:sz w:val="20"/>
                <w:szCs w:val="20"/>
                <w:color w:val="auto"/>
              </w:rPr>
            </w:pPr>
            <w:r>
              <w:rPr>
                <w:rFonts w:ascii="Arial" w:cs="Arial" w:eastAsia="Arial" w:hAnsi="Arial"/>
                <w:sz w:val="16"/>
                <w:szCs w:val="16"/>
                <w:color w:val="auto"/>
              </w:rPr>
              <w:t>$300,000</w:t>
            </w:r>
          </w:p>
        </w:tc>
        <w:tc>
          <w:tcPr>
            <w:tcW w:w="1340" w:type="dxa"/>
            <w:vAlign w:val="bottom"/>
            <w:tcBorders>
              <w:bottom w:val="single" w:sz="8" w:color="auto"/>
            </w:tcBorders>
            <w:shd w:val="clear" w:color="auto" w:fill="CCEEF7"/>
          </w:tcPr>
          <w:p>
            <w:pPr>
              <w:jc w:val="right"/>
              <w:ind w:right="44"/>
              <w:spacing w:after="0"/>
              <w:rPr>
                <w:sz w:val="20"/>
                <w:szCs w:val="20"/>
                <w:color w:val="auto"/>
              </w:rPr>
            </w:pPr>
            <w:r>
              <w:rPr>
                <w:rFonts w:ascii="Arial" w:cs="Arial" w:eastAsia="Arial" w:hAnsi="Arial"/>
                <w:sz w:val="16"/>
                <w:szCs w:val="16"/>
                <w:color w:val="auto"/>
              </w:rPr>
              <w:t>$300,000</w:t>
            </w:r>
          </w:p>
        </w:tc>
        <w:tc>
          <w:tcPr>
            <w:tcW w:w="1140" w:type="dxa"/>
            <w:vAlign w:val="bottom"/>
            <w:tcBorders>
              <w:bottom w:val="single" w:sz="8" w:color="auto"/>
            </w:tcBorders>
            <w:shd w:val="clear" w:color="auto" w:fill="CCEEF7"/>
          </w:tcPr>
          <w:p>
            <w:pPr>
              <w:jc w:val="right"/>
              <w:ind w:right="102"/>
              <w:spacing w:after="0"/>
              <w:rPr>
                <w:sz w:val="20"/>
                <w:szCs w:val="20"/>
                <w:color w:val="auto"/>
              </w:rPr>
            </w:pPr>
            <w:r>
              <w:rPr>
                <w:rFonts w:ascii="Arial" w:cs="Arial" w:eastAsia="Arial" w:hAnsi="Arial"/>
                <w:sz w:val="16"/>
                <w:szCs w:val="16"/>
                <w:color w:val="auto"/>
              </w:rPr>
              <w:t>0%</w:t>
            </w: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Annual Cash Bonuses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001F5B"/>
        </w:rPr>
        <w:t>CEO and President</w:t>
      </w:r>
    </w:p>
    <w:p>
      <w:pPr>
        <w:spacing w:after="0" w:line="23"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Messrs. Olesky and Hult are each party to an employment agreement with TWM LLC (described further below in the section entitled “Narrative Disclosure to Summary Compensation Table and Grants of Plan-Based Awards Table — Employment Agreements with our Named Executive Officers”) pursuant to which the executive is entitled to an annual cash bonus based on Company performance. For calendar year 2020, Messrs. Olesky and Hult each had a target bonus opportunity of $3.75 million and $3.35 million, respectively. Achievement of the annual bonus is based on TWM LLC’s attainment of certain performance goals set annually by the Compensation Committee. The Compensation Committee sets the target performance goals each year based on the budget approved by the Board the preceding quarter, reflecting a rigorous goal for the Company set to motivate the executives and drive performance. The maximum performance goals were set at a level that represented significant outperformance verses target, while thresholds were set at a level that still represented meaningful year-over-year growth. The actual amount paid to the executive can be greater or less than the target bonus depending on the extent to which these goals are achieved (or exceeded) using straight-line interpolation between target and achievement above or below, as applicable, target amounts. The payout can range from 0% to 200% of target. For 2020, achievement of the annual bonus was based 50% on attainment of annual revenue growth targets and 50% on attainment of minimum EBITDA margin thresholds. The table below sets forth the relevant revenue growth and EBITDA margin pay-for-performance scales for calendar year 2020.</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1440" w:type="dxa"/>
            <w:vAlign w:val="bottom"/>
          </w:tcPr>
          <w:p>
            <w:pPr>
              <w:jc w:val="right"/>
              <w:ind w:right="146"/>
              <w:spacing w:after="0"/>
              <w:rPr>
                <w:sz w:val="20"/>
                <w:szCs w:val="20"/>
                <w:color w:val="auto"/>
              </w:rPr>
            </w:pPr>
            <w:r>
              <w:rPr>
                <w:rFonts w:ascii="Arial" w:cs="Arial" w:eastAsia="Arial" w:hAnsi="Arial"/>
                <w:sz w:val="13"/>
                <w:szCs w:val="13"/>
                <w:color w:val="auto"/>
              </w:rPr>
              <w:t>Revenue Growth</w:t>
            </w:r>
          </w:p>
        </w:tc>
        <w:tc>
          <w:tcPr>
            <w:tcW w:w="1180" w:type="dxa"/>
            <w:vAlign w:val="bottom"/>
          </w:tcPr>
          <w:p>
            <w:pPr>
              <w:jc w:val="right"/>
              <w:ind w:right="46"/>
              <w:spacing w:after="0"/>
              <w:rPr>
                <w:sz w:val="20"/>
                <w:szCs w:val="20"/>
                <w:color w:val="auto"/>
              </w:rPr>
            </w:pPr>
            <w:r>
              <w:rPr>
                <w:rFonts w:ascii="Arial" w:cs="Arial" w:eastAsia="Arial" w:hAnsi="Arial"/>
                <w:sz w:val="13"/>
                <w:szCs w:val="13"/>
                <w:color w:val="auto"/>
              </w:rPr>
              <w:t>EBITDA Margin</w:t>
            </w:r>
          </w:p>
        </w:tc>
        <w:tc>
          <w:tcPr>
            <w:tcW w:w="1340" w:type="dxa"/>
            <w:vAlign w:val="bottom"/>
          </w:tcPr>
          <w:p>
            <w:pPr>
              <w:jc w:val="right"/>
              <w:ind w:right="106"/>
              <w:spacing w:after="0"/>
              <w:rPr>
                <w:sz w:val="20"/>
                <w:szCs w:val="20"/>
                <w:color w:val="auto"/>
              </w:rPr>
            </w:pPr>
            <w:r>
              <w:rPr>
                <w:rFonts w:ascii="Arial" w:cs="Arial" w:eastAsia="Arial" w:hAnsi="Arial"/>
                <w:sz w:val="13"/>
                <w:szCs w:val="13"/>
                <w:color w:val="auto"/>
                <w:w w:val="93"/>
              </w:rPr>
              <w:t>Percentage of Target</w:t>
            </w:r>
          </w:p>
        </w:tc>
      </w:tr>
      <w:tr>
        <w:trPr>
          <w:trHeight w:val="175"/>
        </w:trPr>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Level of Performance Achieved</w:t>
            </w:r>
          </w:p>
        </w:tc>
        <w:tc>
          <w:tcPr>
            <w:tcW w:w="144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50% of Bonus</w:t>
            </w:r>
            <w:r>
              <w:rPr>
                <w:rFonts w:ascii="Arial" w:cs="Arial" w:eastAsia="Arial" w:hAnsi="Arial"/>
                <w:sz w:val="13"/>
                <w:szCs w:val="13"/>
                <w:color w:val="auto"/>
              </w:rPr>
              <w:t>)</w:t>
            </w: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50% of Bonus</w:t>
            </w:r>
            <w:r>
              <w:rPr>
                <w:rFonts w:ascii="Arial" w:cs="Arial" w:eastAsia="Arial" w:hAnsi="Arial"/>
                <w:sz w:val="13"/>
                <w:szCs w:val="13"/>
                <w:color w:val="auto"/>
              </w:rPr>
              <w:t>)</w:t>
            </w:r>
          </w:p>
        </w:tc>
        <w:tc>
          <w:tcPr>
            <w:tcW w:w="13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color w:val="auto"/>
              </w:rPr>
              <w:t>Achieved</w:t>
            </w:r>
            <w:r>
              <w:rPr>
                <w:rFonts w:ascii="Arial" w:cs="Arial" w:eastAsia="Arial" w:hAnsi="Arial"/>
                <w:sz w:val="10"/>
                <w:szCs w:val="10"/>
                <w:color w:val="auto"/>
              </w:rPr>
              <w:t>1</w:t>
            </w:r>
          </w:p>
        </w:tc>
      </w:tr>
      <w:tr>
        <w:trPr>
          <w:trHeight w:val="285"/>
        </w:trPr>
        <w:tc>
          <w:tcPr>
            <w:tcW w:w="70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i w:val="1"/>
                <w:iCs w:val="1"/>
                <w:color w:val="auto"/>
              </w:rPr>
              <w:t>Threshold</w:t>
            </w:r>
          </w:p>
        </w:tc>
        <w:tc>
          <w:tcPr>
            <w:tcW w:w="1440" w:type="dxa"/>
            <w:vAlign w:val="bottom"/>
            <w:tcBorders>
              <w:bottom w:val="single" w:sz="8" w:color="CCEEF7"/>
            </w:tcBorders>
            <w:shd w:val="clear" w:color="auto" w:fill="CCEEF7"/>
          </w:tcPr>
          <w:p>
            <w:pPr>
              <w:jc w:val="right"/>
              <w:ind w:right="146"/>
              <w:spacing w:after="0"/>
              <w:rPr>
                <w:sz w:val="20"/>
                <w:szCs w:val="20"/>
                <w:color w:val="auto"/>
              </w:rPr>
            </w:pPr>
            <w:r>
              <w:rPr>
                <w:rFonts w:ascii="Arial" w:cs="Arial" w:eastAsia="Arial" w:hAnsi="Arial"/>
                <w:sz w:val="16"/>
                <w:szCs w:val="16"/>
                <w:color w:val="auto"/>
              </w:rPr>
              <w:t>3.3%</w:t>
            </w:r>
          </w:p>
        </w:tc>
        <w:tc>
          <w:tcPr>
            <w:tcW w:w="1180" w:type="dxa"/>
            <w:vAlign w:val="bottom"/>
            <w:tcBorders>
              <w:bottom w:val="single" w:sz="8" w:color="CCEEF7"/>
            </w:tcBorders>
            <w:shd w:val="clear" w:color="auto" w:fill="CCEEF7"/>
          </w:tcPr>
          <w:p>
            <w:pPr>
              <w:jc w:val="right"/>
              <w:ind w:right="46"/>
              <w:spacing w:after="0"/>
              <w:rPr>
                <w:sz w:val="20"/>
                <w:szCs w:val="20"/>
                <w:color w:val="auto"/>
              </w:rPr>
            </w:pPr>
            <w:r>
              <w:rPr>
                <w:rFonts w:ascii="Arial" w:cs="Arial" w:eastAsia="Arial" w:hAnsi="Arial"/>
                <w:sz w:val="16"/>
                <w:szCs w:val="16"/>
                <w:color w:val="auto"/>
              </w:rPr>
              <w:t>43.6%</w:t>
            </w:r>
          </w:p>
        </w:tc>
        <w:tc>
          <w:tcPr>
            <w:tcW w:w="1340" w:type="dxa"/>
            <w:vAlign w:val="bottom"/>
            <w:tcBorders>
              <w:bottom w:val="single" w:sz="8" w:color="CCEEF7"/>
            </w:tcBorders>
            <w:shd w:val="clear" w:color="auto" w:fill="CCEEF7"/>
          </w:tcPr>
          <w:p>
            <w:pPr>
              <w:jc w:val="right"/>
              <w:ind w:right="106"/>
              <w:spacing w:after="0"/>
              <w:rPr>
                <w:sz w:val="20"/>
                <w:szCs w:val="20"/>
                <w:color w:val="auto"/>
              </w:rPr>
            </w:pPr>
            <w:r>
              <w:rPr>
                <w:rFonts w:ascii="Arial" w:cs="Arial" w:eastAsia="Arial" w:hAnsi="Arial"/>
                <w:sz w:val="16"/>
                <w:szCs w:val="16"/>
                <w:color w:val="auto"/>
              </w:rPr>
              <w:t>0%</w:t>
            </w:r>
          </w:p>
        </w:tc>
      </w:tr>
      <w:tr>
        <w:trPr>
          <w:trHeight w:val="264"/>
        </w:trPr>
        <w:tc>
          <w:tcPr>
            <w:tcW w:w="7060" w:type="dxa"/>
            <w:vAlign w:val="bottom"/>
          </w:tcPr>
          <w:p>
            <w:pPr>
              <w:ind w:left="60"/>
              <w:spacing w:after="0"/>
              <w:rPr>
                <w:sz w:val="20"/>
                <w:szCs w:val="20"/>
                <w:color w:val="auto"/>
              </w:rPr>
            </w:pPr>
            <w:r>
              <w:rPr>
                <w:rFonts w:ascii="Arial" w:cs="Arial" w:eastAsia="Arial" w:hAnsi="Arial"/>
                <w:sz w:val="16"/>
                <w:szCs w:val="16"/>
                <w:i w:val="1"/>
                <w:iCs w:val="1"/>
                <w:color w:val="auto"/>
              </w:rPr>
              <w:t>Target</w:t>
            </w:r>
          </w:p>
        </w:tc>
        <w:tc>
          <w:tcPr>
            <w:tcW w:w="1440" w:type="dxa"/>
            <w:vAlign w:val="bottom"/>
          </w:tcPr>
          <w:p>
            <w:pPr>
              <w:jc w:val="right"/>
              <w:ind w:right="146"/>
              <w:spacing w:after="0"/>
              <w:rPr>
                <w:sz w:val="20"/>
                <w:szCs w:val="20"/>
                <w:color w:val="auto"/>
              </w:rPr>
            </w:pPr>
            <w:r>
              <w:rPr>
                <w:rFonts w:ascii="Arial" w:cs="Arial" w:eastAsia="Arial" w:hAnsi="Arial"/>
                <w:sz w:val="16"/>
                <w:szCs w:val="16"/>
                <w:color w:val="auto"/>
              </w:rPr>
              <w:t>11.2%</w:t>
            </w: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47.1%</w:t>
            </w:r>
          </w:p>
        </w:tc>
        <w:tc>
          <w:tcPr>
            <w:tcW w:w="1340" w:type="dxa"/>
            <w:vAlign w:val="bottom"/>
          </w:tcPr>
          <w:p>
            <w:pPr>
              <w:jc w:val="right"/>
              <w:ind w:right="106"/>
              <w:spacing w:after="0"/>
              <w:rPr>
                <w:sz w:val="20"/>
                <w:szCs w:val="20"/>
                <w:color w:val="auto"/>
              </w:rPr>
            </w:pPr>
            <w:r>
              <w:rPr>
                <w:rFonts w:ascii="Arial" w:cs="Arial" w:eastAsia="Arial" w:hAnsi="Arial"/>
                <w:sz w:val="16"/>
                <w:szCs w:val="16"/>
                <w:color w:val="auto"/>
              </w:rPr>
              <w:t>100%</w:t>
            </w:r>
          </w:p>
        </w:tc>
      </w:tr>
      <w:tr>
        <w:trPr>
          <w:trHeight w:val="60"/>
        </w:trPr>
        <w:tc>
          <w:tcPr>
            <w:tcW w:w="70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63"/>
        </w:trPr>
        <w:tc>
          <w:tcPr>
            <w:tcW w:w="706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i w:val="1"/>
                <w:iCs w:val="1"/>
                <w:color w:val="auto"/>
              </w:rPr>
              <w:t>Maximum</w:t>
            </w:r>
          </w:p>
        </w:tc>
        <w:tc>
          <w:tcPr>
            <w:tcW w:w="1440" w:type="dxa"/>
            <w:vAlign w:val="bottom"/>
            <w:tcBorders>
              <w:bottom w:val="single" w:sz="8" w:color="auto"/>
            </w:tcBorders>
            <w:shd w:val="clear" w:color="auto" w:fill="CCEEF7"/>
          </w:tcPr>
          <w:p>
            <w:pPr>
              <w:jc w:val="right"/>
              <w:ind w:right="146"/>
              <w:spacing w:after="0"/>
              <w:rPr>
                <w:sz w:val="20"/>
                <w:szCs w:val="20"/>
                <w:color w:val="auto"/>
              </w:rPr>
            </w:pPr>
            <w:r>
              <w:rPr>
                <w:rFonts w:ascii="Arial" w:cs="Arial" w:eastAsia="Arial" w:hAnsi="Arial"/>
                <w:sz w:val="16"/>
                <w:szCs w:val="16"/>
                <w:color w:val="auto"/>
              </w:rPr>
              <w:t>13.7%</w:t>
            </w:r>
          </w:p>
        </w:tc>
        <w:tc>
          <w:tcPr>
            <w:tcW w:w="1180" w:type="dxa"/>
            <w:vAlign w:val="bottom"/>
            <w:tcBorders>
              <w:bottom w:val="single" w:sz="8" w:color="auto"/>
            </w:tcBorders>
            <w:shd w:val="clear" w:color="auto" w:fill="CCEEF7"/>
          </w:tcPr>
          <w:p>
            <w:pPr>
              <w:jc w:val="right"/>
              <w:ind w:right="46"/>
              <w:spacing w:after="0"/>
              <w:rPr>
                <w:sz w:val="20"/>
                <w:szCs w:val="20"/>
                <w:color w:val="auto"/>
              </w:rPr>
            </w:pPr>
            <w:r>
              <w:rPr>
                <w:rFonts w:ascii="Arial" w:cs="Arial" w:eastAsia="Arial" w:hAnsi="Arial"/>
                <w:sz w:val="16"/>
                <w:szCs w:val="16"/>
                <w:color w:val="auto"/>
              </w:rPr>
              <w:t>48.1%</w:t>
            </w:r>
          </w:p>
        </w:tc>
        <w:tc>
          <w:tcPr>
            <w:tcW w:w="1340" w:type="dxa"/>
            <w:vAlign w:val="bottom"/>
            <w:tcBorders>
              <w:bottom w:val="single" w:sz="8" w:color="auto"/>
            </w:tcBorders>
            <w:shd w:val="clear" w:color="auto" w:fill="CCEEF7"/>
          </w:tcPr>
          <w:p>
            <w:pPr>
              <w:jc w:val="right"/>
              <w:ind w:right="106"/>
              <w:spacing w:after="0"/>
              <w:rPr>
                <w:sz w:val="20"/>
                <w:szCs w:val="20"/>
                <w:color w:val="auto"/>
              </w:rPr>
            </w:pPr>
            <w:r>
              <w:rPr>
                <w:rFonts w:ascii="Arial" w:cs="Arial" w:eastAsia="Arial" w:hAnsi="Arial"/>
                <w:sz w:val="16"/>
                <w:szCs w:val="16"/>
                <w:color w:val="auto"/>
              </w:rPr>
              <w:t>200%</w:t>
            </w:r>
          </w:p>
        </w:tc>
      </w:tr>
    </w:tbl>
    <w:p>
      <w:pPr>
        <w:spacing w:after="0" w:line="248" w:lineRule="exact"/>
        <w:rPr>
          <w:sz w:val="20"/>
          <w:szCs w:val="20"/>
          <w:color w:val="auto"/>
        </w:rPr>
      </w:pPr>
    </w:p>
    <w:p>
      <w:pPr>
        <w:ind w:left="424" w:right="260" w:hanging="424"/>
        <w:spacing w:after="0" w:line="258" w:lineRule="auto"/>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actual performance achieved between goals, percentage of target bonus achieved is calculated on a straight-line interpolation basis between threshold, target, and maximum performance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37</w:t>
            </w:r>
          </w:p>
        </w:tc>
      </w:tr>
    </w:tbl>
    <w:p>
      <w:pPr>
        <w:sectPr>
          <w:pgSz w:w="11900" w:h="16838" w:orient="portrait"/>
          <w:cols w:equalWidth="0" w:num="1">
            <w:col w:w="11024"/>
          </w:cols>
          <w:pgMar w:left="436" w:top="1129" w:right="439" w:bottom="1440" w:gutter="0" w:footer="0" w:header="0"/>
        </w:sectPr>
      </w:pPr>
    </w:p>
    <w:bookmarkStart w:id="40" w:name="page41"/>
    <w:bookmarkEnd w:id="40"/>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Based on the 2020 performance, as confirmed by the Compensation Committee, the Company achieved revenue growth of 14.5% and EBITDA margin of 48.5%, resulting in 200% achievement with respect to both the revenue and EBITDA portions of the annual bonus targets. As such, Messrs. Olesky and Hult were each entitled to a bonus at 200% of their respective target bonus amounts, as summarized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jc w:val="right"/>
              <w:ind w:right="90"/>
              <w:spacing w:after="0"/>
              <w:rPr>
                <w:sz w:val="20"/>
                <w:szCs w:val="20"/>
                <w:color w:val="auto"/>
              </w:rPr>
            </w:pPr>
            <w:r>
              <w:rPr>
                <w:rFonts w:ascii="Arial" w:cs="Arial" w:eastAsia="Arial" w:hAnsi="Arial"/>
                <w:sz w:val="13"/>
                <w:szCs w:val="13"/>
                <w:color w:val="auto"/>
              </w:rPr>
              <w:t>Weighted</w:t>
            </w:r>
          </w:p>
        </w:tc>
        <w:tc>
          <w:tcPr>
            <w:tcW w:w="1280" w:type="dxa"/>
            <w:vAlign w:val="bottom"/>
          </w:tcPr>
          <w:p>
            <w:pPr>
              <w:spacing w:after="0"/>
              <w:rPr>
                <w:sz w:val="13"/>
                <w:szCs w:val="13"/>
                <w:color w:val="auto"/>
              </w:rPr>
            </w:pPr>
          </w:p>
        </w:tc>
      </w:tr>
      <w:tr>
        <w:trPr>
          <w:trHeight w:val="135"/>
        </w:trPr>
        <w:tc>
          <w:tcPr>
            <w:tcW w:w="7340" w:type="dxa"/>
            <w:vAlign w:val="bottom"/>
          </w:tcPr>
          <w:p>
            <w:pPr>
              <w:spacing w:after="0"/>
              <w:rPr>
                <w:sz w:val="11"/>
                <w:szCs w:val="11"/>
                <w:color w:val="auto"/>
              </w:rPr>
            </w:pPr>
          </w:p>
        </w:tc>
        <w:tc>
          <w:tcPr>
            <w:tcW w:w="1100" w:type="dxa"/>
            <w:vAlign w:val="bottom"/>
          </w:tcPr>
          <w:p>
            <w:pPr>
              <w:jc w:val="right"/>
              <w:ind w:right="88"/>
              <w:spacing w:after="0" w:line="135" w:lineRule="exact"/>
              <w:rPr>
                <w:sz w:val="20"/>
                <w:szCs w:val="20"/>
                <w:color w:val="auto"/>
              </w:rPr>
            </w:pPr>
            <w:r>
              <w:rPr>
                <w:rFonts w:ascii="Arial" w:cs="Arial" w:eastAsia="Arial" w:hAnsi="Arial"/>
                <w:sz w:val="13"/>
                <w:szCs w:val="13"/>
                <w:color w:val="auto"/>
              </w:rPr>
              <w:t>Target Bonus</w:t>
            </w:r>
          </w:p>
        </w:tc>
        <w:tc>
          <w:tcPr>
            <w:tcW w:w="1300" w:type="dxa"/>
            <w:vAlign w:val="bottom"/>
          </w:tcPr>
          <w:p>
            <w:pPr>
              <w:jc w:val="right"/>
              <w:ind w:right="90"/>
              <w:spacing w:after="0" w:line="135" w:lineRule="exact"/>
              <w:rPr>
                <w:sz w:val="20"/>
                <w:szCs w:val="20"/>
                <w:color w:val="auto"/>
              </w:rPr>
            </w:pPr>
            <w:r>
              <w:rPr>
                <w:rFonts w:ascii="Arial" w:cs="Arial" w:eastAsia="Arial" w:hAnsi="Arial"/>
                <w:sz w:val="13"/>
                <w:szCs w:val="13"/>
                <w:color w:val="auto"/>
              </w:rPr>
              <w:t>Achievement</w:t>
            </w:r>
          </w:p>
        </w:tc>
        <w:tc>
          <w:tcPr>
            <w:tcW w:w="1280" w:type="dxa"/>
            <w:vAlign w:val="bottom"/>
          </w:tcPr>
          <w:p>
            <w:pPr>
              <w:spacing w:after="0"/>
              <w:rPr>
                <w:sz w:val="11"/>
                <w:szCs w:val="11"/>
                <w:color w:val="auto"/>
              </w:rPr>
            </w:pPr>
          </w:p>
        </w:tc>
      </w:tr>
      <w:tr>
        <w:trPr>
          <w:trHeight w:val="161"/>
        </w:trPr>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color w:val="auto"/>
              </w:rPr>
              <w:t>Opportunity ($)</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Level (% of Target)</w:t>
            </w:r>
          </w:p>
        </w:tc>
        <w:tc>
          <w:tcPr>
            <w:tcW w:w="128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color w:val="auto"/>
              </w:rPr>
              <w:t>Bonus Earned ($)</w:t>
            </w:r>
          </w:p>
        </w:tc>
      </w:tr>
      <w:tr>
        <w:trPr>
          <w:trHeight w:val="285"/>
        </w:trPr>
        <w:tc>
          <w:tcPr>
            <w:tcW w:w="73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100" w:type="dxa"/>
            <w:vAlign w:val="bottom"/>
            <w:tcBorders>
              <w:bottom w:val="single" w:sz="8" w:color="CCEEF7"/>
            </w:tcBorders>
            <w:shd w:val="clear" w:color="auto" w:fill="CCEEF7"/>
          </w:tcPr>
          <w:p>
            <w:pPr>
              <w:jc w:val="right"/>
              <w:ind w:right="88"/>
              <w:spacing w:after="0"/>
              <w:rPr>
                <w:sz w:val="20"/>
                <w:szCs w:val="20"/>
                <w:color w:val="auto"/>
              </w:rPr>
            </w:pPr>
            <w:r>
              <w:rPr>
                <w:rFonts w:ascii="Arial" w:cs="Arial" w:eastAsia="Arial" w:hAnsi="Arial"/>
                <w:sz w:val="16"/>
                <w:szCs w:val="16"/>
                <w:color w:val="auto"/>
              </w:rPr>
              <w:t>$3,750,000</w:t>
            </w:r>
          </w:p>
        </w:tc>
        <w:tc>
          <w:tcPr>
            <w:tcW w:w="1300" w:type="dxa"/>
            <w:vAlign w:val="bottom"/>
            <w:tcBorders>
              <w:bottom w:val="single" w:sz="8" w:color="CCEEF7"/>
            </w:tcBorders>
            <w:shd w:val="clear" w:color="auto" w:fill="CCEEF7"/>
          </w:tcPr>
          <w:p>
            <w:pPr>
              <w:jc w:val="right"/>
              <w:ind w:right="90"/>
              <w:spacing w:after="0"/>
              <w:rPr>
                <w:sz w:val="20"/>
                <w:szCs w:val="20"/>
                <w:color w:val="auto"/>
              </w:rPr>
            </w:pPr>
            <w:r>
              <w:rPr>
                <w:rFonts w:ascii="Arial" w:cs="Arial" w:eastAsia="Arial" w:hAnsi="Arial"/>
                <w:sz w:val="16"/>
                <w:szCs w:val="16"/>
                <w:color w:val="auto"/>
              </w:rPr>
              <w:t>200%</w:t>
            </w:r>
          </w:p>
        </w:tc>
        <w:tc>
          <w:tcPr>
            <w:tcW w:w="1280" w:type="dxa"/>
            <w:vAlign w:val="bottom"/>
            <w:tcBorders>
              <w:bottom w:val="single" w:sz="8" w:color="CCEEF7"/>
            </w:tcBorders>
            <w:shd w:val="clear" w:color="auto" w:fill="CCEEF7"/>
          </w:tcPr>
          <w:p>
            <w:pPr>
              <w:jc w:val="right"/>
              <w:ind w:right="125"/>
              <w:spacing w:after="0"/>
              <w:rPr>
                <w:sz w:val="20"/>
                <w:szCs w:val="20"/>
                <w:color w:val="auto"/>
              </w:rPr>
            </w:pPr>
            <w:r>
              <w:rPr>
                <w:rFonts w:ascii="Arial" w:cs="Arial" w:eastAsia="Arial" w:hAnsi="Arial"/>
                <w:sz w:val="16"/>
                <w:szCs w:val="16"/>
                <w:color w:val="auto"/>
              </w:rPr>
              <w:t>$7,500,000</w:t>
            </w:r>
          </w:p>
        </w:tc>
      </w:tr>
      <w:tr>
        <w:trPr>
          <w:trHeight w:val="263"/>
        </w:trPr>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William Hult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color w:val="auto"/>
              </w:rPr>
              <w:t>$3,350,000</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color w:val="auto"/>
              </w:rPr>
              <w:t>200%</w:t>
            </w: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$6,700,000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001F5B"/>
        </w:rPr>
        <w:t>NEOs other than the CEO and President</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Each year the Compensation Committee approves the methodology for determining the cash bonus pool for the upcoming year for annual bonus grants to employees, including the NEOs. The bonus pool is increased or decreased based on achievement of specified Company performance goals. For 2020, Company performance was based on revenue growth versus prior year achievement. For achievement above budget (set at 11.2% revenue growth for 2020), the bonus pool increases $0.25 per $1.00 of revenue growth. For achievement below budget, the bonus pool decreases $0.13 per $1.00 of revenue missed. For revenue growth above or below budget, a straight-line interpolation between target and achievement above or below, as applicable, target amounts is used to calculate the bonus amount based on full year revenue growth. The bonus pool does not have a “cap” or “floor” for achievement above or below target. Based on the 2020 performance, the Company exceeded its budget with revenue growth of 14.5%.</w:t>
      </w:r>
    </w:p>
    <w:p>
      <w:pPr>
        <w:spacing w:after="0" w:line="4" w:lineRule="exact"/>
        <w:rPr>
          <w:sz w:val="20"/>
          <w:szCs w:val="20"/>
          <w:color w:val="auto"/>
        </w:rPr>
      </w:pPr>
    </w:p>
    <w:p>
      <w:pPr>
        <w:ind w:right="40" w:firstLine="440"/>
        <w:spacing w:after="0" w:line="281" w:lineRule="auto"/>
        <w:rPr>
          <w:sz w:val="20"/>
          <w:szCs w:val="20"/>
          <w:color w:val="auto"/>
        </w:rPr>
      </w:pPr>
      <w:r>
        <w:rPr>
          <w:rFonts w:ascii="Arial" w:cs="Arial" w:eastAsia="Arial" w:hAnsi="Arial"/>
          <w:sz w:val="16"/>
          <w:szCs w:val="16"/>
          <w:color w:val="auto"/>
        </w:rPr>
        <w:t>Each of the NEOs other than Messrs. Olesky and Hult is eligible to receive an annual cash bonus from the bonus pool as recommended by Mr. Olesky, subject to final approval by the Compensation Committee. The allocations of the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operate his business segment within its forecasted budget and, as applicable, achieve forecasted revenue projections. Despite the challenges arising out of the COVID-19 pandemic, the Company’s overall performance in fiscal 2020 was stronger than anticipated. As noted above, the Company achieved excellent financial performance outcomes, which we believe are strongly linked to the skills and dedication of our executive leadership team, including the NEOs. This resulted in a bonus pool above the target pool. In addition to the Company’s strong financial performance, individual considerations when allocating bonuses for 2020 included, but were not limited to, (i) the ability of the executive team to adapt to the Company’s new status as a public company, (ii) for Mr. Peterson, his increased responsibilities as a result of his promotion to Chief Technology Officer, (iii) for Mr. Bruni, his management of the Company’s international business, which has become an increasingly significant portion of the Company’s overall revenue, and (iv) for Mr. Warshaw, his oversight and effective management of the finance function.</w:t>
      </w:r>
    </w:p>
    <w:p>
      <w:pPr>
        <w:spacing w:after="0" w:line="7" w:lineRule="exact"/>
        <w:rPr>
          <w:sz w:val="20"/>
          <w:szCs w:val="20"/>
          <w:color w:val="auto"/>
        </w:rPr>
      </w:pPr>
    </w:p>
    <w:p>
      <w:pPr>
        <w:ind w:right="140" w:firstLine="440"/>
        <w:spacing w:after="0" w:line="260" w:lineRule="auto"/>
        <w:rPr>
          <w:sz w:val="20"/>
          <w:szCs w:val="20"/>
          <w:color w:val="auto"/>
        </w:rPr>
      </w:pPr>
      <w:r>
        <w:rPr>
          <w:rFonts w:ascii="Arial" w:cs="Arial" w:eastAsia="Arial" w:hAnsi="Arial"/>
          <w:sz w:val="18"/>
          <w:szCs w:val="18"/>
          <w:color w:val="auto"/>
        </w:rPr>
        <w:t>In light of their individual performance, the Compensation Committee approved the following bonuses for each NEO (other than Messrs. Olesky and Hult, discussed above) with respect to performance for calendar year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w:t>
            </w:r>
          </w:p>
        </w:tc>
        <w:tc>
          <w:tcPr>
            <w:tcW w:w="17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color w:val="auto"/>
              </w:rPr>
              <w:t>Bonus Earned</w:t>
            </w:r>
          </w:p>
        </w:tc>
      </w:tr>
      <w:tr>
        <w:trPr>
          <w:trHeight w:val="285"/>
        </w:trPr>
        <w:tc>
          <w:tcPr>
            <w:tcW w:w="932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Robert Warshaw</w:t>
            </w:r>
          </w:p>
        </w:tc>
        <w:tc>
          <w:tcPr>
            <w:tcW w:w="1700" w:type="dxa"/>
            <w:vAlign w:val="bottom"/>
            <w:tcBorders>
              <w:bottom w:val="single" w:sz="8" w:color="CCEEF7"/>
            </w:tcBorders>
            <w:shd w:val="clear" w:color="auto" w:fill="CCEEF7"/>
          </w:tcPr>
          <w:p>
            <w:pPr>
              <w:jc w:val="right"/>
              <w:ind w:right="144"/>
              <w:spacing w:after="0"/>
              <w:rPr>
                <w:sz w:val="20"/>
                <w:szCs w:val="20"/>
                <w:color w:val="auto"/>
              </w:rPr>
            </w:pPr>
            <w:r>
              <w:rPr>
                <w:rFonts w:ascii="Arial" w:cs="Arial" w:eastAsia="Arial" w:hAnsi="Arial"/>
                <w:sz w:val="16"/>
                <w:szCs w:val="16"/>
                <w:color w:val="auto"/>
              </w:rPr>
              <w:t>$  980,000</w:t>
            </w:r>
          </w:p>
        </w:tc>
      </w:tr>
      <w:tr>
        <w:trPr>
          <w:trHeight w:val="264"/>
        </w:trPr>
        <w:tc>
          <w:tcPr>
            <w:tcW w:w="932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700" w:type="dxa"/>
            <w:vAlign w:val="bottom"/>
          </w:tcPr>
          <w:p>
            <w:pPr>
              <w:jc w:val="right"/>
              <w:ind w:right="144"/>
              <w:spacing w:after="0"/>
              <w:rPr>
                <w:sz w:val="20"/>
                <w:szCs w:val="20"/>
                <w:color w:val="auto"/>
              </w:rPr>
            </w:pPr>
            <w:r>
              <w:rPr>
                <w:rFonts w:ascii="Arial" w:cs="Arial" w:eastAsia="Arial" w:hAnsi="Arial"/>
                <w:sz w:val="16"/>
                <w:szCs w:val="16"/>
                <w:color w:val="auto"/>
              </w:rPr>
              <w:t>1,439,709 GBP</w:t>
            </w:r>
          </w:p>
        </w:tc>
      </w:tr>
      <w:tr>
        <w:trPr>
          <w:trHeight w:val="60"/>
        </w:trPr>
        <w:tc>
          <w:tcPr>
            <w:tcW w:w="932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63"/>
        </w:trPr>
        <w:tc>
          <w:tcPr>
            <w:tcW w:w="932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1700" w:type="dxa"/>
            <w:vAlign w:val="bottom"/>
            <w:tcBorders>
              <w:bottom w:val="single" w:sz="8" w:color="auto"/>
            </w:tcBorders>
            <w:shd w:val="clear" w:color="auto" w:fill="CCEEF7"/>
          </w:tcPr>
          <w:p>
            <w:pPr>
              <w:jc w:val="right"/>
              <w:ind w:right="144"/>
              <w:spacing w:after="0"/>
              <w:rPr>
                <w:sz w:val="20"/>
                <w:szCs w:val="20"/>
                <w:color w:val="auto"/>
              </w:rPr>
            </w:pPr>
            <w:r>
              <w:rPr>
                <w:rFonts w:ascii="Arial" w:cs="Arial" w:eastAsia="Arial" w:hAnsi="Arial"/>
                <w:sz w:val="16"/>
                <w:szCs w:val="16"/>
                <w:color w:val="auto"/>
              </w:rPr>
              <w:t>$1,210,000</w:t>
            </w:r>
          </w:p>
        </w:tc>
      </w:tr>
      <w:tr>
        <w:trPr>
          <w:trHeight w:val="162"/>
        </w:trPr>
        <w:tc>
          <w:tcPr>
            <w:tcW w:w="9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271"/>
        </w:trPr>
        <w:tc>
          <w:tcPr>
            <w:tcW w:w="9320" w:type="dxa"/>
            <w:vAlign w:val="bottom"/>
          </w:tcPr>
          <w:p>
            <w:pPr>
              <w:spacing w:after="0"/>
              <w:rPr>
                <w:sz w:val="20"/>
                <w:szCs w:val="20"/>
                <w:color w:val="auto"/>
              </w:rPr>
            </w:pPr>
            <w:r>
              <w:rPr>
                <w:rFonts w:ascii="Arial" w:cs="Arial" w:eastAsia="Arial" w:hAnsi="Arial"/>
                <w:sz w:val="16"/>
                <w:szCs w:val="16"/>
                <w:color w:val="auto"/>
              </w:rPr>
              <w:t>38</w:t>
            </w:r>
          </w:p>
        </w:tc>
        <w:tc>
          <w:tcPr>
            <w:tcW w:w="1700" w:type="dxa"/>
            <w:vAlign w:val="bottom"/>
          </w:tcPr>
          <w:p>
            <w:pPr>
              <w:jc w:val="right"/>
              <w:spacing w:after="0"/>
              <w:rPr>
                <w:sz w:val="20"/>
                <w:szCs w:val="20"/>
                <w:color w:val="auto"/>
              </w:rPr>
            </w:pPr>
            <w:r>
              <w:rPr>
                <w:rFonts w:ascii="Arial" w:cs="Arial" w:eastAsia="Arial" w:hAnsi="Arial"/>
                <w:sz w:val="14"/>
                <w:szCs w:val="14"/>
                <w:color w:val="auto"/>
              </w:rPr>
              <w:t>Tradeweb</w:t>
            </w:r>
          </w:p>
        </w:tc>
      </w:tr>
    </w:tbl>
    <w:p>
      <w:pPr>
        <w:sectPr>
          <w:pgSz w:w="11900" w:h="16838" w:orient="portrait"/>
          <w:cols w:equalWidth="0" w:num="1">
            <w:col w:w="11020"/>
          </w:cols>
          <w:pgMar w:left="440" w:top="1138" w:right="439" w:bottom="1440" w:gutter="0" w:footer="0" w:header="0"/>
        </w:sectPr>
      </w:pPr>
    </w:p>
    <w:bookmarkStart w:id="41" w:name="page42"/>
    <w:bookmarkEnd w:id="41"/>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We believe that the above annual cash bonus programs are important incentive tools for motivating achievement of the Company’s goals for the forthcoming fiscal year. We do not provide for guaranteed bonus payouts.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Long-Term Equity Incentives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001F5B"/>
        </w:rPr>
        <w:t>Omnibus Equity Incentive Plan</w:t>
      </w:r>
    </w:p>
    <w:p>
      <w:pPr>
        <w:spacing w:after="0" w:line="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main objectives of our long-term equity incentive program are to: (1) incentivize our executives to work toward the achievement of both our short-and long-term performance goals, (2) provide competitive compensation opportunities in order to attract and retain key individuals, (3) promote retention of executives through multi-year vesting periods, and (4) create strong alignment with stockholders’ interests by fostering an “ownership mentality” among our executives. We believe these objectives are accomplished through the equity compensation program described below.</w:t>
      </w:r>
    </w:p>
    <w:p>
      <w:pPr>
        <w:spacing w:after="0" w:line="2" w:lineRule="exact"/>
        <w:rPr>
          <w:sz w:val="20"/>
          <w:szCs w:val="20"/>
          <w:color w:val="auto"/>
        </w:rPr>
      </w:pPr>
    </w:p>
    <w:p>
      <w:pPr>
        <w:ind w:right="180" w:firstLine="440"/>
        <w:spacing w:after="0" w:line="265" w:lineRule="auto"/>
        <w:rPr>
          <w:sz w:val="20"/>
          <w:szCs w:val="20"/>
          <w:color w:val="auto"/>
        </w:rPr>
      </w:pPr>
      <w:r>
        <w:rPr>
          <w:rFonts w:ascii="Arial" w:cs="Arial" w:eastAsia="Arial" w:hAnsi="Arial"/>
          <w:sz w:val="17"/>
          <w:szCs w:val="17"/>
          <w:color w:val="auto"/>
        </w:rPr>
        <w:t>Each year the Compensation Committee establishes an aggregate pool for equity awards to be granted to employees for that year. The Compensation Committee, in consultation with the Chief Executive Officer, then allocates awards under that pool to the Chief Executive Officer and President based on the executive’s performance for the prior year. For all other NEOs, allocations are made based on the recommendation of the Chief Executive Officer based on the executive’s performance for the prior year, but are subject to Compensation Committee approval in all cases. For 2020, these awards included performance-based restricted stock units (“PRSUs”) and time-vesting restricted stock units (“RSUs”) under the Tradeweb Markets Inc. 2019 Omnibus Equity Incentive Plan (the “Equity Plan”), the material terms of which are described below.</w:t>
      </w:r>
    </w:p>
    <w:p>
      <w:pPr>
        <w:spacing w:after="0" w:line="1" w:lineRule="exact"/>
        <w:rPr>
          <w:sz w:val="20"/>
          <w:szCs w:val="20"/>
          <w:color w:val="auto"/>
        </w:rPr>
      </w:pPr>
    </w:p>
    <w:p>
      <w:pPr>
        <w:ind w:right="60" w:firstLine="440"/>
        <w:spacing w:after="0" w:line="281" w:lineRule="auto"/>
        <w:rPr>
          <w:sz w:val="20"/>
          <w:szCs w:val="20"/>
          <w:color w:val="auto"/>
        </w:rPr>
      </w:pPr>
      <w:r>
        <w:rPr>
          <w:rFonts w:ascii="Arial" w:cs="Arial" w:eastAsia="Arial" w:hAnsi="Arial"/>
          <w:sz w:val="16"/>
          <w:szCs w:val="16"/>
          <w:color w:val="auto"/>
        </w:rPr>
        <w:t>With respect to the PRSUs, each year the Compensation Committee establishes performance goals for the applicable plan year and the number of PRSUs earned is based on the extent to which the performance goals are achieved (the “Performance Modifier”). The Performance Modifier is based on Company performance for that initial year of grant. Once the Performance Modifier is set and the award is earned, there is a two year additional vesting period, with the final vesting date being on January 1 following the third calendar year in which the award is first outstanding. The Performance Modifier is applied to all vested PRSUs at the time of settlement, which occurs on the first trading day following vesting of the award.</w:t>
      </w:r>
    </w:p>
    <w:p>
      <w:pPr>
        <w:spacing w:after="0" w:line="3"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The Performance Modifier for PRSU grants made in calendar year 2020 was based 50% on revenue growth and 50% on EBITDA margin. The table below displays the relevant EBITDA margin and revenue growth goals for calendar year 2020, and potential achievement of a Performance Modifier ranging from 0% to 200%. We believe that EBITDA margin and revenue growth are the most precise and reliable indicators of Company performance, and therefore consider them the most relevant for purposes of establishing performance goals for executive compensation. Our intention is to establish rigorous performance goals for the Company set to motivate the executives and drive performance above budget. The maximum performance goals for PRSUs were set at a level that represented significant outperformance versus budget, while thresholds were set at a level that still represented meaningful year-over-year growth. These performance goals are set based on a one-year period to ensure executives are motivated on a year-to-year basis. The Compensation Committee has determined that it would be difficult to set effective goals more than one year out due to the nature of the Company’s growth and expansion of the business into other markets (including internationally). Setting performance goals each year provides the Company flexibility to alter thresholds each year based on outperformance of budget, to reflect changing needs and growth of the Company, and to ensure executives remain engaged and motivated. While financial performance is measured on a one-year period, awards still continue to vest for a two-year period after financial performance is determined and remain tied to our stock performance over that time period, ensuring that executives’ interests are still aligned with those of our stockholders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39</w:t>
            </w:r>
          </w:p>
        </w:tc>
      </w:tr>
    </w:tbl>
    <w:p>
      <w:pPr>
        <w:sectPr>
          <w:pgSz w:w="11900" w:h="16838" w:orient="portrait"/>
          <w:cols w:equalWidth="0" w:num="1">
            <w:col w:w="11020"/>
          </w:cols>
          <w:pgMar w:left="440" w:top="1138" w:right="4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49"/>
        </w:trPr>
        <w:tc>
          <w:tcPr>
            <w:tcW w:w="6880" w:type="dxa"/>
            <w:vAlign w:val="bottom"/>
          </w:tcPr>
          <w:p>
            <w:pPr>
              <w:spacing w:after="0"/>
              <w:rPr>
                <w:sz w:val="13"/>
                <w:szCs w:val="13"/>
                <w:color w:val="auto"/>
              </w:rPr>
            </w:pPr>
          </w:p>
        </w:tc>
        <w:tc>
          <w:tcPr>
            <w:tcW w:w="1500" w:type="dxa"/>
            <w:vAlign w:val="bottom"/>
          </w:tcPr>
          <w:p>
            <w:pPr>
              <w:jc w:val="right"/>
              <w:ind w:right="68"/>
              <w:spacing w:after="0"/>
              <w:rPr>
                <w:sz w:val="20"/>
                <w:szCs w:val="20"/>
                <w:color w:val="auto"/>
              </w:rPr>
            </w:pPr>
            <w:r>
              <w:rPr>
                <w:rFonts w:ascii="Arial" w:cs="Arial" w:eastAsia="Arial" w:hAnsi="Arial"/>
                <w:sz w:val="13"/>
                <w:szCs w:val="13"/>
                <w:color w:val="auto"/>
              </w:rPr>
              <w:t>Revenue Growth</w:t>
            </w:r>
          </w:p>
        </w:tc>
        <w:tc>
          <w:tcPr>
            <w:tcW w:w="1340" w:type="dxa"/>
            <w:vAlign w:val="bottom"/>
          </w:tcPr>
          <w:p>
            <w:pPr>
              <w:jc w:val="right"/>
              <w:ind w:right="8"/>
              <w:spacing w:after="0"/>
              <w:rPr>
                <w:sz w:val="20"/>
                <w:szCs w:val="20"/>
                <w:color w:val="auto"/>
              </w:rPr>
            </w:pPr>
            <w:r>
              <w:rPr>
                <w:rFonts w:ascii="Arial" w:cs="Arial" w:eastAsia="Arial" w:hAnsi="Arial"/>
                <w:sz w:val="13"/>
                <w:szCs w:val="13"/>
                <w:color w:val="auto"/>
              </w:rPr>
              <w:t>EBITDA Margin</w:t>
            </w:r>
          </w:p>
        </w:tc>
        <w:tc>
          <w:tcPr>
            <w:tcW w:w="1300" w:type="dxa"/>
            <w:vAlign w:val="bottom"/>
          </w:tcPr>
          <w:p>
            <w:pPr>
              <w:spacing w:after="0"/>
              <w:rPr>
                <w:sz w:val="13"/>
                <w:szCs w:val="13"/>
                <w:color w:val="auto"/>
              </w:rPr>
            </w:pPr>
          </w:p>
        </w:tc>
      </w:tr>
      <w:tr>
        <w:trPr>
          <w:trHeight w:val="135"/>
        </w:trPr>
        <w:tc>
          <w:tcPr>
            <w:tcW w:w="6880" w:type="dxa"/>
            <w:vAlign w:val="bottom"/>
          </w:tcPr>
          <w:p>
            <w:pPr>
              <w:spacing w:after="0"/>
              <w:rPr>
                <w:sz w:val="11"/>
                <w:szCs w:val="11"/>
                <w:color w:val="auto"/>
              </w:rPr>
            </w:pPr>
          </w:p>
        </w:tc>
        <w:tc>
          <w:tcPr>
            <w:tcW w:w="1500" w:type="dxa"/>
            <w:vAlign w:val="bottom"/>
          </w:tcPr>
          <w:p>
            <w:pPr>
              <w:jc w:val="right"/>
              <w:ind w:right="68"/>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50% of Performance</w:t>
            </w:r>
          </w:p>
        </w:tc>
        <w:tc>
          <w:tcPr>
            <w:tcW w:w="1340" w:type="dxa"/>
            <w:vAlign w:val="bottom"/>
          </w:tcPr>
          <w:p>
            <w:pPr>
              <w:jc w:val="right"/>
              <w:ind w:right="8"/>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50% of Performance</w:t>
            </w:r>
          </w:p>
        </w:tc>
        <w:tc>
          <w:tcPr>
            <w:tcW w:w="1300" w:type="dxa"/>
            <w:vAlign w:val="bottom"/>
          </w:tcPr>
          <w:p>
            <w:pPr>
              <w:jc w:val="right"/>
              <w:ind w:right="106"/>
              <w:spacing w:after="0" w:line="135" w:lineRule="exact"/>
              <w:rPr>
                <w:sz w:val="20"/>
                <w:szCs w:val="20"/>
                <w:color w:val="auto"/>
              </w:rPr>
            </w:pPr>
            <w:r>
              <w:rPr>
                <w:rFonts w:ascii="Arial" w:cs="Arial" w:eastAsia="Arial" w:hAnsi="Arial"/>
                <w:sz w:val="13"/>
                <w:szCs w:val="13"/>
                <w:color w:val="auto"/>
                <w:w w:val="90"/>
              </w:rPr>
              <w:t>Percentage of Target</w:t>
            </w:r>
          </w:p>
        </w:tc>
      </w:tr>
      <w:tr>
        <w:trPr>
          <w:trHeight w:val="175"/>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Level of Performance Achieved</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i w:val="1"/>
                <w:iCs w:val="1"/>
                <w:color w:val="auto"/>
              </w:rPr>
              <w:t>Modifier)</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i w:val="1"/>
                <w:iCs w:val="1"/>
                <w:color w:val="auto"/>
              </w:rPr>
              <w:t>Modifier</w:t>
            </w:r>
            <w:r>
              <w:rPr>
                <w:rFonts w:ascii="Arial" w:cs="Arial" w:eastAsia="Arial" w:hAnsi="Arial"/>
                <w:sz w:val="13"/>
                <w:szCs w:val="13"/>
                <w:color w:val="auto"/>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color w:val="auto"/>
              </w:rPr>
              <w:t>PRSUs Earned</w:t>
            </w:r>
            <w:r>
              <w:rPr>
                <w:rFonts w:ascii="Arial" w:cs="Arial" w:eastAsia="Arial" w:hAnsi="Arial"/>
                <w:sz w:val="10"/>
                <w:szCs w:val="10"/>
                <w:color w:val="auto"/>
              </w:rPr>
              <w:t>(1)</w:t>
            </w:r>
          </w:p>
        </w:tc>
      </w:tr>
      <w:tr>
        <w:trPr>
          <w:trHeight w:val="285"/>
        </w:trPr>
        <w:tc>
          <w:tcPr>
            <w:tcW w:w="688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i w:val="1"/>
                <w:iCs w:val="1"/>
                <w:color w:val="auto"/>
              </w:rPr>
              <w:t>Threshold</w:t>
            </w:r>
          </w:p>
        </w:tc>
        <w:tc>
          <w:tcPr>
            <w:tcW w:w="1500" w:type="dxa"/>
            <w:vAlign w:val="bottom"/>
            <w:tcBorders>
              <w:bottom w:val="single" w:sz="8" w:color="CCEEF7"/>
            </w:tcBorders>
            <w:shd w:val="clear" w:color="auto" w:fill="CCEEF7"/>
          </w:tcPr>
          <w:p>
            <w:pPr>
              <w:jc w:val="right"/>
              <w:ind w:right="68"/>
              <w:spacing w:after="0"/>
              <w:rPr>
                <w:sz w:val="20"/>
                <w:szCs w:val="20"/>
                <w:color w:val="auto"/>
              </w:rPr>
            </w:pPr>
            <w:r>
              <w:rPr>
                <w:rFonts w:ascii="Arial" w:cs="Arial" w:eastAsia="Arial" w:hAnsi="Arial"/>
                <w:sz w:val="16"/>
                <w:szCs w:val="16"/>
                <w:color w:val="auto"/>
              </w:rPr>
              <w:t>3.3%</w:t>
            </w:r>
          </w:p>
        </w:tc>
        <w:tc>
          <w:tcPr>
            <w:tcW w:w="1340" w:type="dxa"/>
            <w:vAlign w:val="bottom"/>
            <w:tcBorders>
              <w:bottom w:val="single" w:sz="8" w:color="CCEEF7"/>
            </w:tcBorders>
            <w:shd w:val="clear" w:color="auto" w:fill="CCEEF7"/>
          </w:tcPr>
          <w:p>
            <w:pPr>
              <w:jc w:val="right"/>
              <w:ind w:right="8"/>
              <w:spacing w:after="0"/>
              <w:rPr>
                <w:sz w:val="20"/>
                <w:szCs w:val="20"/>
                <w:color w:val="auto"/>
              </w:rPr>
            </w:pPr>
            <w:r>
              <w:rPr>
                <w:rFonts w:ascii="Arial" w:cs="Arial" w:eastAsia="Arial" w:hAnsi="Arial"/>
                <w:sz w:val="16"/>
                <w:szCs w:val="16"/>
                <w:color w:val="auto"/>
              </w:rPr>
              <w:t>43.6%</w:t>
            </w:r>
          </w:p>
        </w:tc>
        <w:tc>
          <w:tcPr>
            <w:tcW w:w="1300" w:type="dxa"/>
            <w:vAlign w:val="bottom"/>
            <w:tcBorders>
              <w:bottom w:val="single" w:sz="8" w:color="CCEEF7"/>
            </w:tcBorders>
            <w:shd w:val="clear" w:color="auto" w:fill="CCEEF7"/>
          </w:tcPr>
          <w:p>
            <w:pPr>
              <w:jc w:val="right"/>
              <w:ind w:right="106"/>
              <w:spacing w:after="0"/>
              <w:rPr>
                <w:sz w:val="20"/>
                <w:szCs w:val="20"/>
                <w:color w:val="auto"/>
              </w:rPr>
            </w:pPr>
            <w:r>
              <w:rPr>
                <w:rFonts w:ascii="Arial" w:cs="Arial" w:eastAsia="Arial" w:hAnsi="Arial"/>
                <w:sz w:val="16"/>
                <w:szCs w:val="16"/>
                <w:color w:val="auto"/>
              </w:rPr>
              <w:t>0%</w:t>
            </w:r>
          </w:p>
        </w:tc>
      </w:tr>
      <w:tr>
        <w:trPr>
          <w:trHeight w:val="264"/>
        </w:trPr>
        <w:tc>
          <w:tcPr>
            <w:tcW w:w="6880" w:type="dxa"/>
            <w:vAlign w:val="bottom"/>
          </w:tcPr>
          <w:p>
            <w:pPr>
              <w:ind w:left="60"/>
              <w:spacing w:after="0"/>
              <w:rPr>
                <w:sz w:val="20"/>
                <w:szCs w:val="20"/>
                <w:color w:val="auto"/>
              </w:rPr>
            </w:pPr>
            <w:r>
              <w:rPr>
                <w:rFonts w:ascii="Arial" w:cs="Arial" w:eastAsia="Arial" w:hAnsi="Arial"/>
                <w:sz w:val="16"/>
                <w:szCs w:val="16"/>
                <w:i w:val="1"/>
                <w:iCs w:val="1"/>
                <w:color w:val="auto"/>
              </w:rPr>
              <w:t>Target</w:t>
            </w:r>
          </w:p>
        </w:tc>
        <w:tc>
          <w:tcPr>
            <w:tcW w:w="1500" w:type="dxa"/>
            <w:vAlign w:val="bottom"/>
          </w:tcPr>
          <w:p>
            <w:pPr>
              <w:jc w:val="right"/>
              <w:ind w:right="68"/>
              <w:spacing w:after="0"/>
              <w:rPr>
                <w:sz w:val="20"/>
                <w:szCs w:val="20"/>
                <w:color w:val="auto"/>
              </w:rPr>
            </w:pPr>
            <w:r>
              <w:rPr>
                <w:rFonts w:ascii="Arial" w:cs="Arial" w:eastAsia="Arial" w:hAnsi="Arial"/>
                <w:sz w:val="16"/>
                <w:szCs w:val="16"/>
                <w:color w:val="auto"/>
              </w:rPr>
              <w:t>11.2%</w:t>
            </w:r>
          </w:p>
        </w:tc>
        <w:tc>
          <w:tcPr>
            <w:tcW w:w="1340" w:type="dxa"/>
            <w:vAlign w:val="bottom"/>
          </w:tcPr>
          <w:p>
            <w:pPr>
              <w:jc w:val="right"/>
              <w:ind w:right="8"/>
              <w:spacing w:after="0"/>
              <w:rPr>
                <w:sz w:val="20"/>
                <w:szCs w:val="20"/>
                <w:color w:val="auto"/>
              </w:rPr>
            </w:pPr>
            <w:r>
              <w:rPr>
                <w:rFonts w:ascii="Arial" w:cs="Arial" w:eastAsia="Arial" w:hAnsi="Arial"/>
                <w:sz w:val="16"/>
                <w:szCs w:val="16"/>
                <w:color w:val="auto"/>
              </w:rPr>
              <w:t>47.1%</w:t>
            </w:r>
          </w:p>
        </w:tc>
        <w:tc>
          <w:tcPr>
            <w:tcW w:w="1300" w:type="dxa"/>
            <w:vAlign w:val="bottom"/>
          </w:tcPr>
          <w:p>
            <w:pPr>
              <w:jc w:val="right"/>
              <w:ind w:right="106"/>
              <w:spacing w:after="0"/>
              <w:rPr>
                <w:sz w:val="20"/>
                <w:szCs w:val="20"/>
                <w:color w:val="auto"/>
              </w:rPr>
            </w:pPr>
            <w:r>
              <w:rPr>
                <w:rFonts w:ascii="Arial" w:cs="Arial" w:eastAsia="Arial" w:hAnsi="Arial"/>
                <w:sz w:val="16"/>
                <w:szCs w:val="16"/>
                <w:color w:val="auto"/>
              </w:rPr>
              <w:t>100%</w:t>
            </w:r>
          </w:p>
        </w:tc>
      </w:tr>
      <w:tr>
        <w:trPr>
          <w:trHeight w:val="60"/>
        </w:trPr>
        <w:tc>
          <w:tcPr>
            <w:tcW w:w="68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63"/>
        </w:trPr>
        <w:tc>
          <w:tcPr>
            <w:tcW w:w="688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i w:val="1"/>
                <w:iCs w:val="1"/>
                <w:color w:val="auto"/>
              </w:rPr>
              <w:t>Maximum</w:t>
            </w:r>
          </w:p>
        </w:tc>
        <w:tc>
          <w:tcPr>
            <w:tcW w:w="1500" w:type="dxa"/>
            <w:vAlign w:val="bottom"/>
            <w:tcBorders>
              <w:bottom w:val="single" w:sz="8" w:color="auto"/>
            </w:tcBorders>
            <w:shd w:val="clear" w:color="auto" w:fill="CCEEF7"/>
          </w:tcPr>
          <w:p>
            <w:pPr>
              <w:jc w:val="right"/>
              <w:ind w:right="68"/>
              <w:spacing w:after="0"/>
              <w:rPr>
                <w:sz w:val="20"/>
                <w:szCs w:val="20"/>
                <w:color w:val="auto"/>
              </w:rPr>
            </w:pPr>
            <w:r>
              <w:rPr>
                <w:rFonts w:ascii="Arial" w:cs="Arial" w:eastAsia="Arial" w:hAnsi="Arial"/>
                <w:sz w:val="16"/>
                <w:szCs w:val="16"/>
                <w:color w:val="auto"/>
              </w:rPr>
              <w:t>13.2%</w:t>
            </w:r>
          </w:p>
        </w:tc>
        <w:tc>
          <w:tcPr>
            <w:tcW w:w="1340" w:type="dxa"/>
            <w:vAlign w:val="bottom"/>
            <w:tcBorders>
              <w:bottom w:val="single" w:sz="8" w:color="auto"/>
            </w:tcBorders>
            <w:shd w:val="clear" w:color="auto" w:fill="CCEEF7"/>
          </w:tcPr>
          <w:p>
            <w:pPr>
              <w:jc w:val="right"/>
              <w:ind w:right="8"/>
              <w:spacing w:after="0"/>
              <w:rPr>
                <w:sz w:val="20"/>
                <w:szCs w:val="20"/>
                <w:color w:val="auto"/>
              </w:rPr>
            </w:pPr>
            <w:r>
              <w:rPr>
                <w:rFonts w:ascii="Arial" w:cs="Arial" w:eastAsia="Arial" w:hAnsi="Arial"/>
                <w:sz w:val="16"/>
                <w:szCs w:val="16"/>
                <w:color w:val="auto"/>
              </w:rPr>
              <w:t>48.1%</w:t>
            </w:r>
          </w:p>
        </w:tc>
        <w:tc>
          <w:tcPr>
            <w:tcW w:w="1300" w:type="dxa"/>
            <w:vAlign w:val="bottom"/>
            <w:tcBorders>
              <w:bottom w:val="single" w:sz="8" w:color="auto"/>
            </w:tcBorders>
            <w:shd w:val="clear" w:color="auto" w:fill="CCEEF7"/>
          </w:tcPr>
          <w:p>
            <w:pPr>
              <w:jc w:val="right"/>
              <w:ind w:right="106"/>
              <w:spacing w:after="0"/>
              <w:rPr>
                <w:sz w:val="20"/>
                <w:szCs w:val="20"/>
                <w:color w:val="auto"/>
              </w:rPr>
            </w:pPr>
            <w:r>
              <w:rPr>
                <w:rFonts w:ascii="Arial" w:cs="Arial" w:eastAsia="Arial" w:hAnsi="Arial"/>
                <w:sz w:val="16"/>
                <w:szCs w:val="16"/>
                <w:color w:val="auto"/>
              </w:rPr>
              <w:t>200%</w:t>
            </w:r>
          </w:p>
        </w:tc>
      </w:tr>
    </w:tbl>
    <w:p>
      <w:pPr>
        <w:spacing w:after="0" w:line="248" w:lineRule="exact"/>
        <w:rPr>
          <w:sz w:val="20"/>
          <w:szCs w:val="20"/>
          <w:color w:val="auto"/>
        </w:rPr>
      </w:pPr>
    </w:p>
    <w:p>
      <w:pPr>
        <w:ind w:left="424" w:right="40" w:hanging="424"/>
        <w:spacing w:after="0" w:line="258" w:lineRule="auto"/>
        <w:tabs>
          <w:tab w:leader="none" w:pos="4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actual performance achieved between goals, percentage of target PRSUs earned is calculated on a straight-line interpolation basis between threshold, target, and maximum performance as applicable.</w:t>
      </w:r>
    </w:p>
    <w:p>
      <w:pPr>
        <w:spacing w:after="0" w:line="175" w:lineRule="exact"/>
        <w:rPr>
          <w:sz w:val="20"/>
          <w:szCs w:val="20"/>
          <w:color w:val="auto"/>
        </w:rPr>
      </w:pPr>
    </w:p>
    <w:p>
      <w:pPr>
        <w:ind w:left="4" w:right="240" w:firstLine="440"/>
        <w:spacing w:after="0" w:line="258" w:lineRule="auto"/>
        <w:rPr>
          <w:sz w:val="20"/>
          <w:szCs w:val="20"/>
          <w:color w:val="auto"/>
        </w:rPr>
      </w:pPr>
      <w:r>
        <w:rPr>
          <w:rFonts w:ascii="Arial" w:cs="Arial" w:eastAsia="Arial" w:hAnsi="Arial"/>
          <w:sz w:val="18"/>
          <w:szCs w:val="18"/>
          <w:color w:val="auto"/>
        </w:rPr>
        <w:t>Based on the 2020 performance, as confirmed by the Compensation Committee, the Company achieved revenue growth of 14.5% and EBITDA margin of 48.5%, resulting in the maximum Performance Modifier of 200% for the 2020 PRSUs.</w:t>
      </w:r>
    </w:p>
    <w:p>
      <w:pPr>
        <w:spacing w:after="0" w:line="1" w:lineRule="exact"/>
        <w:rPr>
          <w:sz w:val="20"/>
          <w:szCs w:val="20"/>
          <w:color w:val="auto"/>
        </w:rPr>
      </w:pPr>
    </w:p>
    <w:p>
      <w:pPr>
        <w:ind w:left="4" w:right="80" w:firstLine="440"/>
        <w:spacing w:after="0" w:line="250" w:lineRule="auto"/>
        <w:rPr>
          <w:sz w:val="20"/>
          <w:szCs w:val="20"/>
          <w:color w:val="auto"/>
        </w:rPr>
      </w:pPr>
      <w:r>
        <w:rPr>
          <w:rFonts w:ascii="Arial" w:cs="Arial" w:eastAsia="Arial" w:hAnsi="Arial"/>
          <w:sz w:val="18"/>
          <w:szCs w:val="18"/>
          <w:color w:val="auto"/>
        </w:rPr>
        <w:t>PRSUs granted to the NEOs are settled exclusively in shares, less any withholding and employment taxes associated with the settlement of the PRSUs. In addition, the PRSUs accumulate dividend equivalent rights in respect of any dividends 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are added to, and are paid at the same time and in the same form as, payments in respect of the related PRSUs as set forth above.</w:t>
      </w:r>
    </w:p>
    <w:p>
      <w:pPr>
        <w:spacing w:after="0" w:line="2" w:lineRule="exact"/>
        <w:rPr>
          <w:sz w:val="20"/>
          <w:szCs w:val="20"/>
          <w:color w:val="auto"/>
        </w:rPr>
      </w:pPr>
    </w:p>
    <w:p>
      <w:pPr>
        <w:jc w:val="both"/>
        <w:ind w:left="4" w:right="240" w:firstLine="440"/>
        <w:spacing w:after="0" w:line="250" w:lineRule="auto"/>
        <w:rPr>
          <w:sz w:val="20"/>
          <w:szCs w:val="20"/>
          <w:color w:val="auto"/>
        </w:rPr>
      </w:pPr>
      <w:r>
        <w:rPr>
          <w:rFonts w:ascii="Arial" w:cs="Arial" w:eastAsia="Arial" w:hAnsi="Arial"/>
          <w:sz w:val="18"/>
          <w:szCs w:val="18"/>
          <w:color w:val="auto"/>
        </w:rPr>
        <w:t>The RSUs vest annually over three years (1/3 per year) from the date of grant based on the executive’s continued employment on the applicable vesting date. The RSUs also settle in shares on the first trading date following the date of vesting and accumulate dividend equivalent rights from the date of grant.</w:t>
      </w:r>
    </w:p>
    <w:p>
      <w:pPr>
        <w:spacing w:after="0" w:line="1" w:lineRule="exact"/>
        <w:rPr>
          <w:sz w:val="20"/>
          <w:szCs w:val="20"/>
          <w:color w:val="auto"/>
        </w:rPr>
      </w:pPr>
    </w:p>
    <w:p>
      <w:pPr>
        <w:ind w:left="4" w:right="140" w:firstLine="440"/>
        <w:spacing w:after="0" w:line="302" w:lineRule="auto"/>
        <w:rPr>
          <w:sz w:val="20"/>
          <w:szCs w:val="20"/>
          <w:color w:val="auto"/>
        </w:rPr>
      </w:pPr>
      <w:r>
        <w:rPr>
          <w:rFonts w:ascii="Arial" w:cs="Arial" w:eastAsia="Arial" w:hAnsi="Arial"/>
          <w:sz w:val="16"/>
          <w:szCs w:val="16"/>
          <w:color w:val="auto"/>
        </w:rPr>
        <w:t>The table below sets forth the PRSUs and RSUs granted to the NEOs in 2020. Executives were awarded a grant value by the Compensation Committee, as described above, which was split evenly between PRSUs and RSUs based on the closing price on the date prior to the date of grant. The PRSUs listed below are based on a 100% Performance Modifier, which was the targeted achievement at the time of grant.</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3"/>
                <w:szCs w:val="13"/>
                <w:color w:val="auto"/>
                <w:w w:val="93"/>
              </w:rPr>
              <w:t>Aggregate Value of</w:t>
            </w:r>
          </w:p>
        </w:tc>
      </w:tr>
      <w:tr>
        <w:trPr>
          <w:trHeight w:val="136"/>
        </w:trPr>
        <w:tc>
          <w:tcPr>
            <w:tcW w:w="6100" w:type="dxa"/>
            <w:vAlign w:val="bottom"/>
          </w:tcPr>
          <w:p>
            <w:pPr>
              <w:spacing w:after="0"/>
              <w:rPr>
                <w:sz w:val="11"/>
                <w:szCs w:val="11"/>
                <w:color w:val="auto"/>
              </w:rPr>
            </w:pPr>
          </w:p>
        </w:tc>
        <w:tc>
          <w:tcPr>
            <w:tcW w:w="740" w:type="dxa"/>
            <w:vAlign w:val="bottom"/>
          </w:tcPr>
          <w:p>
            <w:pPr>
              <w:jc w:val="right"/>
              <w:ind w:right="4"/>
              <w:spacing w:after="0" w:line="136" w:lineRule="exact"/>
              <w:rPr>
                <w:sz w:val="20"/>
                <w:szCs w:val="20"/>
                <w:color w:val="auto"/>
              </w:rPr>
            </w:pPr>
            <w:r>
              <w:rPr>
                <w:rFonts w:ascii="Arial" w:cs="Arial" w:eastAsia="Arial" w:hAnsi="Arial"/>
                <w:sz w:val="13"/>
                <w:szCs w:val="13"/>
                <w:color w:val="auto"/>
              </w:rPr>
              <w:t>2020</w:t>
            </w:r>
          </w:p>
        </w:tc>
        <w:tc>
          <w:tcPr>
            <w:tcW w:w="116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5"/>
              </w:rPr>
              <w:t>Value of PRSUs at</w:t>
            </w:r>
          </w:p>
        </w:tc>
        <w:tc>
          <w:tcPr>
            <w:tcW w:w="720" w:type="dxa"/>
            <w:vAlign w:val="bottom"/>
          </w:tcPr>
          <w:p>
            <w:pPr>
              <w:jc w:val="right"/>
              <w:ind w:right="44"/>
              <w:spacing w:after="0" w:line="136" w:lineRule="exact"/>
              <w:rPr>
                <w:sz w:val="20"/>
                <w:szCs w:val="20"/>
                <w:color w:val="auto"/>
              </w:rPr>
            </w:pPr>
            <w:r>
              <w:rPr>
                <w:rFonts w:ascii="Arial" w:cs="Arial" w:eastAsia="Arial" w:hAnsi="Arial"/>
                <w:sz w:val="13"/>
                <w:szCs w:val="13"/>
                <w:color w:val="auto"/>
              </w:rPr>
              <w:t>2020</w:t>
            </w:r>
          </w:p>
        </w:tc>
        <w:tc>
          <w:tcPr>
            <w:tcW w:w="1080" w:type="dxa"/>
            <w:vAlign w:val="bottom"/>
            <w:gridSpan w:val="2"/>
          </w:tcPr>
          <w:p>
            <w:pPr>
              <w:ind w:left="120"/>
              <w:spacing w:after="0" w:line="136" w:lineRule="exact"/>
              <w:rPr>
                <w:sz w:val="20"/>
                <w:szCs w:val="20"/>
                <w:color w:val="auto"/>
              </w:rPr>
            </w:pPr>
            <w:r>
              <w:rPr>
                <w:rFonts w:ascii="Arial" w:cs="Arial" w:eastAsia="Arial" w:hAnsi="Arial"/>
                <w:sz w:val="13"/>
                <w:szCs w:val="13"/>
                <w:color w:val="auto"/>
                <w:w w:val="94"/>
              </w:rPr>
              <w:t>Value of RSUs at</w:t>
            </w:r>
          </w:p>
        </w:tc>
        <w:tc>
          <w:tcPr>
            <w:tcW w:w="1220" w:type="dxa"/>
            <w:vAlign w:val="bottom"/>
            <w:gridSpan w:val="2"/>
          </w:tcPr>
          <w:p>
            <w:pPr>
              <w:jc w:val="right"/>
              <w:ind w:right="79"/>
              <w:spacing w:after="0" w:line="136" w:lineRule="exact"/>
              <w:rPr>
                <w:sz w:val="20"/>
                <w:szCs w:val="20"/>
                <w:color w:val="auto"/>
              </w:rPr>
            </w:pPr>
            <w:r>
              <w:rPr>
                <w:rFonts w:ascii="Arial" w:cs="Arial" w:eastAsia="Arial" w:hAnsi="Arial"/>
                <w:sz w:val="13"/>
                <w:szCs w:val="13"/>
                <w:color w:val="auto"/>
                <w:w w:val="97"/>
              </w:rPr>
              <w:t>PRSUs &amp; RSUs at</w:t>
            </w:r>
          </w:p>
        </w:tc>
      </w:tr>
      <w:tr>
        <w:trPr>
          <w:trHeight w:val="174"/>
        </w:trPr>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color w:val="auto"/>
              </w:rPr>
              <w:t>PRSUs</w:t>
            </w:r>
            <w:r>
              <w:rPr>
                <w:rFonts w:ascii="Arial" w:cs="Arial" w:eastAsia="Arial" w:hAnsi="Arial"/>
                <w:sz w:val="10"/>
                <w:szCs w:val="10"/>
                <w:color w:val="auto"/>
              </w:rPr>
              <w:t>(1)</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Time of Grant</w:t>
            </w:r>
            <w:r>
              <w:rPr>
                <w:rFonts w:ascii="Arial" w:cs="Arial" w:eastAsia="Arial" w:hAnsi="Arial"/>
                <w:sz w:val="10"/>
                <w:szCs w:val="10"/>
                <w:color w:val="auto"/>
              </w:rPr>
              <w:t>(2)</w:t>
            </w: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color w:val="auto"/>
              </w:rPr>
              <w:t>RSUs</w:t>
            </w:r>
            <w:r>
              <w:rPr>
                <w:rFonts w:ascii="Arial" w:cs="Arial" w:eastAsia="Arial" w:hAnsi="Arial"/>
                <w:sz w:val="10"/>
                <w:szCs w:val="10"/>
                <w:color w:val="auto"/>
              </w:rPr>
              <w:t>(1)</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w w:val="98"/>
              </w:rPr>
              <w:t>Time of Grant</w:t>
            </w:r>
            <w:r>
              <w:rPr>
                <w:rFonts w:ascii="Arial" w:cs="Arial" w:eastAsia="Arial" w:hAnsi="Arial"/>
                <w:sz w:val="10"/>
                <w:szCs w:val="10"/>
                <w:color w:val="auto"/>
                <w:w w:val="98"/>
              </w:rPr>
              <w:t>(2)</w:t>
            </w: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color w:val="auto"/>
              </w:rPr>
              <w:t>Time of Grant</w:t>
            </w:r>
            <w:r>
              <w:rPr>
                <w:rFonts w:ascii="Arial" w:cs="Arial" w:eastAsia="Arial" w:hAnsi="Arial"/>
                <w:sz w:val="10"/>
                <w:szCs w:val="10"/>
                <w:color w:val="auto"/>
              </w:rPr>
              <w:t>(2)</w:t>
            </w:r>
          </w:p>
        </w:tc>
      </w:tr>
      <w:tr>
        <w:trPr>
          <w:trHeight w:val="285"/>
        </w:trPr>
        <w:tc>
          <w:tcPr>
            <w:tcW w:w="61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740" w:type="dxa"/>
            <w:vAlign w:val="bottom"/>
            <w:tcBorders>
              <w:bottom w:val="single" w:sz="8" w:color="CCEEF7"/>
            </w:tcBorders>
            <w:shd w:val="clear" w:color="auto" w:fill="CCEEF7"/>
          </w:tcPr>
          <w:p>
            <w:pPr>
              <w:jc w:val="right"/>
              <w:ind w:right="4"/>
              <w:spacing w:after="0"/>
              <w:rPr>
                <w:sz w:val="20"/>
                <w:szCs w:val="20"/>
                <w:color w:val="auto"/>
              </w:rPr>
            </w:pPr>
            <w:r>
              <w:rPr>
                <w:rFonts w:ascii="Arial" w:cs="Arial" w:eastAsia="Arial" w:hAnsi="Arial"/>
                <w:sz w:val="16"/>
                <w:szCs w:val="16"/>
                <w:color w:val="auto"/>
              </w:rPr>
              <w:t>51,453</w:t>
            </w:r>
          </w:p>
        </w:tc>
        <w:tc>
          <w:tcPr>
            <w:tcW w:w="320" w:type="dxa"/>
            <w:vAlign w:val="bottom"/>
            <w:tcBorders>
              <w:bottom w:val="single" w:sz="8" w:color="CCEEF7"/>
            </w:tcBorders>
            <w:shd w:val="clear" w:color="auto" w:fill="CCEEF7"/>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w w:val="98"/>
              </w:rPr>
              <w:t>2,000,000</w:t>
            </w:r>
          </w:p>
        </w:tc>
        <w:tc>
          <w:tcPr>
            <w:tcW w:w="72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51,453</w:t>
            </w:r>
          </w:p>
        </w:tc>
        <w:tc>
          <w:tcPr>
            <w:tcW w:w="260" w:type="dxa"/>
            <w:vAlign w:val="bottom"/>
            <w:tcBorders>
              <w:bottom w:val="single" w:sz="8" w:color="CCEEF7"/>
            </w:tcBorders>
            <w:shd w:val="clear" w:color="auto" w:fill="CCEEF7"/>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2,000,000</w:t>
            </w:r>
          </w:p>
        </w:tc>
        <w:tc>
          <w:tcPr>
            <w:tcW w:w="300" w:type="dxa"/>
            <w:vAlign w:val="bottom"/>
            <w:tcBorders>
              <w:bottom w:val="single" w:sz="8" w:color="CCEEF7"/>
            </w:tcBorders>
            <w:shd w:val="clear" w:color="auto" w:fill="CCEEF7"/>
          </w:tcPr>
          <w:p>
            <w:pPr>
              <w:ind w:left="2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7"/>
            </w:tcBorders>
            <w:shd w:val="clear" w:color="auto" w:fill="CCEEF7"/>
          </w:tcPr>
          <w:p>
            <w:pPr>
              <w:jc w:val="right"/>
              <w:ind w:right="119"/>
              <w:spacing w:after="0"/>
              <w:rPr>
                <w:sz w:val="20"/>
                <w:szCs w:val="20"/>
                <w:color w:val="auto"/>
              </w:rPr>
            </w:pPr>
            <w:r>
              <w:rPr>
                <w:rFonts w:ascii="Arial" w:cs="Arial" w:eastAsia="Arial" w:hAnsi="Arial"/>
                <w:sz w:val="16"/>
                <w:szCs w:val="16"/>
                <w:color w:val="auto"/>
                <w:w w:val="98"/>
              </w:rPr>
              <w:t>4,000,000</w:t>
            </w:r>
          </w:p>
        </w:tc>
      </w:tr>
      <w:tr>
        <w:trPr>
          <w:trHeight w:val="264"/>
        </w:trPr>
        <w:tc>
          <w:tcPr>
            <w:tcW w:w="610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10,483</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407,500</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10,483</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407,500</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815,000</w:t>
            </w:r>
          </w:p>
        </w:tc>
      </w:tr>
      <w:tr>
        <w:trPr>
          <w:trHeight w:val="60"/>
        </w:trPr>
        <w:tc>
          <w:tcPr>
            <w:tcW w:w="6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4"/>
        </w:trPr>
        <w:tc>
          <w:tcPr>
            <w:tcW w:w="61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740" w:type="dxa"/>
            <w:vAlign w:val="bottom"/>
            <w:tcBorders>
              <w:bottom w:val="single" w:sz="8" w:color="CCEEF7"/>
            </w:tcBorders>
            <w:shd w:val="clear" w:color="auto" w:fill="CCEEF7"/>
          </w:tcPr>
          <w:p>
            <w:pPr>
              <w:jc w:val="right"/>
              <w:ind w:right="4"/>
              <w:spacing w:after="0"/>
              <w:rPr>
                <w:sz w:val="20"/>
                <w:szCs w:val="20"/>
                <w:color w:val="auto"/>
              </w:rPr>
            </w:pPr>
            <w:r>
              <w:rPr>
                <w:rFonts w:ascii="Arial" w:cs="Arial" w:eastAsia="Arial" w:hAnsi="Arial"/>
                <w:sz w:val="16"/>
                <w:szCs w:val="16"/>
                <w:color w:val="auto"/>
              </w:rPr>
              <w:t>43,092</w:t>
            </w:r>
          </w:p>
        </w:tc>
        <w:tc>
          <w:tcPr>
            <w:tcW w:w="320" w:type="dxa"/>
            <w:vAlign w:val="bottom"/>
            <w:tcBorders>
              <w:bottom w:val="single" w:sz="8" w:color="CCEEF7"/>
            </w:tcBorders>
            <w:shd w:val="clear" w:color="auto" w:fill="CCEEF7"/>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w w:val="98"/>
              </w:rPr>
              <w:t>1,675,000</w:t>
            </w:r>
          </w:p>
        </w:tc>
        <w:tc>
          <w:tcPr>
            <w:tcW w:w="72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43,092</w:t>
            </w:r>
          </w:p>
        </w:tc>
        <w:tc>
          <w:tcPr>
            <w:tcW w:w="260" w:type="dxa"/>
            <w:vAlign w:val="bottom"/>
            <w:tcBorders>
              <w:bottom w:val="single" w:sz="8" w:color="CCEEF7"/>
            </w:tcBorders>
            <w:shd w:val="clear" w:color="auto" w:fill="CCEEF7"/>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1,675,000</w:t>
            </w:r>
          </w:p>
        </w:tc>
        <w:tc>
          <w:tcPr>
            <w:tcW w:w="300" w:type="dxa"/>
            <w:vAlign w:val="bottom"/>
            <w:tcBorders>
              <w:bottom w:val="single" w:sz="8" w:color="CCEEF7"/>
            </w:tcBorders>
            <w:shd w:val="clear" w:color="auto" w:fill="CCEEF7"/>
          </w:tcPr>
          <w:p>
            <w:pPr>
              <w:ind w:left="2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7"/>
            </w:tcBorders>
            <w:shd w:val="clear" w:color="auto" w:fill="CCEEF7"/>
          </w:tcPr>
          <w:p>
            <w:pPr>
              <w:jc w:val="right"/>
              <w:ind w:right="119"/>
              <w:spacing w:after="0"/>
              <w:rPr>
                <w:sz w:val="20"/>
                <w:szCs w:val="20"/>
                <w:color w:val="auto"/>
              </w:rPr>
            </w:pPr>
            <w:r>
              <w:rPr>
                <w:rFonts w:ascii="Arial" w:cs="Arial" w:eastAsia="Arial" w:hAnsi="Arial"/>
                <w:sz w:val="16"/>
                <w:szCs w:val="16"/>
                <w:color w:val="auto"/>
                <w:w w:val="98"/>
              </w:rPr>
              <w:t>3,350,000</w:t>
            </w:r>
          </w:p>
        </w:tc>
      </w:tr>
      <w:tr>
        <w:trPr>
          <w:trHeight w:val="264"/>
        </w:trPr>
        <w:tc>
          <w:tcPr>
            <w:tcW w:w="610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16,079</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625,000</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16,079</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625,000</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1,250,000</w:t>
            </w:r>
          </w:p>
        </w:tc>
      </w:tr>
      <w:tr>
        <w:trPr>
          <w:trHeight w:val="60"/>
        </w:trPr>
        <w:tc>
          <w:tcPr>
            <w:tcW w:w="6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63"/>
        </w:trPr>
        <w:tc>
          <w:tcPr>
            <w:tcW w:w="610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740" w:type="dxa"/>
            <w:vAlign w:val="bottom"/>
            <w:tcBorders>
              <w:bottom w:val="single" w:sz="8" w:color="auto"/>
            </w:tcBorders>
            <w:shd w:val="clear" w:color="auto" w:fill="CCEEF7"/>
          </w:tcPr>
          <w:p>
            <w:pPr>
              <w:jc w:val="right"/>
              <w:ind w:right="4"/>
              <w:spacing w:after="0"/>
              <w:rPr>
                <w:sz w:val="20"/>
                <w:szCs w:val="20"/>
                <w:color w:val="auto"/>
              </w:rPr>
            </w:pPr>
            <w:r>
              <w:rPr>
                <w:rFonts w:ascii="Arial" w:cs="Arial" w:eastAsia="Arial" w:hAnsi="Arial"/>
                <w:sz w:val="16"/>
                <w:szCs w:val="16"/>
                <w:color w:val="auto"/>
              </w:rPr>
              <w:t>12,863</w:t>
            </w:r>
          </w:p>
        </w:tc>
        <w:tc>
          <w:tcPr>
            <w:tcW w:w="320" w:type="dxa"/>
            <w:vAlign w:val="bottom"/>
            <w:tcBorders>
              <w:bottom w:val="single" w:sz="8" w:color="auto"/>
            </w:tcBorders>
            <w:shd w:val="clear" w:color="auto" w:fill="CCEEF7"/>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7"/>
          </w:tcPr>
          <w:p>
            <w:pPr>
              <w:jc w:val="right"/>
              <w:ind w:right="39"/>
              <w:spacing w:after="0"/>
              <w:rPr>
                <w:sz w:val="20"/>
                <w:szCs w:val="20"/>
                <w:color w:val="auto"/>
              </w:rPr>
            </w:pPr>
            <w:r>
              <w:rPr>
                <w:rFonts w:ascii="Arial" w:cs="Arial" w:eastAsia="Arial" w:hAnsi="Arial"/>
                <w:sz w:val="16"/>
                <w:szCs w:val="16"/>
                <w:color w:val="auto"/>
              </w:rPr>
              <w:t>500,000</w:t>
            </w:r>
          </w:p>
        </w:tc>
        <w:tc>
          <w:tcPr>
            <w:tcW w:w="720" w:type="dxa"/>
            <w:vAlign w:val="bottom"/>
            <w:tcBorders>
              <w:bottom w:val="single" w:sz="8" w:color="auto"/>
            </w:tcBorders>
            <w:shd w:val="clear" w:color="auto" w:fill="CCEEF7"/>
          </w:tcPr>
          <w:p>
            <w:pPr>
              <w:jc w:val="right"/>
              <w:ind w:right="44"/>
              <w:spacing w:after="0"/>
              <w:rPr>
                <w:sz w:val="20"/>
                <w:szCs w:val="20"/>
                <w:color w:val="auto"/>
              </w:rPr>
            </w:pPr>
            <w:r>
              <w:rPr>
                <w:rFonts w:ascii="Arial" w:cs="Arial" w:eastAsia="Arial" w:hAnsi="Arial"/>
                <w:sz w:val="16"/>
                <w:szCs w:val="16"/>
                <w:color w:val="auto"/>
              </w:rPr>
              <w:t>12,863</w:t>
            </w:r>
          </w:p>
        </w:tc>
        <w:tc>
          <w:tcPr>
            <w:tcW w:w="260" w:type="dxa"/>
            <w:vAlign w:val="bottom"/>
            <w:tcBorders>
              <w:bottom w:val="single" w:sz="8" w:color="auto"/>
            </w:tcBorders>
            <w:shd w:val="clear" w:color="auto" w:fill="CCEEF7"/>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7"/>
          </w:tcPr>
          <w:p>
            <w:pPr>
              <w:jc w:val="right"/>
              <w:spacing w:after="0"/>
              <w:rPr>
                <w:sz w:val="20"/>
                <w:szCs w:val="20"/>
                <w:color w:val="auto"/>
              </w:rPr>
            </w:pPr>
            <w:r>
              <w:rPr>
                <w:rFonts w:ascii="Arial" w:cs="Arial" w:eastAsia="Arial" w:hAnsi="Arial"/>
                <w:sz w:val="16"/>
                <w:szCs w:val="16"/>
                <w:color w:val="auto"/>
              </w:rPr>
              <w:t>500,000</w:t>
            </w:r>
          </w:p>
        </w:tc>
        <w:tc>
          <w:tcPr>
            <w:tcW w:w="300" w:type="dxa"/>
            <w:vAlign w:val="bottom"/>
            <w:tcBorders>
              <w:bottom w:val="single" w:sz="8" w:color="auto"/>
            </w:tcBorders>
            <w:shd w:val="clear" w:color="auto" w:fill="CCEEF7"/>
          </w:tcPr>
          <w:p>
            <w:pPr>
              <w:ind w:left="2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7"/>
          </w:tcPr>
          <w:p>
            <w:pPr>
              <w:jc w:val="right"/>
              <w:ind w:right="119"/>
              <w:spacing w:after="0"/>
              <w:rPr>
                <w:sz w:val="20"/>
                <w:szCs w:val="20"/>
                <w:color w:val="auto"/>
              </w:rPr>
            </w:pPr>
            <w:r>
              <w:rPr>
                <w:rFonts w:ascii="Arial" w:cs="Arial" w:eastAsia="Arial" w:hAnsi="Arial"/>
                <w:sz w:val="16"/>
                <w:szCs w:val="16"/>
                <w:color w:val="auto"/>
                <w:w w:val="98"/>
              </w:rPr>
              <w:t>1,000,000</w:t>
            </w:r>
          </w:p>
        </w:tc>
      </w:tr>
    </w:tbl>
    <w:p>
      <w:pPr>
        <w:spacing w:after="0" w:line="248"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2020 PRSUs and RSUs were granted based on a closing price of $38.87 on the trading day prior to the date of grant.</w:t>
      </w:r>
    </w:p>
    <w:p>
      <w:pPr>
        <w:spacing w:after="0" w:line="82" w:lineRule="exact"/>
        <w:rPr>
          <w:rFonts w:ascii="Arial" w:cs="Arial" w:eastAsia="Arial" w:hAnsi="Arial"/>
          <w:sz w:val="14"/>
          <w:szCs w:val="14"/>
          <w:color w:val="auto"/>
        </w:rPr>
      </w:pPr>
    </w:p>
    <w:p>
      <w:pPr>
        <w:ind w:left="424" w:right="260" w:hanging="424"/>
        <w:spacing w:after="0" w:line="258" w:lineRule="auto"/>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Grant values shown above will be different from the values shown in the Summary Compensation Table and Grants of Plan-Based Awards tables based on the fair value on grant date in accordance with FASB ASC Topic 718.</w:t>
      </w:r>
    </w:p>
    <w:p>
      <w:pPr>
        <w:spacing w:after="0" w:line="175"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In addition, all of the PRSUs and RSUs awarded to our NEOs provide for accelerated vesting upon the occurrence of certain events, such as certain terminations of employment or a change in control, as described below in the section titled “Potential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 For a description of PRSUs and RSUs that are currently outstanding under the Equity Plan, see the table titled “Outstanding Equity Awards at Fiscal Year-End.”</w:t>
      </w:r>
    </w:p>
    <w:p>
      <w:pPr>
        <w:spacing w:after="0" w:line="2" w:lineRule="exact"/>
        <w:rPr>
          <w:sz w:val="20"/>
          <w:szCs w:val="20"/>
          <w:color w:val="auto"/>
        </w:rPr>
      </w:pPr>
    </w:p>
    <w:p>
      <w:pPr>
        <w:jc w:val="both"/>
        <w:ind w:left="4" w:right="120" w:firstLine="440"/>
        <w:spacing w:after="0" w:line="255" w:lineRule="auto"/>
        <w:rPr>
          <w:sz w:val="20"/>
          <w:szCs w:val="20"/>
          <w:color w:val="auto"/>
        </w:rPr>
      </w:pPr>
      <w:r>
        <w:rPr>
          <w:rFonts w:ascii="Arial" w:cs="Arial" w:eastAsia="Arial" w:hAnsi="Arial"/>
          <w:sz w:val="18"/>
          <w:szCs w:val="18"/>
          <w:color w:val="auto"/>
        </w:rPr>
        <w:t>We believe that the mix of PRSUs and RSUs granted to our NEOs directly correlates to our compensation objectives and philosophy. The PRSUs encourage strong alignment with stockholders’ interest in growth given that they are directly tied to EBITDA margin and revenue growth, and both the PRSUs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40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123" w:right="4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support retention and stock price alignment by allowing award recipients the opportunity to receive Company stock if they are still employed by us on the date the award vests.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1F5B"/>
        </w:rPr>
        <w:t>Legacy Equity Plans — Options and PRSUs</w:t>
      </w:r>
    </w:p>
    <w:p>
      <w:pPr>
        <w:spacing w:after="0" w:line="2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Each NEO continues to hold outstanding awards under our pre-IPO plans (which were amended and restated at the time of our IPO), including the Amended and Restated Tradeweb Markets Inc. 2018 Share Option Plan (previously the TWM LLC 2018 Share Option Plan) (the “Option Plan”) and the Amended &amp; Restated Tradeweb Markets Inc. PRSU Plan (previously the TWM LLC PRSU Plan) (the “PRSU Plan”).</w:t>
      </w:r>
    </w:p>
    <w:p>
      <w:pPr>
        <w:ind w:right="60" w:firstLine="440"/>
        <w:spacing w:after="0" w:line="265" w:lineRule="auto"/>
        <w:rPr>
          <w:sz w:val="20"/>
          <w:szCs w:val="20"/>
          <w:color w:val="auto"/>
        </w:rPr>
      </w:pPr>
      <w:r>
        <w:rPr>
          <w:rFonts w:ascii="Arial" w:cs="Arial" w:eastAsia="Arial" w:hAnsi="Arial"/>
          <w:sz w:val="17"/>
          <w:szCs w:val="17"/>
          <w:color w:val="auto"/>
        </w:rPr>
        <w:t>Each NEO was granted options to purchase shares (the “Options”) under the Option Plan on October 26, 2018. Each Option was granted with the following vesting provisions: (i) 50% of the Option vests ratably over a four-year vesting period based on continued employment (the “Time-Based Portion”), and (ii) 50% of the Option vests based on satisfying certain performance conditions (the “Performance-Based Portion”), as further described below. The Time-Based Portion is currently fully vested for each NEO as a result of accelerated vesting upon the Company’s IPO. For the Performance-Based Portion, (i) 50% is eligible to vest in four equal annual installments based on achievement of Company EBITDA growth targets for 2018, 2019, 2020 and 2021, and (ii) 50% is eligible to vest in four equal annual installments based on the Company’s achievement of certain revenue growth targets for each of 2018, 2019, 2020 and 2021 (the “Revenue-Based Portion”). If at least 80% of the applicable revenue growth target is achieved for a given year, the Revenue-Based Portion will vest as to 0%, based on 80% achievement of target, and 100%, based on full achievement of target. For performance achievement between 80% and 100% of target, the Revenue-Based Portion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Vesting of the Performance-Based Portion in respect of calendar year 2020 was based on achievement of a: (A) gross revenue target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$785.916 million (representing 7.5% growth over the 2019 gross revenue target of $731.085) and (B) EBITDA target of $294.404 million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 growth over the 2019 EBITDA target of $270.592). The Company exceeded each of its performance goals for 2020 with an actual gross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$892.659 million and $386.098 million EBITDA achievement. The Performance-Based Portion has therefore vested with respect to 75%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for fiscal years 2018, 2019 and 2020 (i.e., the full amount eligible to become vested in those years), resulting in 12.5% of the Option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of the Performance-based Portion) remaining outstanding and eligible to vest based on Company performance for 2021.</w:t>
      </w:r>
    </w:p>
    <w:p>
      <w:pPr>
        <w:spacing w:after="0" w:line="9" w:lineRule="exact"/>
        <w:rPr>
          <w:sz w:val="20"/>
          <w:szCs w:val="20"/>
          <w:color w:val="auto"/>
        </w:rPr>
      </w:pPr>
    </w:p>
    <w:p>
      <w:pPr>
        <w:jc w:val="both"/>
        <w:ind w:right="140" w:firstLine="440"/>
        <w:spacing w:after="0" w:line="281" w:lineRule="auto"/>
        <w:rPr>
          <w:sz w:val="20"/>
          <w:szCs w:val="20"/>
          <w:color w:val="auto"/>
        </w:rPr>
      </w:pPr>
      <w:r>
        <w:rPr>
          <w:rFonts w:ascii="Arial" w:cs="Arial" w:eastAsia="Arial" w:hAnsi="Arial"/>
          <w:sz w:val="16"/>
          <w:szCs w:val="16"/>
          <w:color w:val="auto"/>
        </w:rPr>
        <w:t>Each NEO was granted PRSUs in 2019 under the PRSU Plan which remain outstanding. The PRSUs granted under the PRSU Plan are subject to terms similar to those granted under the Equity Plan, described above. Outstanding PRSUs granted under the PRSU Plan will vest on January 1, 2022.</w:t>
      </w:r>
    </w:p>
    <w:p>
      <w:pPr>
        <w:spacing w:after="0" w:line="1" w:lineRule="exact"/>
        <w:rPr>
          <w:sz w:val="20"/>
          <w:szCs w:val="20"/>
          <w:color w:val="auto"/>
        </w:rPr>
      </w:pPr>
    </w:p>
    <w:p>
      <w:pPr>
        <w:ind w:right="900" w:firstLine="440"/>
        <w:spacing w:after="0" w:line="260" w:lineRule="auto"/>
        <w:rPr>
          <w:sz w:val="20"/>
          <w:szCs w:val="20"/>
          <w:color w:val="auto"/>
        </w:rPr>
      </w:pPr>
      <w:r>
        <w:rPr>
          <w:rFonts w:ascii="Arial" w:cs="Arial" w:eastAsia="Arial" w:hAnsi="Arial"/>
          <w:sz w:val="18"/>
          <w:szCs w:val="18"/>
          <w:color w:val="auto"/>
        </w:rPr>
        <w:t>For more information on the outstanding Options and PRSUs granted under the Option Plan and PRSU Plan, please see the table titled “Outstanding Equity Awards at Fiscal Year-End.”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Retirement Plans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Each of Messrs. Olesky, Warshaw, Hult and Peterson are eligible to participate in the 401(k) Plan on the same terms as other participating employees. Mr. Bruni is eligible to participate in the Company’s contributory pension scheme for employees located in Europe on the same terms as other participating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Perquisites and Other Personal Benefits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41</w:t>
            </w:r>
          </w:p>
        </w:tc>
      </w:tr>
    </w:tbl>
    <w:p>
      <w:pPr>
        <w:sectPr>
          <w:pgSz w:w="11900" w:h="16838" w:orient="portrait"/>
          <w:cols w:equalWidth="0" w:num="1">
            <w:col w:w="11020"/>
          </w:cols>
          <w:pgMar w:left="440" w:top="1138" w:right="43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planning services, (ii) executive life insurance, (iii) group life insurance, (v) executive long-term disability insurance, (vi) excess liability insurance, and (vii) reimbursement for annual club membership dues.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Clawbacks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maintains a clawback policy which applies to all executive officers (including the NEOs), certain senior managers, and other designated employees of the Company and its subsidiaries. The purpose of the policy is to create and maintain a culture that emphasizes integrity and accountability and that reinforces the Company’s pay-for-performance compensation philosophy. The policy provides that, in the event the Company is required to prepare an accounting restatement of financial statements, the Company will make a reasonable attempt to recover the portion of the incentive compensation that was paid to the officer or other employee during the three most recently completed fiscal years based on the erroneous data. Separately, if it is determined that an officer or other employee covered by the policy has intentionally engaged in misconduct, fraud or other illegal conduct, which contributed to the circumstances requiring an accounting restatement, and the Compensation Committee determines it would be appropriate to seek recovery under the policy, the Company will make a reasonable attempt to recover part or all of the incentive compensation (as described in the policy) that was paid to the officer or other employee during the three most recently completed fiscal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Securities Trading Policy</w:t>
      </w:r>
    </w:p>
    <w:p>
      <w:pPr>
        <w:spacing w:after="0" w:line="2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To ensure alignment of the interests of our stockholders and executive officers, including our NEOs, as well as compliance with applicable securities laws, the Company’s Securities Trading Policy (i) prohibits all employees from engaging in transactions involving the Company’s stock based on material non-public information or communicating material non-public information to any person who uses that information to purchase or sell Company securities, and (ii) requires directors, executive officers (including the NEOs) and certain other designated employees (as identified in the Securities Trading Policy) to preclear any trading in Company securities, whether or not during an open trade window (except that such policies shall not apply to the exercise of options not involving a market sale to generate cash to pay the exercise price, the vesting of restricted stock or restricted stock unit awards or transactions in accordance with a previously established trading plan that meets SEC requirements). In addition, as part of our Securities Trading Policy, (i) directors, officers, employees and certain other covered persons (as identified in the Securities Trading Policy), whether or not he or she possesses material non-public information, may not trade in options, warrants, puts and calls or similar instruments on the Company’s securities or engage in short shares, (ii) no directors, officers or employees may engage in any transactions (including variable forward contracts, equity swaps, collars and exchange funds) that are designed to hedge or offset any decrease in the market value of the Company’s equity securities, and (iii) no directors, officers or employees, whether or not in possession of material non-public information, may purchase the Company’s securities on margin, or borrow against any account in which the Company’s securities are held, or pledge the Company’s securities as collateral for a loan, without first obtaining pre-clearance.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Tax and Accounting Considerations</w:t>
      </w:r>
    </w:p>
    <w:p>
      <w:pPr>
        <w:spacing w:after="0" w:line="23"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 w:lineRule="exact"/>
        <w:rPr>
          <w:sz w:val="20"/>
          <w:szCs w:val="20"/>
          <w:color w:val="auto"/>
        </w:rPr>
      </w:pPr>
    </w:p>
    <w:p>
      <w:pPr>
        <w:ind w:right="280" w:firstLine="440"/>
        <w:spacing w:after="0" w:line="271" w:lineRule="auto"/>
        <w:rPr>
          <w:sz w:val="20"/>
          <w:szCs w:val="20"/>
          <w:color w:val="auto"/>
        </w:rPr>
      </w:pPr>
      <w:r>
        <w:rPr>
          <w:rFonts w:ascii="Arial" w:cs="Arial" w:eastAsia="Arial" w:hAnsi="Arial"/>
          <w:sz w:val="17"/>
          <w:szCs w:val="17"/>
          <w:color w:val="auto"/>
        </w:rPr>
        <w:t>Under Section 162(m) of the Internal Revenue Code, as amended by the Tax Cuts and Jobs Act of 2017 (“Section 162(m)”), a publicly held corporation generally is limited to a $1 million annual tax deduction for compensation paid to each of its “covered employees.” The Company has historically taken the position that, as a result of its corporate structure, the deduction limitation imposed by Section 162(m) does not apply to its employees who are employed by TWM LLC or its subsidiaries. However, on December 18, 2020, the Treasury Department released final regulations under Section 162(m) (the “Final Regulations”) that generally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45" w:name="page46"/>
    <w:bookmarkEnd w:id="45"/>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that when a publicly held corporation (such as the Company) holds a partnership interest (such as our interest in TWM LLC), the corporation must take into account its distributive share of the partnership’s deduction for compensation paid to covered employees of the corporation. These new rules do not apply to compensation that is “grandfathered” under special transition rules for compensation paid in 2020 or that is paid pursuant to a written binding contract that was in effect on December 20, 2019, which is not materially modified or renewed or cancelable by the company after that date.</w:t>
      </w:r>
    </w:p>
    <w:p>
      <w:pPr>
        <w:spacing w:after="0" w:line="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By virtue of the Final Regulations, our equity awards granted through 2019 will qualify as grandfathered awards, but compensation related to equity awards granted in 2020 and related to future equity awards, along with cash starting in 2021, paid to those of our employees considered “covered employees” will be subject to the compensation deduction limitations under Section 162(m). Going forward, while it is only one of many factors, the Compensation Committee will consider the impact of Section 162(m) on its compensation arrangements, and it is anticipated that the Compensation Committee will, in its discretion and when it deems appropriate, enter into compensation arrangements with those employees considered “covered employees” under which payments may not be fully deductible under Section 162(m).</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ADD8"/>
        </w:rPr>
        <w:t>Compensation Committee Report</w:t>
      </w:r>
    </w:p>
    <w:p>
      <w:pPr>
        <w:spacing w:after="0" w:line="1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Martin Brand,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Finley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Scott Ganeles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Paula Madoff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43</w:t>
            </w:r>
          </w:p>
        </w:tc>
      </w:tr>
    </w:tbl>
    <w:p>
      <w:pPr>
        <w:sectPr>
          <w:pgSz w:w="11900" w:h="16838" w:orient="portrait"/>
          <w:cols w:equalWidth="0" w:num="1">
            <w:col w:w="11020"/>
          </w:cols>
          <w:pgMar w:left="440" w:top="1138" w:right="439" w:bottom="1440" w:gutter="0" w:footer="0" w:header="0"/>
        </w:sectPr>
      </w:pPr>
    </w:p>
    <w:bookmarkStart w:id="46" w:name="page47"/>
    <w:bookmarkEnd w:id="46"/>
    <w:p>
      <w:pPr>
        <w:ind w:left="4"/>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Summary Compensation Table</w:t>
      </w:r>
    </w:p>
    <w:p>
      <w:pPr>
        <w:spacing w:after="0" w:line="10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following table sets forth the compensation paid to the NEOs that is attributable to services performed during fiscal years 2018, 2019, and 2020, as required.</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Non-Equity</w:t>
            </w: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60"/>
              <w:spacing w:after="0"/>
              <w:rPr>
                <w:sz w:val="20"/>
                <w:szCs w:val="20"/>
                <w:color w:val="auto"/>
              </w:rPr>
            </w:pPr>
            <w:r>
              <w:rPr>
                <w:rFonts w:ascii="Arial" w:cs="Arial" w:eastAsia="Arial" w:hAnsi="Arial"/>
                <w:sz w:val="13"/>
                <w:szCs w:val="13"/>
                <w:color w:val="auto"/>
              </w:rPr>
              <w:t>Name and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Stock</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Option</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7"/>
              </w:rPr>
              <w:t>Incentive Plan</w:t>
            </w:r>
          </w:p>
        </w:tc>
        <w:tc>
          <w:tcPr>
            <w:tcW w:w="120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All Other</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jc w:val="right"/>
              <w:ind w:right="237"/>
              <w:spacing w:after="0" w:line="123" w:lineRule="exact"/>
              <w:rPr>
                <w:sz w:val="20"/>
                <w:szCs w:val="20"/>
                <w:color w:val="auto"/>
              </w:rPr>
            </w:pPr>
            <w:r>
              <w:rPr>
                <w:rFonts w:ascii="Arial" w:cs="Arial" w:eastAsia="Arial" w:hAnsi="Arial"/>
                <w:sz w:val="13"/>
                <w:szCs w:val="13"/>
                <w:color w:val="auto"/>
              </w:rPr>
              <w:t>Salary</w:t>
            </w:r>
          </w:p>
        </w:tc>
        <w:tc>
          <w:tcPr>
            <w:tcW w:w="920" w:type="dxa"/>
            <w:vAlign w:val="bottom"/>
          </w:tcPr>
          <w:p>
            <w:pPr>
              <w:jc w:val="right"/>
              <w:ind w:right="217"/>
              <w:spacing w:after="0" w:line="123" w:lineRule="exact"/>
              <w:rPr>
                <w:sz w:val="20"/>
                <w:szCs w:val="20"/>
                <w:color w:val="auto"/>
              </w:rPr>
            </w:pPr>
            <w:r>
              <w:rPr>
                <w:rFonts w:ascii="Arial" w:cs="Arial" w:eastAsia="Arial" w:hAnsi="Arial"/>
                <w:sz w:val="13"/>
                <w:szCs w:val="13"/>
                <w:color w:val="auto"/>
              </w:rPr>
              <w:t>Bonus</w:t>
            </w:r>
          </w:p>
        </w:tc>
        <w:tc>
          <w:tcPr>
            <w:tcW w:w="1000" w:type="dxa"/>
            <w:vAlign w:val="bottom"/>
          </w:tcPr>
          <w:p>
            <w:pPr>
              <w:jc w:val="right"/>
              <w:ind w:right="277"/>
              <w:spacing w:after="0" w:line="123" w:lineRule="exact"/>
              <w:rPr>
                <w:sz w:val="20"/>
                <w:szCs w:val="20"/>
                <w:color w:val="auto"/>
              </w:rPr>
            </w:pPr>
            <w:r>
              <w:rPr>
                <w:rFonts w:ascii="Arial" w:cs="Arial" w:eastAsia="Arial" w:hAnsi="Arial"/>
                <w:sz w:val="13"/>
                <w:szCs w:val="13"/>
                <w:color w:val="auto"/>
              </w:rPr>
              <w:t>Awards</w:t>
            </w:r>
          </w:p>
        </w:tc>
        <w:tc>
          <w:tcPr>
            <w:tcW w:w="820" w:type="dxa"/>
            <w:vAlign w:val="bottom"/>
          </w:tcPr>
          <w:p>
            <w:pPr>
              <w:jc w:val="right"/>
              <w:ind w:right="57"/>
              <w:spacing w:after="0" w:line="123" w:lineRule="exact"/>
              <w:rPr>
                <w:sz w:val="20"/>
                <w:szCs w:val="20"/>
                <w:color w:val="auto"/>
              </w:rPr>
            </w:pPr>
            <w:r>
              <w:rPr>
                <w:rFonts w:ascii="Arial" w:cs="Arial" w:eastAsia="Arial" w:hAnsi="Arial"/>
                <w:sz w:val="13"/>
                <w:szCs w:val="13"/>
                <w:color w:val="auto"/>
              </w:rPr>
              <w:t>Awards</w:t>
            </w:r>
          </w:p>
        </w:tc>
        <w:tc>
          <w:tcPr>
            <w:tcW w:w="900" w:type="dxa"/>
            <w:vAlign w:val="bottom"/>
          </w:tcPr>
          <w:p>
            <w:pPr>
              <w:jc w:val="right"/>
              <w:ind w:right="17"/>
              <w:spacing w:after="0" w:line="123" w:lineRule="exact"/>
              <w:rPr>
                <w:sz w:val="20"/>
                <w:szCs w:val="20"/>
                <w:color w:val="auto"/>
              </w:rPr>
            </w:pPr>
            <w:r>
              <w:rPr>
                <w:rFonts w:ascii="Arial" w:cs="Arial" w:eastAsia="Arial" w:hAnsi="Arial"/>
                <w:sz w:val="13"/>
                <w:szCs w:val="13"/>
                <w:color w:val="auto"/>
                <w:w w:val="95"/>
              </w:rPr>
              <w:t>Compensation</w:t>
            </w:r>
          </w:p>
        </w:tc>
        <w:tc>
          <w:tcPr>
            <w:tcW w:w="1200" w:type="dxa"/>
            <w:vAlign w:val="bottom"/>
          </w:tcPr>
          <w:p>
            <w:pPr>
              <w:jc w:val="right"/>
              <w:ind w:right="317"/>
              <w:spacing w:after="0" w:line="123" w:lineRule="exact"/>
              <w:rPr>
                <w:sz w:val="20"/>
                <w:szCs w:val="20"/>
                <w:color w:val="auto"/>
              </w:rPr>
            </w:pPr>
            <w:r>
              <w:rPr>
                <w:rFonts w:ascii="Arial" w:cs="Arial" w:eastAsia="Arial" w:hAnsi="Arial"/>
                <w:sz w:val="13"/>
                <w:szCs w:val="13"/>
                <w:color w:val="auto"/>
                <w:w w:val="95"/>
              </w:rPr>
              <w:t>Compensation</w:t>
            </w:r>
          </w:p>
        </w:tc>
        <w:tc>
          <w:tcPr>
            <w:tcW w:w="760" w:type="dxa"/>
            <w:vAlign w:val="bottom"/>
          </w:tcPr>
          <w:p>
            <w:pPr>
              <w:jc w:val="right"/>
              <w:ind w:right="57"/>
              <w:spacing w:after="0" w:line="123"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4"/>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Principal Position</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Year</w:t>
            </w: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(1)</w:t>
            </w: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(2)</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(3)</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12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(5)</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9"/>
        </w:trPr>
        <w:tc>
          <w:tcPr>
            <w:tcW w:w="3780" w:type="dxa"/>
            <w:vAlign w:val="bottom"/>
          </w:tcPr>
          <w:p>
            <w:pPr>
              <w:spacing w:after="0"/>
              <w:rPr>
                <w:sz w:val="4"/>
                <w:szCs w:val="4"/>
                <w:color w:val="auto"/>
              </w:rPr>
            </w:pPr>
          </w:p>
        </w:tc>
        <w:tc>
          <w:tcPr>
            <w:tcW w:w="760" w:type="dxa"/>
            <w:vAlign w:val="bottom"/>
            <w:shd w:val="clear" w:color="auto" w:fill="CCEEF7"/>
          </w:tcPr>
          <w:p>
            <w:pPr>
              <w:spacing w:after="0"/>
              <w:rPr>
                <w:sz w:val="4"/>
                <w:szCs w:val="4"/>
                <w:color w:val="auto"/>
              </w:rPr>
            </w:pPr>
          </w:p>
        </w:tc>
        <w:tc>
          <w:tcPr>
            <w:tcW w:w="880" w:type="dxa"/>
            <w:vAlign w:val="bottom"/>
            <w:shd w:val="clear" w:color="auto" w:fill="CCEEF7"/>
          </w:tcPr>
          <w:p>
            <w:pPr>
              <w:spacing w:after="0"/>
              <w:rPr>
                <w:sz w:val="4"/>
                <w:szCs w:val="4"/>
                <w:color w:val="auto"/>
              </w:rPr>
            </w:pPr>
          </w:p>
        </w:tc>
        <w:tc>
          <w:tcPr>
            <w:tcW w:w="920" w:type="dxa"/>
            <w:vAlign w:val="bottom"/>
            <w:shd w:val="clear" w:color="auto" w:fill="CCEEF7"/>
          </w:tcPr>
          <w:p>
            <w:pPr>
              <w:spacing w:after="0"/>
              <w:rPr>
                <w:sz w:val="4"/>
                <w:szCs w:val="4"/>
                <w:color w:val="auto"/>
              </w:rPr>
            </w:pPr>
          </w:p>
        </w:tc>
        <w:tc>
          <w:tcPr>
            <w:tcW w:w="1000" w:type="dxa"/>
            <w:vAlign w:val="bottom"/>
            <w:shd w:val="clear" w:color="auto" w:fill="CCEEF7"/>
          </w:tcPr>
          <w:p>
            <w:pPr>
              <w:spacing w:after="0"/>
              <w:rPr>
                <w:sz w:val="4"/>
                <w:szCs w:val="4"/>
                <w:color w:val="auto"/>
              </w:rPr>
            </w:pPr>
          </w:p>
        </w:tc>
        <w:tc>
          <w:tcPr>
            <w:tcW w:w="820" w:type="dxa"/>
            <w:vAlign w:val="bottom"/>
            <w:shd w:val="clear" w:color="auto" w:fill="CCEEF7"/>
          </w:tcPr>
          <w:p>
            <w:pPr>
              <w:spacing w:after="0"/>
              <w:rPr>
                <w:sz w:val="4"/>
                <w:szCs w:val="4"/>
                <w:color w:val="auto"/>
              </w:rPr>
            </w:pPr>
          </w:p>
        </w:tc>
        <w:tc>
          <w:tcPr>
            <w:tcW w:w="900" w:type="dxa"/>
            <w:vAlign w:val="bottom"/>
            <w:shd w:val="clear" w:color="auto" w:fill="CCEEF7"/>
          </w:tcPr>
          <w:p>
            <w:pPr>
              <w:spacing w:after="0"/>
              <w:rPr>
                <w:sz w:val="4"/>
                <w:szCs w:val="4"/>
                <w:color w:val="auto"/>
              </w:rPr>
            </w:pPr>
          </w:p>
        </w:tc>
        <w:tc>
          <w:tcPr>
            <w:tcW w:w="1200" w:type="dxa"/>
            <w:vAlign w:val="bottom"/>
            <w:shd w:val="clear" w:color="auto" w:fill="CCEEF7"/>
          </w:tcPr>
          <w:p>
            <w:pPr>
              <w:spacing w:after="0"/>
              <w:rPr>
                <w:sz w:val="4"/>
                <w:szCs w:val="4"/>
                <w:color w:val="auto"/>
              </w:rPr>
            </w:pPr>
          </w:p>
        </w:tc>
        <w:tc>
          <w:tcPr>
            <w:tcW w:w="760" w:type="dxa"/>
            <w:vAlign w:val="bottom"/>
            <w:shd w:val="clear" w:color="auto" w:fill="CCEEF7"/>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2400300" cy="531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00300" cy="53149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640" w:type="dxa"/>
            <w:vAlign w:val="bottom"/>
            <w:gridSpan w:val="2"/>
            <w:shd w:val="clear" w:color="auto" w:fill="CCEEF7"/>
          </w:tcPr>
          <w:p>
            <w:pPr>
              <w:jc w:val="right"/>
              <w:ind w:right="39"/>
              <w:spacing w:after="0"/>
              <w:rPr>
                <w:sz w:val="20"/>
                <w:szCs w:val="20"/>
                <w:color w:val="auto"/>
              </w:rPr>
            </w:pPr>
            <w:r>
              <w:rPr>
                <w:rFonts w:ascii="Arial" w:cs="Arial" w:eastAsia="Arial" w:hAnsi="Arial"/>
                <w:sz w:val="16"/>
                <w:szCs w:val="16"/>
                <w:color w:val="auto"/>
              </w:rPr>
              <w:t>2020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770,000</w:t>
            </w:r>
          </w:p>
        </w:tc>
        <w:tc>
          <w:tcPr>
            <w:tcW w:w="94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3,999,956</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119"/>
              <w:spacing w:after="0"/>
              <w:rPr>
                <w:sz w:val="20"/>
                <w:szCs w:val="20"/>
                <w:color w:val="auto"/>
              </w:rPr>
            </w:pPr>
            <w:r>
              <w:rPr>
                <w:rFonts w:ascii="Arial" w:cs="Arial" w:eastAsia="Arial" w:hAnsi="Arial"/>
                <w:sz w:val="16"/>
                <w:szCs w:val="16"/>
                <w:color w:val="auto"/>
              </w:rPr>
              <w:t>7,500,000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43,038</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12,312,994</w:t>
            </w:r>
          </w:p>
        </w:tc>
        <w:tc>
          <w:tcPr>
            <w:tcW w:w="0" w:type="dxa"/>
            <w:vAlign w:val="bottom"/>
          </w:tcPr>
          <w:p>
            <w:pPr>
              <w:spacing w:after="0"/>
              <w:rPr>
                <w:sz w:val="1"/>
                <w:szCs w:val="1"/>
                <w:color w:val="auto"/>
              </w:rPr>
            </w:pPr>
          </w:p>
        </w:tc>
      </w:tr>
      <w:tr>
        <w:trPr>
          <w:trHeight w:val="187"/>
        </w:trPr>
        <w:tc>
          <w:tcPr>
            <w:tcW w:w="3780" w:type="dxa"/>
            <w:vAlign w:val="bottom"/>
          </w:tcPr>
          <w:p>
            <w:pPr>
              <w:ind w:left="60"/>
              <w:spacing w:after="0"/>
              <w:rPr>
                <w:sz w:val="20"/>
                <w:szCs w:val="20"/>
                <w:color w:val="auto"/>
              </w:rPr>
            </w:pPr>
            <w:r>
              <w:rPr>
                <w:rFonts w:ascii="Arial" w:cs="Arial" w:eastAsia="Arial" w:hAnsi="Arial"/>
                <w:sz w:val="16"/>
                <w:szCs w:val="16"/>
                <w:color w:val="auto"/>
              </w:rPr>
              <w:t>Lee Olesky</w:t>
            </w:r>
          </w:p>
        </w:tc>
        <w:tc>
          <w:tcPr>
            <w:tcW w:w="160" w:type="dxa"/>
            <w:vAlign w:val="bottom"/>
            <w:shd w:val="clear" w:color="auto" w:fill="CCEEF7"/>
          </w:tcPr>
          <w:p>
            <w:pPr>
              <w:spacing w:after="0"/>
              <w:rPr>
                <w:sz w:val="16"/>
                <w:szCs w:val="16"/>
                <w:color w:val="auto"/>
              </w:rPr>
            </w:pPr>
          </w:p>
        </w:tc>
        <w:tc>
          <w:tcPr>
            <w:tcW w:w="48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w w:val="95"/>
              </w:rPr>
              <w:t>2019</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770,000</w:t>
            </w:r>
          </w:p>
        </w:tc>
        <w:tc>
          <w:tcPr>
            <w:tcW w:w="94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3,392,000</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119"/>
              <w:spacing w:after="0"/>
              <w:rPr>
                <w:sz w:val="20"/>
                <w:szCs w:val="20"/>
                <w:color w:val="auto"/>
              </w:rPr>
            </w:pPr>
            <w:r>
              <w:rPr>
                <w:rFonts w:ascii="Arial" w:cs="Arial" w:eastAsia="Arial" w:hAnsi="Arial"/>
                <w:sz w:val="16"/>
                <w:szCs w:val="16"/>
                <w:color w:val="auto"/>
              </w:rPr>
              <w:t>7,000,000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48,498</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11,210,498</w:t>
            </w:r>
          </w:p>
        </w:tc>
        <w:tc>
          <w:tcPr>
            <w:tcW w:w="0" w:type="dxa"/>
            <w:vAlign w:val="bottom"/>
          </w:tcPr>
          <w:p>
            <w:pPr>
              <w:spacing w:after="0"/>
              <w:rPr>
                <w:sz w:val="1"/>
                <w:szCs w:val="1"/>
                <w:color w:val="auto"/>
              </w:rPr>
            </w:pPr>
          </w:p>
        </w:tc>
      </w:tr>
      <w:tr>
        <w:trPr>
          <w:trHeight w:val="164"/>
        </w:trPr>
        <w:tc>
          <w:tcPr>
            <w:tcW w:w="3780" w:type="dxa"/>
            <w:vAlign w:val="bottom"/>
          </w:tcPr>
          <w:p>
            <w:pPr>
              <w:ind w:left="60"/>
              <w:spacing w:after="0"/>
              <w:rPr>
                <w:sz w:val="20"/>
                <w:szCs w:val="20"/>
                <w:color w:val="auto"/>
              </w:rPr>
            </w:pPr>
            <w:r>
              <w:rPr>
                <w:rFonts w:ascii="Arial" w:cs="Arial" w:eastAsia="Arial" w:hAnsi="Arial"/>
                <w:sz w:val="13"/>
                <w:szCs w:val="13"/>
                <w:i w:val="1"/>
                <w:iCs w:val="1"/>
                <w:color w:val="auto"/>
              </w:rPr>
              <w:t>Chief Executive Officer</w:t>
            </w:r>
          </w:p>
        </w:tc>
        <w:tc>
          <w:tcPr>
            <w:tcW w:w="160" w:type="dxa"/>
            <w:vAlign w:val="bottom"/>
            <w:shd w:val="clear" w:color="auto" w:fill="CCEEF7"/>
          </w:tcPr>
          <w:p>
            <w:pPr>
              <w:spacing w:after="0"/>
              <w:rPr>
                <w:sz w:val="14"/>
                <w:szCs w:val="14"/>
                <w:color w:val="auto"/>
              </w:rPr>
            </w:pPr>
          </w:p>
        </w:tc>
        <w:tc>
          <w:tcPr>
            <w:tcW w:w="48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w w:val="95"/>
              </w:rPr>
              <w:t>2018</w:t>
            </w:r>
          </w:p>
        </w:tc>
        <w:tc>
          <w:tcPr>
            <w:tcW w:w="80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770,000</w:t>
            </w:r>
          </w:p>
        </w:tc>
        <w:tc>
          <w:tcPr>
            <w:tcW w:w="94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2,952,000</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12,508,379</w:t>
            </w:r>
          </w:p>
        </w:tc>
        <w:tc>
          <w:tcPr>
            <w:tcW w:w="1020" w:type="dxa"/>
            <w:vAlign w:val="bottom"/>
            <w:vMerge w:val="restart"/>
            <w:shd w:val="clear" w:color="auto" w:fill="CCEEF7"/>
          </w:tcPr>
          <w:p>
            <w:pPr>
              <w:jc w:val="right"/>
              <w:ind w:right="119"/>
              <w:spacing w:after="0"/>
              <w:rPr>
                <w:sz w:val="20"/>
                <w:szCs w:val="20"/>
                <w:color w:val="auto"/>
              </w:rPr>
            </w:pPr>
            <w:r>
              <w:rPr>
                <w:rFonts w:ascii="Arial" w:cs="Arial" w:eastAsia="Arial" w:hAnsi="Arial"/>
                <w:sz w:val="16"/>
                <w:szCs w:val="16"/>
                <w:color w:val="auto"/>
              </w:rPr>
              <w:t>6,400,000</w:t>
            </w:r>
          </w:p>
        </w:tc>
        <w:tc>
          <w:tcPr>
            <w:tcW w:w="80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49,216</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22,679,595</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160" w:type="dxa"/>
            <w:vAlign w:val="bottom"/>
            <w:tcBorders>
              <w:bottom w:val="single" w:sz="8" w:color="CCEEF7"/>
            </w:tcBorders>
            <w:shd w:val="clear" w:color="auto" w:fill="CCEEF7"/>
          </w:tcPr>
          <w:p>
            <w:pPr>
              <w:spacing w:after="0"/>
              <w:rPr>
                <w:sz w:val="15"/>
                <w:szCs w:val="15"/>
                <w:color w:val="auto"/>
              </w:rPr>
            </w:pPr>
          </w:p>
        </w:tc>
        <w:tc>
          <w:tcPr>
            <w:tcW w:w="480" w:type="dxa"/>
            <w:vAlign w:val="bottom"/>
            <w:tcBorders>
              <w:bottom w:val="single" w:sz="8" w:color="CCEEF7"/>
            </w:tcBorders>
            <w:vMerge w:val="continue"/>
            <w:shd w:val="clear" w:color="auto" w:fill="CCEEF7"/>
          </w:tcPr>
          <w:p>
            <w:pPr>
              <w:spacing w:after="0"/>
              <w:rPr>
                <w:sz w:val="15"/>
                <w:szCs w:val="15"/>
                <w:color w:val="auto"/>
              </w:rPr>
            </w:pPr>
          </w:p>
        </w:tc>
        <w:tc>
          <w:tcPr>
            <w:tcW w:w="800" w:type="dxa"/>
            <w:vAlign w:val="bottom"/>
            <w:tcBorders>
              <w:bottom w:val="single" w:sz="8" w:color="CCEEF7"/>
            </w:tcBorders>
            <w:vMerge w:val="continue"/>
            <w:shd w:val="clear" w:color="auto" w:fill="CCEEF7"/>
          </w:tcPr>
          <w:p>
            <w:pPr>
              <w:spacing w:after="0"/>
              <w:rPr>
                <w:sz w:val="15"/>
                <w:szCs w:val="15"/>
                <w:color w:val="auto"/>
              </w:rPr>
            </w:pPr>
          </w:p>
        </w:tc>
        <w:tc>
          <w:tcPr>
            <w:tcW w:w="940" w:type="dxa"/>
            <w:vAlign w:val="bottom"/>
            <w:tcBorders>
              <w:bottom w:val="single" w:sz="8" w:color="CCEEF7"/>
            </w:tcBorders>
            <w:vMerge w:val="continue"/>
            <w:shd w:val="clear" w:color="auto" w:fill="CCEEF7"/>
          </w:tcPr>
          <w:p>
            <w:pPr>
              <w:spacing w:after="0"/>
              <w:rPr>
                <w:sz w:val="15"/>
                <w:szCs w:val="15"/>
                <w:color w:val="auto"/>
              </w:rPr>
            </w:pPr>
          </w:p>
        </w:tc>
        <w:tc>
          <w:tcPr>
            <w:tcW w:w="960" w:type="dxa"/>
            <w:vAlign w:val="bottom"/>
            <w:tcBorders>
              <w:bottom w:val="single" w:sz="8" w:color="CCEEF7"/>
            </w:tcBorders>
            <w:vMerge w:val="continue"/>
            <w:shd w:val="clear" w:color="auto" w:fill="CCEEF7"/>
          </w:tcPr>
          <w:p>
            <w:pPr>
              <w:spacing w:after="0"/>
              <w:rPr>
                <w:sz w:val="15"/>
                <w:szCs w:val="15"/>
                <w:color w:val="auto"/>
              </w:rPr>
            </w:pPr>
          </w:p>
        </w:tc>
        <w:tc>
          <w:tcPr>
            <w:tcW w:w="1040" w:type="dxa"/>
            <w:vAlign w:val="bottom"/>
            <w:tcBorders>
              <w:bottom w:val="single" w:sz="8" w:color="CCEEF7"/>
            </w:tcBorders>
            <w:vMerge w:val="continue"/>
            <w:shd w:val="clear" w:color="auto" w:fill="CCEEF7"/>
          </w:tcPr>
          <w:p>
            <w:pPr>
              <w:spacing w:after="0"/>
              <w:rPr>
                <w:sz w:val="15"/>
                <w:szCs w:val="15"/>
                <w:color w:val="auto"/>
              </w:rPr>
            </w:pPr>
          </w:p>
        </w:tc>
        <w:tc>
          <w:tcPr>
            <w:tcW w:w="1020" w:type="dxa"/>
            <w:vAlign w:val="bottom"/>
            <w:tcBorders>
              <w:bottom w:val="single" w:sz="8" w:color="CCEEF7"/>
            </w:tcBorders>
            <w:vMerge w:val="continue"/>
            <w:shd w:val="clear" w:color="auto" w:fill="CCEEF7"/>
          </w:tcPr>
          <w:p>
            <w:pPr>
              <w:spacing w:after="0"/>
              <w:rPr>
                <w:sz w:val="15"/>
                <w:szCs w:val="15"/>
                <w:color w:val="auto"/>
              </w:rPr>
            </w:pPr>
          </w:p>
        </w:tc>
        <w:tc>
          <w:tcPr>
            <w:tcW w:w="800" w:type="dxa"/>
            <w:vAlign w:val="bottom"/>
            <w:tcBorders>
              <w:bottom w:val="single" w:sz="8" w:color="CCEEF7"/>
            </w:tcBorders>
            <w:vMerge w:val="continue"/>
            <w:shd w:val="clear" w:color="auto" w:fill="CCEEF7"/>
          </w:tcPr>
          <w:p>
            <w:pPr>
              <w:spacing w:after="0"/>
              <w:rPr>
                <w:sz w:val="15"/>
                <w:szCs w:val="15"/>
                <w:color w:val="auto"/>
              </w:rPr>
            </w:pPr>
          </w:p>
        </w:tc>
        <w:tc>
          <w:tcPr>
            <w:tcW w:w="1040" w:type="dxa"/>
            <w:vAlign w:val="bottom"/>
            <w:tcBorders>
              <w:bottom w:val="single" w:sz="8" w:color="CCEEF7"/>
            </w:tcBorders>
            <w:vMerge w:val="continue"/>
            <w:shd w:val="clear" w:color="auto" w:fill="CCEEF7"/>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378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2020</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980,000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814,948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26,242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2,221,190</w:t>
            </w:r>
          </w:p>
        </w:tc>
        <w:tc>
          <w:tcPr>
            <w:tcW w:w="0" w:type="dxa"/>
            <w:vAlign w:val="bottom"/>
          </w:tcPr>
          <w:p>
            <w:pPr>
              <w:spacing w:after="0"/>
              <w:rPr>
                <w:sz w:val="1"/>
                <w:szCs w:val="1"/>
                <w:color w:val="auto"/>
              </w:rPr>
            </w:pPr>
          </w:p>
        </w:tc>
      </w:tr>
      <w:tr>
        <w:trPr>
          <w:trHeight w:val="164"/>
        </w:trPr>
        <w:tc>
          <w:tcPr>
            <w:tcW w:w="3780" w:type="dxa"/>
            <w:vAlign w:val="bottom"/>
          </w:tcPr>
          <w:p>
            <w:pPr>
              <w:ind w:left="60"/>
              <w:spacing w:after="0"/>
              <w:rPr>
                <w:sz w:val="20"/>
                <w:szCs w:val="20"/>
                <w:color w:val="auto"/>
              </w:rPr>
            </w:pPr>
            <w:r>
              <w:rPr>
                <w:rFonts w:ascii="Arial" w:cs="Arial" w:eastAsia="Arial" w:hAnsi="Arial"/>
                <w:sz w:val="13"/>
                <w:szCs w:val="13"/>
                <w:i w:val="1"/>
                <w:iCs w:val="1"/>
                <w:color w:val="auto"/>
              </w:rPr>
              <w:t>Chief Financial Officer</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6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78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640" w:type="dxa"/>
            <w:vAlign w:val="bottom"/>
            <w:gridSpan w:val="2"/>
            <w:shd w:val="clear" w:color="auto" w:fill="CCEEF7"/>
          </w:tcPr>
          <w:p>
            <w:pPr>
              <w:jc w:val="right"/>
              <w:ind w:right="39"/>
              <w:spacing w:after="0"/>
              <w:rPr>
                <w:sz w:val="20"/>
                <w:szCs w:val="20"/>
                <w:color w:val="auto"/>
              </w:rPr>
            </w:pPr>
            <w:r>
              <w:rPr>
                <w:rFonts w:ascii="Arial" w:cs="Arial" w:eastAsia="Arial" w:hAnsi="Arial"/>
                <w:sz w:val="16"/>
                <w:szCs w:val="16"/>
                <w:color w:val="auto"/>
              </w:rPr>
              <w:t>2020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660,000</w:t>
            </w:r>
          </w:p>
        </w:tc>
        <w:tc>
          <w:tcPr>
            <w:tcW w:w="94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3,349,972</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119"/>
              <w:spacing w:after="0"/>
              <w:rPr>
                <w:sz w:val="20"/>
                <w:szCs w:val="20"/>
                <w:color w:val="auto"/>
              </w:rPr>
            </w:pPr>
            <w:r>
              <w:rPr>
                <w:rFonts w:ascii="Arial" w:cs="Arial" w:eastAsia="Arial" w:hAnsi="Arial"/>
                <w:sz w:val="16"/>
                <w:szCs w:val="16"/>
                <w:color w:val="auto"/>
              </w:rPr>
              <w:t>6,700,000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44,700</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10,754,672</w:t>
            </w:r>
          </w:p>
        </w:tc>
        <w:tc>
          <w:tcPr>
            <w:tcW w:w="0" w:type="dxa"/>
            <w:vAlign w:val="bottom"/>
          </w:tcPr>
          <w:p>
            <w:pPr>
              <w:spacing w:after="0"/>
              <w:rPr>
                <w:sz w:val="1"/>
                <w:szCs w:val="1"/>
                <w:color w:val="auto"/>
              </w:rPr>
            </w:pPr>
          </w:p>
        </w:tc>
      </w:tr>
      <w:tr>
        <w:trPr>
          <w:trHeight w:val="150"/>
        </w:trPr>
        <w:tc>
          <w:tcPr>
            <w:tcW w:w="3780" w:type="dxa"/>
            <w:vAlign w:val="bottom"/>
            <w:vMerge w:val="continue"/>
            <w:shd w:val="clear" w:color="auto" w:fill="CCEEF7"/>
          </w:tcPr>
          <w:p>
            <w:pPr>
              <w:spacing w:after="0"/>
              <w:rPr>
                <w:sz w:val="13"/>
                <w:szCs w:val="13"/>
                <w:color w:val="auto"/>
              </w:rPr>
            </w:pPr>
          </w:p>
        </w:tc>
        <w:tc>
          <w:tcPr>
            <w:tcW w:w="160" w:type="dxa"/>
            <w:vAlign w:val="bottom"/>
            <w:shd w:val="clear" w:color="auto" w:fill="CCEEF7"/>
          </w:tcPr>
          <w:p>
            <w:pPr>
              <w:spacing w:after="0"/>
              <w:rPr>
                <w:sz w:val="13"/>
                <w:szCs w:val="13"/>
                <w:color w:val="auto"/>
              </w:rPr>
            </w:pPr>
          </w:p>
        </w:tc>
        <w:tc>
          <w:tcPr>
            <w:tcW w:w="48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w w:val="95"/>
              </w:rPr>
              <w:t>2019</w:t>
            </w:r>
          </w:p>
        </w:tc>
        <w:tc>
          <w:tcPr>
            <w:tcW w:w="80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660,000</w:t>
            </w:r>
          </w:p>
        </w:tc>
        <w:tc>
          <w:tcPr>
            <w:tcW w:w="94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2,830,000</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7"/>
          </w:tcPr>
          <w:p>
            <w:pPr>
              <w:jc w:val="right"/>
              <w:ind w:right="119"/>
              <w:spacing w:after="0"/>
              <w:rPr>
                <w:sz w:val="20"/>
                <w:szCs w:val="20"/>
                <w:color w:val="auto"/>
              </w:rPr>
            </w:pPr>
            <w:r>
              <w:rPr>
                <w:rFonts w:ascii="Arial" w:cs="Arial" w:eastAsia="Arial" w:hAnsi="Arial"/>
                <w:sz w:val="16"/>
                <w:szCs w:val="16"/>
                <w:color w:val="auto"/>
              </w:rPr>
              <w:t>6,234,000</w:t>
            </w:r>
          </w:p>
        </w:tc>
        <w:tc>
          <w:tcPr>
            <w:tcW w:w="800" w:type="dxa"/>
            <w:vAlign w:val="bottom"/>
            <w:vMerge w:val="restart"/>
            <w:shd w:val="clear" w:color="auto" w:fill="CCEEF7"/>
          </w:tcPr>
          <w:p>
            <w:pPr>
              <w:jc w:val="right"/>
              <w:ind w:right="19"/>
              <w:spacing w:after="0"/>
              <w:rPr>
                <w:sz w:val="20"/>
                <w:szCs w:val="20"/>
                <w:color w:val="auto"/>
              </w:rPr>
            </w:pPr>
            <w:r>
              <w:rPr>
                <w:rFonts w:ascii="Arial" w:cs="Arial" w:eastAsia="Arial" w:hAnsi="Arial"/>
                <w:sz w:val="16"/>
                <w:szCs w:val="16"/>
                <w:color w:val="auto"/>
              </w:rPr>
              <w:t>45,301</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9,769,301</w:t>
            </w:r>
          </w:p>
        </w:tc>
        <w:tc>
          <w:tcPr>
            <w:tcW w:w="0" w:type="dxa"/>
            <w:vAlign w:val="bottom"/>
          </w:tcPr>
          <w:p>
            <w:pPr>
              <w:spacing w:after="0"/>
              <w:rPr>
                <w:sz w:val="1"/>
                <w:szCs w:val="1"/>
                <w:color w:val="auto"/>
              </w:rPr>
            </w:pPr>
          </w:p>
        </w:tc>
      </w:tr>
      <w:tr>
        <w:trPr>
          <w:trHeight w:val="106"/>
        </w:trPr>
        <w:tc>
          <w:tcPr>
            <w:tcW w:w="3780" w:type="dxa"/>
            <w:vAlign w:val="bottom"/>
            <w:vMerge w:val="restart"/>
            <w:shd w:val="clear" w:color="auto" w:fill="CCEEF7"/>
          </w:tcPr>
          <w:p>
            <w:pPr>
              <w:ind w:left="60"/>
              <w:spacing w:after="0"/>
              <w:rPr>
                <w:sz w:val="20"/>
                <w:szCs w:val="20"/>
                <w:color w:val="auto"/>
              </w:rPr>
            </w:pPr>
            <w:r>
              <w:rPr>
                <w:rFonts w:ascii="Arial" w:cs="Arial" w:eastAsia="Arial" w:hAnsi="Arial"/>
                <w:sz w:val="13"/>
                <w:szCs w:val="13"/>
                <w:i w:val="1"/>
                <w:iCs w:val="1"/>
                <w:color w:val="auto"/>
              </w:rPr>
              <w:t>President</w:t>
            </w:r>
          </w:p>
        </w:tc>
        <w:tc>
          <w:tcPr>
            <w:tcW w:w="160" w:type="dxa"/>
            <w:vAlign w:val="bottom"/>
            <w:shd w:val="clear" w:color="auto" w:fill="CCEEF7"/>
          </w:tcPr>
          <w:p>
            <w:pPr>
              <w:spacing w:after="0"/>
              <w:rPr>
                <w:sz w:val="9"/>
                <w:szCs w:val="9"/>
                <w:color w:val="auto"/>
              </w:rPr>
            </w:pPr>
          </w:p>
        </w:tc>
        <w:tc>
          <w:tcPr>
            <w:tcW w:w="480" w:type="dxa"/>
            <w:vAlign w:val="bottom"/>
            <w:vMerge w:val="continue"/>
            <w:shd w:val="clear" w:color="auto" w:fill="CCEEF7"/>
          </w:tcPr>
          <w:p>
            <w:pPr>
              <w:spacing w:after="0"/>
              <w:rPr>
                <w:sz w:val="9"/>
                <w:szCs w:val="9"/>
                <w:color w:val="auto"/>
              </w:rPr>
            </w:pPr>
          </w:p>
        </w:tc>
        <w:tc>
          <w:tcPr>
            <w:tcW w:w="800" w:type="dxa"/>
            <w:vAlign w:val="bottom"/>
            <w:vMerge w:val="continue"/>
            <w:shd w:val="clear" w:color="auto" w:fill="CCEEF7"/>
          </w:tcPr>
          <w:p>
            <w:pPr>
              <w:spacing w:after="0"/>
              <w:rPr>
                <w:sz w:val="9"/>
                <w:szCs w:val="9"/>
                <w:color w:val="auto"/>
              </w:rPr>
            </w:pPr>
          </w:p>
        </w:tc>
        <w:tc>
          <w:tcPr>
            <w:tcW w:w="940" w:type="dxa"/>
            <w:vAlign w:val="bottom"/>
            <w:vMerge w:val="continue"/>
            <w:shd w:val="clear" w:color="auto" w:fill="CCEEF7"/>
          </w:tcPr>
          <w:p>
            <w:pPr>
              <w:spacing w:after="0"/>
              <w:rPr>
                <w:sz w:val="9"/>
                <w:szCs w:val="9"/>
                <w:color w:val="auto"/>
              </w:rPr>
            </w:pPr>
          </w:p>
        </w:tc>
        <w:tc>
          <w:tcPr>
            <w:tcW w:w="960" w:type="dxa"/>
            <w:vAlign w:val="bottom"/>
            <w:vMerge w:val="continue"/>
            <w:shd w:val="clear" w:color="auto" w:fill="CCEEF7"/>
          </w:tcPr>
          <w:p>
            <w:pPr>
              <w:spacing w:after="0"/>
              <w:rPr>
                <w:sz w:val="9"/>
                <w:szCs w:val="9"/>
                <w:color w:val="auto"/>
              </w:rPr>
            </w:pPr>
          </w:p>
        </w:tc>
        <w:tc>
          <w:tcPr>
            <w:tcW w:w="1040" w:type="dxa"/>
            <w:vAlign w:val="bottom"/>
            <w:vMerge w:val="continue"/>
            <w:shd w:val="clear" w:color="auto" w:fill="CCEEF7"/>
          </w:tcPr>
          <w:p>
            <w:pPr>
              <w:spacing w:after="0"/>
              <w:rPr>
                <w:sz w:val="9"/>
                <w:szCs w:val="9"/>
                <w:color w:val="auto"/>
              </w:rPr>
            </w:pPr>
          </w:p>
        </w:tc>
        <w:tc>
          <w:tcPr>
            <w:tcW w:w="1020" w:type="dxa"/>
            <w:vAlign w:val="bottom"/>
            <w:vMerge w:val="continue"/>
            <w:shd w:val="clear" w:color="auto" w:fill="CCEEF7"/>
          </w:tcPr>
          <w:p>
            <w:pPr>
              <w:spacing w:after="0"/>
              <w:rPr>
                <w:sz w:val="9"/>
                <w:szCs w:val="9"/>
                <w:color w:val="auto"/>
              </w:rPr>
            </w:pPr>
          </w:p>
        </w:tc>
        <w:tc>
          <w:tcPr>
            <w:tcW w:w="800" w:type="dxa"/>
            <w:vAlign w:val="bottom"/>
            <w:vMerge w:val="continue"/>
            <w:shd w:val="clear" w:color="auto" w:fill="CCEEF7"/>
          </w:tcPr>
          <w:p>
            <w:pPr>
              <w:spacing w:after="0"/>
              <w:rPr>
                <w:sz w:val="9"/>
                <w:szCs w:val="9"/>
                <w:color w:val="auto"/>
              </w:rPr>
            </w:pPr>
          </w:p>
        </w:tc>
        <w:tc>
          <w:tcPr>
            <w:tcW w:w="1040" w:type="dxa"/>
            <w:vAlign w:val="bottom"/>
            <w:vMerge w:val="continue"/>
            <w:shd w:val="clear" w:color="auto" w:fill="CCEEF7"/>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3780" w:type="dxa"/>
            <w:vAlign w:val="bottom"/>
            <w:vMerge w:val="continue"/>
            <w:shd w:val="clear" w:color="auto" w:fill="CCEEF7"/>
          </w:tcPr>
          <w:p>
            <w:pPr>
              <w:spacing w:after="0"/>
              <w:rPr>
                <w:sz w:val="5"/>
                <w:szCs w:val="5"/>
                <w:color w:val="auto"/>
              </w:rPr>
            </w:pPr>
          </w:p>
        </w:tc>
        <w:tc>
          <w:tcPr>
            <w:tcW w:w="160" w:type="dxa"/>
            <w:vAlign w:val="bottom"/>
            <w:shd w:val="clear" w:color="auto" w:fill="CCEEF7"/>
          </w:tcPr>
          <w:p>
            <w:pPr>
              <w:spacing w:after="0"/>
              <w:rPr>
                <w:sz w:val="5"/>
                <w:szCs w:val="5"/>
                <w:color w:val="auto"/>
              </w:rPr>
            </w:pPr>
          </w:p>
        </w:tc>
        <w:tc>
          <w:tcPr>
            <w:tcW w:w="480" w:type="dxa"/>
            <w:vAlign w:val="bottom"/>
            <w:shd w:val="clear" w:color="auto" w:fill="CCEEF7"/>
          </w:tcPr>
          <w:p>
            <w:pPr>
              <w:spacing w:after="0"/>
              <w:rPr>
                <w:sz w:val="5"/>
                <w:szCs w:val="5"/>
                <w:color w:val="auto"/>
              </w:rPr>
            </w:pPr>
          </w:p>
        </w:tc>
        <w:tc>
          <w:tcPr>
            <w:tcW w:w="800" w:type="dxa"/>
            <w:vAlign w:val="bottom"/>
            <w:shd w:val="clear" w:color="auto" w:fill="CCEEF7"/>
          </w:tcPr>
          <w:p>
            <w:pPr>
              <w:spacing w:after="0"/>
              <w:rPr>
                <w:sz w:val="5"/>
                <w:szCs w:val="5"/>
                <w:color w:val="auto"/>
              </w:rPr>
            </w:pPr>
          </w:p>
        </w:tc>
        <w:tc>
          <w:tcPr>
            <w:tcW w:w="940" w:type="dxa"/>
            <w:vAlign w:val="bottom"/>
            <w:shd w:val="clear" w:color="auto" w:fill="CCEEF7"/>
          </w:tcPr>
          <w:p>
            <w:pPr>
              <w:spacing w:after="0"/>
              <w:rPr>
                <w:sz w:val="5"/>
                <w:szCs w:val="5"/>
                <w:color w:val="auto"/>
              </w:rPr>
            </w:pPr>
          </w:p>
        </w:tc>
        <w:tc>
          <w:tcPr>
            <w:tcW w:w="960" w:type="dxa"/>
            <w:vAlign w:val="bottom"/>
            <w:shd w:val="clear" w:color="auto" w:fill="CCEEF7"/>
          </w:tcPr>
          <w:p>
            <w:pPr>
              <w:spacing w:after="0"/>
              <w:rPr>
                <w:sz w:val="5"/>
                <w:szCs w:val="5"/>
                <w:color w:val="auto"/>
              </w:rPr>
            </w:pPr>
          </w:p>
        </w:tc>
        <w:tc>
          <w:tcPr>
            <w:tcW w:w="1040" w:type="dxa"/>
            <w:vAlign w:val="bottom"/>
            <w:shd w:val="clear" w:color="auto" w:fill="CCEEF7"/>
          </w:tcPr>
          <w:p>
            <w:pPr>
              <w:spacing w:after="0"/>
              <w:rPr>
                <w:sz w:val="5"/>
                <w:szCs w:val="5"/>
                <w:color w:val="auto"/>
              </w:rPr>
            </w:pPr>
          </w:p>
        </w:tc>
        <w:tc>
          <w:tcPr>
            <w:tcW w:w="1020" w:type="dxa"/>
            <w:vAlign w:val="bottom"/>
            <w:shd w:val="clear" w:color="auto" w:fill="CCEEF7"/>
          </w:tcPr>
          <w:p>
            <w:pPr>
              <w:spacing w:after="0"/>
              <w:rPr>
                <w:sz w:val="5"/>
                <w:szCs w:val="5"/>
                <w:color w:val="auto"/>
              </w:rPr>
            </w:pPr>
          </w:p>
        </w:tc>
        <w:tc>
          <w:tcPr>
            <w:tcW w:w="800" w:type="dxa"/>
            <w:vAlign w:val="bottom"/>
            <w:shd w:val="clear" w:color="auto" w:fill="CCEEF7"/>
          </w:tcPr>
          <w:p>
            <w:pPr>
              <w:spacing w:after="0"/>
              <w:rPr>
                <w:sz w:val="5"/>
                <w:szCs w:val="5"/>
                <w:color w:val="auto"/>
              </w:rPr>
            </w:pPr>
          </w:p>
        </w:tc>
        <w:tc>
          <w:tcPr>
            <w:tcW w:w="1040" w:type="dxa"/>
            <w:vAlign w:val="bottom"/>
            <w:shd w:val="clear" w:color="auto" w:fill="CCEEF7"/>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7"/>
            </w:tcBorders>
            <w:shd w:val="clear" w:color="auto" w:fill="CCEEF7"/>
          </w:tcPr>
          <w:p>
            <w:pPr>
              <w:spacing w:after="0"/>
              <w:rPr>
                <w:sz w:val="20"/>
                <w:szCs w:val="20"/>
                <w:color w:val="auto"/>
              </w:rPr>
            </w:pPr>
          </w:p>
        </w:tc>
        <w:tc>
          <w:tcPr>
            <w:tcW w:w="160" w:type="dxa"/>
            <w:vAlign w:val="bottom"/>
            <w:tcBorders>
              <w:bottom w:val="single" w:sz="8" w:color="CCEEF7"/>
            </w:tcBorders>
            <w:shd w:val="clear" w:color="auto" w:fill="CCEEF7"/>
          </w:tcPr>
          <w:p>
            <w:pPr>
              <w:spacing w:after="0"/>
              <w:rPr>
                <w:sz w:val="20"/>
                <w:szCs w:val="20"/>
                <w:color w:val="auto"/>
              </w:rPr>
            </w:pPr>
          </w:p>
        </w:tc>
        <w:tc>
          <w:tcPr>
            <w:tcW w:w="48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w w:val="95"/>
              </w:rPr>
              <w:t>2018</w:t>
            </w:r>
          </w:p>
        </w:tc>
        <w:tc>
          <w:tcPr>
            <w:tcW w:w="800" w:type="dxa"/>
            <w:vAlign w:val="bottom"/>
            <w:tcBorders>
              <w:bottom w:val="single" w:sz="8" w:color="CCEEF7"/>
            </w:tcBorders>
            <w:shd w:val="clear" w:color="auto" w:fill="CCEEF7"/>
          </w:tcPr>
          <w:p>
            <w:pPr>
              <w:jc w:val="right"/>
              <w:ind w:right="19"/>
              <w:spacing w:after="0"/>
              <w:rPr>
                <w:sz w:val="20"/>
                <w:szCs w:val="20"/>
                <w:color w:val="auto"/>
              </w:rPr>
            </w:pPr>
            <w:r>
              <w:rPr>
                <w:rFonts w:ascii="Arial" w:cs="Arial" w:eastAsia="Arial" w:hAnsi="Arial"/>
                <w:sz w:val="16"/>
                <w:szCs w:val="16"/>
                <w:color w:val="auto"/>
              </w:rPr>
              <w:t>660,000</w:t>
            </w:r>
          </w:p>
        </w:tc>
        <w:tc>
          <w:tcPr>
            <w:tcW w:w="940" w:type="dxa"/>
            <w:vAlign w:val="bottom"/>
            <w:tcBorders>
              <w:bottom w:val="single" w:sz="8" w:color="CCEEF7"/>
            </w:tcBorders>
            <w:shd w:val="clear" w:color="auto" w:fill="CCEEF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2,461,250</w:t>
            </w:r>
          </w:p>
        </w:tc>
        <w:tc>
          <w:tcPr>
            <w:tcW w:w="10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6,700,918</w:t>
            </w:r>
          </w:p>
        </w:tc>
        <w:tc>
          <w:tcPr>
            <w:tcW w:w="1020" w:type="dxa"/>
            <w:vAlign w:val="bottom"/>
            <w:tcBorders>
              <w:bottom w:val="single" w:sz="8" w:color="CCEEF7"/>
            </w:tcBorders>
            <w:shd w:val="clear" w:color="auto" w:fill="CCEEF7"/>
          </w:tcPr>
          <w:p>
            <w:pPr>
              <w:jc w:val="right"/>
              <w:ind w:right="119"/>
              <w:spacing w:after="0"/>
              <w:rPr>
                <w:sz w:val="20"/>
                <w:szCs w:val="20"/>
                <w:color w:val="auto"/>
              </w:rPr>
            </w:pPr>
            <w:r>
              <w:rPr>
                <w:rFonts w:ascii="Arial" w:cs="Arial" w:eastAsia="Arial" w:hAnsi="Arial"/>
                <w:sz w:val="16"/>
                <w:szCs w:val="16"/>
                <w:color w:val="auto"/>
              </w:rPr>
              <w:t>5,700,000</w:t>
            </w:r>
          </w:p>
        </w:tc>
        <w:tc>
          <w:tcPr>
            <w:tcW w:w="800" w:type="dxa"/>
            <w:vAlign w:val="bottom"/>
            <w:tcBorders>
              <w:bottom w:val="single" w:sz="8" w:color="CCEEF7"/>
            </w:tcBorders>
            <w:shd w:val="clear" w:color="auto" w:fill="CCEEF7"/>
          </w:tcPr>
          <w:p>
            <w:pPr>
              <w:jc w:val="right"/>
              <w:ind w:right="19"/>
              <w:spacing w:after="0"/>
              <w:rPr>
                <w:sz w:val="20"/>
                <w:szCs w:val="20"/>
                <w:color w:val="auto"/>
              </w:rPr>
            </w:pPr>
            <w:r>
              <w:rPr>
                <w:rFonts w:ascii="Arial" w:cs="Arial" w:eastAsia="Arial" w:hAnsi="Arial"/>
                <w:sz w:val="16"/>
                <w:szCs w:val="16"/>
                <w:color w:val="auto"/>
              </w:rPr>
              <w:t>46,950</w:t>
            </w:r>
          </w:p>
        </w:tc>
        <w:tc>
          <w:tcPr>
            <w:tcW w:w="10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15,569,118</w:t>
            </w:r>
          </w:p>
        </w:tc>
        <w:tc>
          <w:tcPr>
            <w:tcW w:w="0" w:type="dxa"/>
            <w:vAlign w:val="bottom"/>
          </w:tcPr>
          <w:p>
            <w:pPr>
              <w:spacing w:after="0"/>
              <w:rPr>
                <w:sz w:val="1"/>
                <w:szCs w:val="1"/>
                <w:color w:val="auto"/>
              </w:rPr>
            </w:pPr>
          </w:p>
        </w:tc>
      </w:tr>
      <w:tr>
        <w:trPr>
          <w:trHeight w:val="278"/>
        </w:trPr>
        <w:tc>
          <w:tcPr>
            <w:tcW w:w="3780" w:type="dxa"/>
            <w:vAlign w:val="bottom"/>
            <w:vMerge w:val="restart"/>
          </w:tcPr>
          <w:p>
            <w:pPr>
              <w:ind w:left="60"/>
              <w:spacing w:after="0"/>
              <w:rPr>
                <w:sz w:val="20"/>
                <w:szCs w:val="20"/>
                <w:color w:val="auto"/>
              </w:rPr>
            </w:pPr>
            <w:r>
              <w:rPr>
                <w:rFonts w:ascii="Arial" w:cs="Arial" w:eastAsia="Arial" w:hAnsi="Arial"/>
                <w:sz w:val="16"/>
                <w:szCs w:val="16"/>
                <w:color w:val="auto"/>
              </w:rPr>
              <w:t>Enrico Bruni</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2020</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382,890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1,837,500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1,249,982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44,277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3,514,649</w:t>
            </w:r>
          </w:p>
        </w:tc>
        <w:tc>
          <w:tcPr>
            <w:tcW w:w="0" w:type="dxa"/>
            <w:vAlign w:val="bottom"/>
          </w:tcPr>
          <w:p>
            <w:pPr>
              <w:spacing w:after="0"/>
              <w:rPr>
                <w:sz w:val="1"/>
                <w:szCs w:val="1"/>
                <w:color w:val="auto"/>
              </w:rPr>
            </w:pPr>
          </w:p>
        </w:tc>
      </w:tr>
      <w:tr>
        <w:trPr>
          <w:trHeight w:val="42"/>
        </w:trPr>
        <w:tc>
          <w:tcPr>
            <w:tcW w:w="3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60"/>
              <w:spacing w:after="0" w:line="135" w:lineRule="exact"/>
              <w:rPr>
                <w:sz w:val="20"/>
                <w:szCs w:val="20"/>
                <w:color w:val="auto"/>
              </w:rPr>
            </w:pPr>
            <w:r>
              <w:rPr>
                <w:rFonts w:ascii="Arial" w:cs="Arial" w:eastAsia="Arial" w:hAnsi="Arial"/>
                <w:sz w:val="13"/>
                <w:szCs w:val="13"/>
                <w:i w:val="1"/>
                <w:iCs w:val="1"/>
                <w:color w:val="auto"/>
              </w:rPr>
              <w:t>Managing Director,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60"/>
              <w:spacing w:after="0" w:line="135" w:lineRule="exact"/>
              <w:rPr>
                <w:sz w:val="20"/>
                <w:szCs w:val="20"/>
                <w:color w:val="auto"/>
              </w:rPr>
            </w:pPr>
            <w:r>
              <w:rPr>
                <w:rFonts w:ascii="Arial" w:cs="Arial" w:eastAsia="Arial" w:hAnsi="Arial"/>
                <w:sz w:val="13"/>
                <w:szCs w:val="13"/>
                <w:i w:val="1"/>
                <w:iCs w:val="1"/>
                <w:color w:val="auto"/>
              </w:rPr>
              <w:t>Head of Europe</w:t>
            </w:r>
          </w:p>
        </w:tc>
        <w:tc>
          <w:tcPr>
            <w:tcW w:w="6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2019</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392,123</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1,719,182</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500,000</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35,976</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2,647,281</w:t>
            </w:r>
          </w:p>
        </w:tc>
        <w:tc>
          <w:tcPr>
            <w:tcW w:w="0" w:type="dxa"/>
            <w:vAlign w:val="bottom"/>
          </w:tcPr>
          <w:p>
            <w:pPr>
              <w:spacing w:after="0"/>
              <w:rPr>
                <w:sz w:val="1"/>
                <w:szCs w:val="1"/>
                <w:color w:val="auto"/>
              </w:rPr>
            </w:pPr>
          </w:p>
        </w:tc>
      </w:tr>
      <w:tr>
        <w:trPr>
          <w:trHeight w:val="187"/>
        </w:trPr>
        <w:tc>
          <w:tcPr>
            <w:tcW w:w="3780" w:type="dxa"/>
            <w:vAlign w:val="bottom"/>
          </w:tcPr>
          <w:p>
            <w:pPr>
              <w:ind w:left="60"/>
              <w:spacing w:after="0"/>
              <w:rPr>
                <w:sz w:val="20"/>
                <w:szCs w:val="20"/>
                <w:color w:val="auto"/>
              </w:rPr>
            </w:pPr>
            <w:r>
              <w:rPr>
                <w:rFonts w:ascii="Arial" w:cs="Arial" w:eastAsia="Arial" w:hAnsi="Arial"/>
                <w:sz w:val="13"/>
                <w:szCs w:val="13"/>
                <w:i w:val="1"/>
                <w:iCs w:val="1"/>
                <w:color w:val="auto"/>
              </w:rPr>
              <w:t>and Asia Business</w:t>
            </w:r>
            <w:r>
              <w:rPr>
                <w:rFonts w:ascii="Arial" w:cs="Arial" w:eastAsia="Arial" w:hAnsi="Arial"/>
                <w:sz w:val="13"/>
                <w:szCs w:val="13"/>
                <w:color w:val="auto"/>
              </w:rPr>
              <w:t>(6)</w:t>
            </w:r>
          </w:p>
        </w:tc>
        <w:tc>
          <w:tcPr>
            <w:tcW w:w="6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780" w:type="dxa"/>
            <w:vAlign w:val="bottom"/>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160" w:type="dxa"/>
            <w:vAlign w:val="bottom"/>
            <w:shd w:val="clear" w:color="auto" w:fill="CCEEF7"/>
          </w:tcPr>
          <w:p>
            <w:pPr>
              <w:spacing w:after="0"/>
              <w:rPr>
                <w:sz w:val="24"/>
                <w:szCs w:val="24"/>
                <w:color w:val="auto"/>
              </w:rPr>
            </w:pPr>
          </w:p>
        </w:tc>
        <w:tc>
          <w:tcPr>
            <w:tcW w:w="48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w w:val="95"/>
              </w:rPr>
              <w:t>2020</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300,000</w:t>
            </w:r>
          </w:p>
        </w:tc>
        <w:tc>
          <w:tcPr>
            <w:tcW w:w="94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1,210,000</w:t>
            </w:r>
          </w:p>
        </w:tc>
        <w:tc>
          <w:tcPr>
            <w:tcW w:w="96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999,970</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37,423</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2,547,393</w:t>
            </w:r>
          </w:p>
        </w:tc>
        <w:tc>
          <w:tcPr>
            <w:tcW w:w="0" w:type="dxa"/>
            <w:vAlign w:val="bottom"/>
          </w:tcPr>
          <w:p>
            <w:pPr>
              <w:spacing w:after="0"/>
              <w:rPr>
                <w:sz w:val="1"/>
                <w:szCs w:val="1"/>
                <w:color w:val="auto"/>
              </w:rPr>
            </w:pPr>
          </w:p>
        </w:tc>
      </w:tr>
      <w:tr>
        <w:trPr>
          <w:trHeight w:val="164"/>
        </w:trPr>
        <w:tc>
          <w:tcPr>
            <w:tcW w:w="3780" w:type="dxa"/>
            <w:vAlign w:val="bottom"/>
            <w:shd w:val="clear" w:color="auto" w:fill="CCEEF7"/>
          </w:tcPr>
          <w:p>
            <w:pPr>
              <w:ind w:left="60"/>
              <w:spacing w:after="0"/>
              <w:rPr>
                <w:sz w:val="20"/>
                <w:szCs w:val="20"/>
                <w:color w:val="auto"/>
              </w:rPr>
            </w:pPr>
            <w:r>
              <w:rPr>
                <w:rFonts w:ascii="Arial" w:cs="Arial" w:eastAsia="Arial" w:hAnsi="Arial"/>
                <w:sz w:val="13"/>
                <w:szCs w:val="13"/>
                <w:i w:val="1"/>
                <w:iCs w:val="1"/>
                <w:color w:val="auto"/>
              </w:rPr>
              <w:t>Chief Technology Officer</w:t>
            </w:r>
          </w:p>
        </w:tc>
        <w:tc>
          <w:tcPr>
            <w:tcW w:w="160" w:type="dxa"/>
            <w:vAlign w:val="bottom"/>
            <w:shd w:val="clear" w:color="auto" w:fill="CCEEF7"/>
          </w:tcPr>
          <w:p>
            <w:pPr>
              <w:spacing w:after="0"/>
              <w:rPr>
                <w:sz w:val="14"/>
                <w:szCs w:val="14"/>
                <w:color w:val="auto"/>
              </w:rPr>
            </w:pPr>
          </w:p>
        </w:tc>
        <w:tc>
          <w:tcPr>
            <w:tcW w:w="480" w:type="dxa"/>
            <w:vAlign w:val="bottom"/>
            <w:shd w:val="clear" w:color="auto" w:fill="CCEEF7"/>
          </w:tcPr>
          <w:p>
            <w:pPr>
              <w:spacing w:after="0"/>
              <w:rPr>
                <w:sz w:val="14"/>
                <w:szCs w:val="14"/>
                <w:color w:val="auto"/>
              </w:rPr>
            </w:pPr>
          </w:p>
        </w:tc>
        <w:tc>
          <w:tcPr>
            <w:tcW w:w="800" w:type="dxa"/>
            <w:vAlign w:val="bottom"/>
            <w:shd w:val="clear" w:color="auto" w:fill="CCEEF7"/>
          </w:tcPr>
          <w:p>
            <w:pPr>
              <w:spacing w:after="0"/>
              <w:rPr>
                <w:sz w:val="14"/>
                <w:szCs w:val="14"/>
                <w:color w:val="auto"/>
              </w:rPr>
            </w:pPr>
          </w:p>
        </w:tc>
        <w:tc>
          <w:tcPr>
            <w:tcW w:w="940" w:type="dxa"/>
            <w:vAlign w:val="bottom"/>
            <w:shd w:val="clear" w:color="auto" w:fill="CCEEF7"/>
          </w:tcPr>
          <w:p>
            <w:pPr>
              <w:spacing w:after="0"/>
              <w:rPr>
                <w:sz w:val="14"/>
                <w:szCs w:val="14"/>
                <w:color w:val="auto"/>
              </w:rPr>
            </w:pPr>
          </w:p>
        </w:tc>
        <w:tc>
          <w:tcPr>
            <w:tcW w:w="960" w:type="dxa"/>
            <w:vAlign w:val="bottom"/>
            <w:shd w:val="clear" w:color="auto" w:fill="CCEEF7"/>
          </w:tcPr>
          <w:p>
            <w:pPr>
              <w:spacing w:after="0"/>
              <w:rPr>
                <w:sz w:val="14"/>
                <w:szCs w:val="14"/>
                <w:color w:val="auto"/>
              </w:rPr>
            </w:pPr>
          </w:p>
        </w:tc>
        <w:tc>
          <w:tcPr>
            <w:tcW w:w="1040" w:type="dxa"/>
            <w:vAlign w:val="bottom"/>
            <w:shd w:val="clear" w:color="auto" w:fill="CCEEF7"/>
          </w:tcPr>
          <w:p>
            <w:pPr>
              <w:spacing w:after="0"/>
              <w:rPr>
                <w:sz w:val="14"/>
                <w:szCs w:val="14"/>
                <w:color w:val="auto"/>
              </w:rPr>
            </w:pPr>
          </w:p>
        </w:tc>
        <w:tc>
          <w:tcPr>
            <w:tcW w:w="1020" w:type="dxa"/>
            <w:vAlign w:val="bottom"/>
            <w:shd w:val="clear" w:color="auto" w:fill="CCEEF7"/>
          </w:tcPr>
          <w:p>
            <w:pPr>
              <w:spacing w:after="0"/>
              <w:rPr>
                <w:sz w:val="14"/>
                <w:szCs w:val="14"/>
                <w:color w:val="auto"/>
              </w:rPr>
            </w:pPr>
          </w:p>
        </w:tc>
        <w:tc>
          <w:tcPr>
            <w:tcW w:w="800" w:type="dxa"/>
            <w:vAlign w:val="bottom"/>
            <w:shd w:val="clear" w:color="auto" w:fill="CCEEF7"/>
          </w:tcPr>
          <w:p>
            <w:pPr>
              <w:spacing w:after="0"/>
              <w:rPr>
                <w:sz w:val="14"/>
                <w:szCs w:val="14"/>
                <w:color w:val="auto"/>
              </w:rPr>
            </w:pPr>
          </w:p>
        </w:tc>
        <w:tc>
          <w:tcPr>
            <w:tcW w:w="1040" w:type="dxa"/>
            <w:vAlign w:val="bottom"/>
            <w:shd w:val="clear" w:color="auto" w:fill="CCEEF7"/>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tcBorders>
              <w:bottom w:val="single" w:sz="8" w:color="auto"/>
            </w:tcBorders>
            <w:shd w:val="clear" w:color="auto" w:fill="CCEEF7"/>
          </w:tcPr>
          <w:p>
            <w:pPr>
              <w:spacing w:after="0"/>
              <w:rPr>
                <w:sz w:val="12"/>
                <w:szCs w:val="12"/>
                <w:color w:val="auto"/>
              </w:rPr>
            </w:pPr>
          </w:p>
        </w:tc>
        <w:tc>
          <w:tcPr>
            <w:tcW w:w="160" w:type="dxa"/>
            <w:vAlign w:val="bottom"/>
            <w:tcBorders>
              <w:bottom w:val="single" w:sz="8" w:color="auto"/>
            </w:tcBorders>
            <w:shd w:val="clear" w:color="auto" w:fill="CCEEF7"/>
          </w:tcPr>
          <w:p>
            <w:pPr>
              <w:spacing w:after="0"/>
              <w:rPr>
                <w:sz w:val="12"/>
                <w:szCs w:val="12"/>
                <w:color w:val="auto"/>
              </w:rPr>
            </w:pPr>
          </w:p>
        </w:tc>
        <w:tc>
          <w:tcPr>
            <w:tcW w:w="480" w:type="dxa"/>
            <w:vAlign w:val="bottom"/>
            <w:tcBorders>
              <w:bottom w:val="single" w:sz="8" w:color="auto"/>
            </w:tcBorders>
            <w:shd w:val="clear" w:color="auto" w:fill="CCEEF7"/>
          </w:tcPr>
          <w:p>
            <w:pPr>
              <w:spacing w:after="0"/>
              <w:rPr>
                <w:sz w:val="12"/>
                <w:szCs w:val="12"/>
                <w:color w:val="auto"/>
              </w:rPr>
            </w:pPr>
          </w:p>
        </w:tc>
        <w:tc>
          <w:tcPr>
            <w:tcW w:w="800" w:type="dxa"/>
            <w:vAlign w:val="bottom"/>
            <w:tcBorders>
              <w:bottom w:val="single" w:sz="8" w:color="auto"/>
            </w:tcBorders>
            <w:shd w:val="clear" w:color="auto" w:fill="CCEEF7"/>
          </w:tcPr>
          <w:p>
            <w:pPr>
              <w:spacing w:after="0"/>
              <w:rPr>
                <w:sz w:val="12"/>
                <w:szCs w:val="12"/>
                <w:color w:val="auto"/>
              </w:rPr>
            </w:pPr>
          </w:p>
        </w:tc>
        <w:tc>
          <w:tcPr>
            <w:tcW w:w="940" w:type="dxa"/>
            <w:vAlign w:val="bottom"/>
            <w:tcBorders>
              <w:bottom w:val="single" w:sz="8" w:color="auto"/>
            </w:tcBorders>
            <w:shd w:val="clear" w:color="auto" w:fill="CCEEF7"/>
          </w:tcPr>
          <w:p>
            <w:pPr>
              <w:spacing w:after="0"/>
              <w:rPr>
                <w:sz w:val="12"/>
                <w:szCs w:val="12"/>
                <w:color w:val="auto"/>
              </w:rPr>
            </w:pPr>
          </w:p>
        </w:tc>
        <w:tc>
          <w:tcPr>
            <w:tcW w:w="960" w:type="dxa"/>
            <w:vAlign w:val="bottom"/>
            <w:tcBorders>
              <w:bottom w:val="single" w:sz="8" w:color="auto"/>
            </w:tcBorders>
            <w:shd w:val="clear" w:color="auto" w:fill="CCEEF7"/>
          </w:tcPr>
          <w:p>
            <w:pPr>
              <w:spacing w:after="0"/>
              <w:rPr>
                <w:sz w:val="12"/>
                <w:szCs w:val="12"/>
                <w:color w:val="auto"/>
              </w:rPr>
            </w:pPr>
          </w:p>
        </w:tc>
        <w:tc>
          <w:tcPr>
            <w:tcW w:w="1040" w:type="dxa"/>
            <w:vAlign w:val="bottom"/>
            <w:tcBorders>
              <w:bottom w:val="single" w:sz="8" w:color="auto"/>
            </w:tcBorders>
            <w:shd w:val="clear" w:color="auto" w:fill="CCEEF7"/>
          </w:tcPr>
          <w:p>
            <w:pPr>
              <w:spacing w:after="0"/>
              <w:rPr>
                <w:sz w:val="12"/>
                <w:szCs w:val="12"/>
                <w:color w:val="auto"/>
              </w:rPr>
            </w:pPr>
          </w:p>
        </w:tc>
        <w:tc>
          <w:tcPr>
            <w:tcW w:w="1020" w:type="dxa"/>
            <w:vAlign w:val="bottom"/>
            <w:tcBorders>
              <w:bottom w:val="single" w:sz="8" w:color="auto"/>
            </w:tcBorders>
            <w:shd w:val="clear" w:color="auto" w:fill="CCEEF7"/>
          </w:tcPr>
          <w:p>
            <w:pPr>
              <w:spacing w:after="0"/>
              <w:rPr>
                <w:sz w:val="12"/>
                <w:szCs w:val="12"/>
                <w:color w:val="auto"/>
              </w:rPr>
            </w:pPr>
          </w:p>
        </w:tc>
        <w:tc>
          <w:tcPr>
            <w:tcW w:w="800" w:type="dxa"/>
            <w:vAlign w:val="bottom"/>
            <w:tcBorders>
              <w:bottom w:val="single" w:sz="8" w:color="auto"/>
            </w:tcBorders>
            <w:shd w:val="clear" w:color="auto" w:fill="CCEEF7"/>
          </w:tcPr>
          <w:p>
            <w:pPr>
              <w:spacing w:after="0"/>
              <w:rPr>
                <w:sz w:val="12"/>
                <w:szCs w:val="12"/>
                <w:color w:val="auto"/>
              </w:rPr>
            </w:pPr>
          </w:p>
        </w:tc>
        <w:tc>
          <w:tcPr>
            <w:tcW w:w="1040" w:type="dxa"/>
            <w:vAlign w:val="bottom"/>
            <w:tcBorders>
              <w:bottom w:val="single" w:sz="8" w:color="auto"/>
            </w:tcBorders>
            <w:shd w:val="clear" w:color="auto" w:fill="CCEEF7"/>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24" w:right="900" w:hanging="424"/>
        <w:spacing w:after="0" w:line="258"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Messrs. Warshaw, Bruni and Peterson each received an annual bonus as described above in the section entitled “Fiscal 2020 Compensation Program in Detail — Annual Cash Bonuses.”</w:t>
      </w:r>
    </w:p>
    <w:p>
      <w:pPr>
        <w:spacing w:after="0" w:line="58" w:lineRule="exact"/>
        <w:rPr>
          <w:rFonts w:ascii="Arial" w:cs="Arial" w:eastAsia="Arial" w:hAnsi="Arial"/>
          <w:sz w:val="14"/>
          <w:szCs w:val="14"/>
          <w:color w:val="auto"/>
        </w:rPr>
      </w:pPr>
    </w:p>
    <w:p>
      <w:pPr>
        <w:ind w:left="424" w:right="40" w:hanging="424"/>
        <w:spacing w:after="0" w:line="245"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PRSU awards and RSU awards computed in accordance with FASB ASC Topic 718. Details and assumptions used in calculating the grant date fair value of the PRSU and RSU awards may be found in Note 12 — Stock-Based Compensation Plans to our consolidated financial statements in our Annual Report on Form 10-K for the fiscal year ended December 31, 2020. The grant date fair value of PRSU awards included in this column for each executive is based on target performance. The table below sets forth the grant date fair value of the PRSUs based on both target and maximum performance. On February 5, 2021, the highest level of performance conditions was in fact confirmed as having been achieved by the Compensation Committee.</w:t>
      </w:r>
    </w:p>
    <w:p>
      <w:pPr>
        <w:spacing w:after="0" w:line="360" w:lineRule="exact"/>
        <w:rPr>
          <w:sz w:val="20"/>
          <w:szCs w:val="20"/>
          <w:color w:val="auto"/>
        </w:rPr>
      </w:pPr>
    </w:p>
    <w:tbl>
      <w:tblPr>
        <w:tblLayout w:type="fixed"/>
        <w:tblInd w:w="444"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000" w:type="dxa"/>
            <w:vAlign w:val="bottom"/>
          </w:tcPr>
          <w:p>
            <w:pPr>
              <w:jc w:val="right"/>
              <w:ind w:right="64"/>
              <w:spacing w:after="0"/>
              <w:rPr>
                <w:sz w:val="20"/>
                <w:szCs w:val="20"/>
                <w:color w:val="auto"/>
              </w:rPr>
            </w:pPr>
            <w:r>
              <w:rPr>
                <w:rFonts w:ascii="Arial" w:cs="Arial" w:eastAsia="Arial" w:hAnsi="Arial"/>
                <w:sz w:val="13"/>
                <w:szCs w:val="13"/>
                <w:color w:val="auto"/>
              </w:rPr>
              <w:t>PRSU Grant Date Fair Value</w:t>
            </w:r>
          </w:p>
        </w:tc>
        <w:tc>
          <w:tcPr>
            <w:tcW w:w="2240" w:type="dxa"/>
            <w:vAlign w:val="bottom"/>
          </w:tcPr>
          <w:p>
            <w:pPr>
              <w:jc w:val="right"/>
              <w:ind w:right="64"/>
              <w:spacing w:after="0"/>
              <w:rPr>
                <w:sz w:val="20"/>
                <w:szCs w:val="20"/>
                <w:color w:val="auto"/>
              </w:rPr>
            </w:pPr>
            <w:r>
              <w:rPr>
                <w:rFonts w:ascii="Arial" w:cs="Arial" w:eastAsia="Arial" w:hAnsi="Arial"/>
                <w:sz w:val="13"/>
                <w:szCs w:val="13"/>
                <w:color w:val="auto"/>
                <w:w w:val="92"/>
              </w:rPr>
              <w:t>PRSU Grant Date Fair Value Based on</w:t>
            </w:r>
          </w:p>
        </w:tc>
      </w:tr>
      <w:tr>
        <w:trPr>
          <w:trHeight w:val="161"/>
        </w:trPr>
        <w:tc>
          <w:tcPr>
            <w:tcW w:w="58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Executive</w:t>
            </w:r>
          </w:p>
        </w:tc>
        <w:tc>
          <w:tcPr>
            <w:tcW w:w="20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Based on Target Achievement</w:t>
            </w:r>
          </w:p>
        </w:tc>
        <w:tc>
          <w:tcPr>
            <w:tcW w:w="22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Maximum Achievement</w:t>
            </w:r>
          </w:p>
        </w:tc>
      </w:tr>
      <w:tr>
        <w:trPr>
          <w:trHeight w:val="285"/>
        </w:trPr>
        <w:tc>
          <w:tcPr>
            <w:tcW w:w="5880" w:type="dxa"/>
            <w:vAlign w:val="bottom"/>
            <w:tcBorders>
              <w:bottom w:val="single" w:sz="8" w:color="CCEEF7"/>
            </w:tcBorders>
            <w:shd w:val="clear" w:color="auto" w:fill="CCEEF7"/>
          </w:tcPr>
          <w:p>
            <w:pPr>
              <w:ind w:left="80"/>
              <w:spacing w:after="0"/>
              <w:rPr>
                <w:sz w:val="20"/>
                <w:szCs w:val="20"/>
                <w:color w:val="auto"/>
              </w:rPr>
            </w:pPr>
            <w:r>
              <w:rPr>
                <w:rFonts w:ascii="Arial" w:cs="Arial" w:eastAsia="Arial" w:hAnsi="Arial"/>
                <w:sz w:val="16"/>
                <w:szCs w:val="16"/>
                <w:color w:val="auto"/>
              </w:rPr>
              <w:t>Lee Olesky</w:t>
            </w:r>
          </w:p>
        </w:tc>
        <w:tc>
          <w:tcPr>
            <w:tcW w:w="200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1,999,978</w:t>
            </w:r>
          </w:p>
        </w:tc>
        <w:tc>
          <w:tcPr>
            <w:tcW w:w="224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3,999,956</w:t>
            </w:r>
          </w:p>
        </w:tc>
      </w:tr>
      <w:tr>
        <w:trPr>
          <w:trHeight w:val="264"/>
        </w:trPr>
        <w:tc>
          <w:tcPr>
            <w:tcW w:w="5880" w:type="dxa"/>
            <w:vAlign w:val="bottom"/>
          </w:tcPr>
          <w:p>
            <w:pPr>
              <w:ind w:left="80"/>
              <w:spacing w:after="0"/>
              <w:rPr>
                <w:sz w:val="20"/>
                <w:szCs w:val="20"/>
                <w:color w:val="auto"/>
              </w:rPr>
            </w:pPr>
            <w:r>
              <w:rPr>
                <w:rFonts w:ascii="Arial" w:cs="Arial" w:eastAsia="Arial" w:hAnsi="Arial"/>
                <w:sz w:val="16"/>
                <w:szCs w:val="16"/>
                <w:color w:val="auto"/>
              </w:rPr>
              <w:t>Robert Warshaw</w:t>
            </w:r>
          </w:p>
        </w:tc>
        <w:tc>
          <w:tcPr>
            <w:tcW w:w="2000" w:type="dxa"/>
            <w:vAlign w:val="bottom"/>
          </w:tcPr>
          <w:p>
            <w:pPr>
              <w:jc w:val="right"/>
              <w:ind w:right="64"/>
              <w:spacing w:after="0"/>
              <w:rPr>
                <w:sz w:val="20"/>
                <w:szCs w:val="20"/>
                <w:color w:val="auto"/>
              </w:rPr>
            </w:pPr>
            <w:r>
              <w:rPr>
                <w:rFonts w:ascii="Arial" w:cs="Arial" w:eastAsia="Arial" w:hAnsi="Arial"/>
                <w:sz w:val="16"/>
                <w:szCs w:val="16"/>
                <w:color w:val="auto"/>
              </w:rPr>
              <w:t>407,474</w:t>
            </w:r>
          </w:p>
        </w:tc>
        <w:tc>
          <w:tcPr>
            <w:tcW w:w="2240" w:type="dxa"/>
            <w:vAlign w:val="bottom"/>
          </w:tcPr>
          <w:p>
            <w:pPr>
              <w:jc w:val="right"/>
              <w:ind w:right="64"/>
              <w:spacing w:after="0"/>
              <w:rPr>
                <w:sz w:val="20"/>
                <w:szCs w:val="20"/>
                <w:color w:val="auto"/>
              </w:rPr>
            </w:pPr>
            <w:r>
              <w:rPr>
                <w:rFonts w:ascii="Arial" w:cs="Arial" w:eastAsia="Arial" w:hAnsi="Arial"/>
                <w:sz w:val="16"/>
                <w:szCs w:val="16"/>
                <w:color w:val="auto"/>
              </w:rPr>
              <w:t>814,948</w:t>
            </w:r>
          </w:p>
        </w:tc>
      </w:tr>
      <w:tr>
        <w:trPr>
          <w:trHeight w:val="60"/>
        </w:trPr>
        <w:tc>
          <w:tcPr>
            <w:tcW w:w="58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240" w:type="dxa"/>
            <w:vAlign w:val="bottom"/>
          </w:tcPr>
          <w:p>
            <w:pPr>
              <w:spacing w:after="0"/>
              <w:rPr>
                <w:sz w:val="5"/>
                <w:szCs w:val="5"/>
                <w:color w:val="auto"/>
              </w:rPr>
            </w:pPr>
          </w:p>
        </w:tc>
      </w:tr>
      <w:tr>
        <w:trPr>
          <w:trHeight w:val="304"/>
        </w:trPr>
        <w:tc>
          <w:tcPr>
            <w:tcW w:w="5880" w:type="dxa"/>
            <w:vAlign w:val="bottom"/>
            <w:tcBorders>
              <w:bottom w:val="single" w:sz="8" w:color="CCEEF7"/>
            </w:tcBorders>
            <w:shd w:val="clear" w:color="auto" w:fill="CCEEF7"/>
          </w:tcPr>
          <w:p>
            <w:pPr>
              <w:ind w:left="80"/>
              <w:spacing w:after="0"/>
              <w:rPr>
                <w:sz w:val="20"/>
                <w:szCs w:val="20"/>
                <w:color w:val="auto"/>
              </w:rPr>
            </w:pPr>
            <w:r>
              <w:rPr>
                <w:rFonts w:ascii="Arial" w:cs="Arial" w:eastAsia="Arial" w:hAnsi="Arial"/>
                <w:sz w:val="16"/>
                <w:szCs w:val="16"/>
                <w:color w:val="auto"/>
              </w:rPr>
              <w:t>William Hult</w:t>
            </w:r>
          </w:p>
        </w:tc>
        <w:tc>
          <w:tcPr>
            <w:tcW w:w="200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1,674,986</w:t>
            </w:r>
          </w:p>
        </w:tc>
        <w:tc>
          <w:tcPr>
            <w:tcW w:w="2240" w:type="dxa"/>
            <w:vAlign w:val="bottom"/>
            <w:tcBorders>
              <w:bottom w:val="single" w:sz="8" w:color="CCEEF7"/>
            </w:tcBorders>
            <w:shd w:val="clear" w:color="auto" w:fill="CCEEF7"/>
          </w:tcPr>
          <w:p>
            <w:pPr>
              <w:jc w:val="right"/>
              <w:ind w:right="64"/>
              <w:spacing w:after="0"/>
              <w:rPr>
                <w:sz w:val="20"/>
                <w:szCs w:val="20"/>
                <w:color w:val="auto"/>
              </w:rPr>
            </w:pPr>
            <w:r>
              <w:rPr>
                <w:rFonts w:ascii="Arial" w:cs="Arial" w:eastAsia="Arial" w:hAnsi="Arial"/>
                <w:sz w:val="16"/>
                <w:szCs w:val="16"/>
                <w:color w:val="auto"/>
              </w:rPr>
              <w:t>3,349,972</w:t>
            </w:r>
          </w:p>
        </w:tc>
      </w:tr>
      <w:tr>
        <w:trPr>
          <w:trHeight w:val="264"/>
        </w:trPr>
        <w:tc>
          <w:tcPr>
            <w:tcW w:w="5880" w:type="dxa"/>
            <w:vAlign w:val="bottom"/>
          </w:tcPr>
          <w:p>
            <w:pPr>
              <w:ind w:left="80"/>
              <w:spacing w:after="0"/>
              <w:rPr>
                <w:sz w:val="20"/>
                <w:szCs w:val="20"/>
                <w:color w:val="auto"/>
              </w:rPr>
            </w:pPr>
            <w:r>
              <w:rPr>
                <w:rFonts w:ascii="Arial" w:cs="Arial" w:eastAsia="Arial" w:hAnsi="Arial"/>
                <w:sz w:val="16"/>
                <w:szCs w:val="16"/>
                <w:color w:val="auto"/>
              </w:rPr>
              <w:t>Enrico Bruni</w:t>
            </w:r>
          </w:p>
        </w:tc>
        <w:tc>
          <w:tcPr>
            <w:tcW w:w="2000" w:type="dxa"/>
            <w:vAlign w:val="bottom"/>
          </w:tcPr>
          <w:p>
            <w:pPr>
              <w:jc w:val="right"/>
              <w:ind w:right="64"/>
              <w:spacing w:after="0"/>
              <w:rPr>
                <w:sz w:val="20"/>
                <w:szCs w:val="20"/>
                <w:color w:val="auto"/>
              </w:rPr>
            </w:pPr>
            <w:r>
              <w:rPr>
                <w:rFonts w:ascii="Arial" w:cs="Arial" w:eastAsia="Arial" w:hAnsi="Arial"/>
                <w:sz w:val="16"/>
                <w:szCs w:val="16"/>
                <w:color w:val="auto"/>
              </w:rPr>
              <w:t>624,991</w:t>
            </w:r>
          </w:p>
        </w:tc>
        <w:tc>
          <w:tcPr>
            <w:tcW w:w="2240" w:type="dxa"/>
            <w:vAlign w:val="bottom"/>
          </w:tcPr>
          <w:p>
            <w:pPr>
              <w:jc w:val="right"/>
              <w:ind w:right="64"/>
              <w:spacing w:after="0"/>
              <w:rPr>
                <w:sz w:val="20"/>
                <w:szCs w:val="20"/>
                <w:color w:val="auto"/>
              </w:rPr>
            </w:pPr>
            <w:r>
              <w:rPr>
                <w:rFonts w:ascii="Arial" w:cs="Arial" w:eastAsia="Arial" w:hAnsi="Arial"/>
                <w:sz w:val="16"/>
                <w:szCs w:val="16"/>
                <w:color w:val="auto"/>
              </w:rPr>
              <w:t>1,249,982</w:t>
            </w:r>
          </w:p>
        </w:tc>
      </w:tr>
      <w:tr>
        <w:trPr>
          <w:trHeight w:val="60"/>
        </w:trPr>
        <w:tc>
          <w:tcPr>
            <w:tcW w:w="58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240" w:type="dxa"/>
            <w:vAlign w:val="bottom"/>
          </w:tcPr>
          <w:p>
            <w:pPr>
              <w:spacing w:after="0"/>
              <w:rPr>
                <w:sz w:val="5"/>
                <w:szCs w:val="5"/>
                <w:color w:val="auto"/>
              </w:rPr>
            </w:pPr>
          </w:p>
        </w:tc>
      </w:tr>
      <w:tr>
        <w:trPr>
          <w:trHeight w:val="264"/>
        </w:trPr>
        <w:tc>
          <w:tcPr>
            <w:tcW w:w="5880" w:type="dxa"/>
            <w:vAlign w:val="bottom"/>
            <w:tcBorders>
              <w:bottom w:val="single" w:sz="8" w:color="auto"/>
            </w:tcBorders>
            <w:shd w:val="clear" w:color="auto" w:fill="CCEEF7"/>
          </w:tcPr>
          <w:p>
            <w:pPr>
              <w:ind w:left="80"/>
              <w:spacing w:after="0"/>
              <w:rPr>
                <w:sz w:val="20"/>
                <w:szCs w:val="20"/>
                <w:color w:val="auto"/>
              </w:rPr>
            </w:pPr>
            <w:r>
              <w:rPr>
                <w:rFonts w:ascii="Arial" w:cs="Arial" w:eastAsia="Arial" w:hAnsi="Arial"/>
                <w:sz w:val="16"/>
                <w:szCs w:val="16"/>
                <w:color w:val="auto"/>
              </w:rPr>
              <w:t>Justin Peterson</w:t>
            </w:r>
          </w:p>
        </w:tc>
        <w:tc>
          <w:tcPr>
            <w:tcW w:w="2000" w:type="dxa"/>
            <w:vAlign w:val="bottom"/>
            <w:tcBorders>
              <w:bottom w:val="single" w:sz="8" w:color="auto"/>
            </w:tcBorders>
            <w:shd w:val="clear" w:color="auto" w:fill="CCEEF7"/>
          </w:tcPr>
          <w:p>
            <w:pPr>
              <w:jc w:val="right"/>
              <w:ind w:right="64"/>
              <w:spacing w:after="0"/>
              <w:rPr>
                <w:sz w:val="20"/>
                <w:szCs w:val="20"/>
                <w:color w:val="auto"/>
              </w:rPr>
            </w:pPr>
            <w:r>
              <w:rPr>
                <w:rFonts w:ascii="Arial" w:cs="Arial" w:eastAsia="Arial" w:hAnsi="Arial"/>
                <w:sz w:val="16"/>
                <w:szCs w:val="16"/>
                <w:color w:val="auto"/>
              </w:rPr>
              <w:t>499,985</w:t>
            </w:r>
          </w:p>
        </w:tc>
        <w:tc>
          <w:tcPr>
            <w:tcW w:w="2240" w:type="dxa"/>
            <w:vAlign w:val="bottom"/>
            <w:tcBorders>
              <w:bottom w:val="single" w:sz="8" w:color="auto"/>
            </w:tcBorders>
            <w:shd w:val="clear" w:color="auto" w:fill="CCEEF7"/>
          </w:tcPr>
          <w:p>
            <w:pPr>
              <w:jc w:val="right"/>
              <w:ind w:right="64"/>
              <w:spacing w:after="0"/>
              <w:rPr>
                <w:sz w:val="20"/>
                <w:szCs w:val="20"/>
                <w:color w:val="auto"/>
              </w:rPr>
            </w:pPr>
            <w:r>
              <w:rPr>
                <w:rFonts w:ascii="Arial" w:cs="Arial" w:eastAsia="Arial" w:hAnsi="Arial"/>
                <w:sz w:val="16"/>
                <w:szCs w:val="16"/>
                <w:color w:val="auto"/>
              </w:rPr>
              <w:t>999,970</w:t>
            </w:r>
          </w:p>
        </w:tc>
      </w:tr>
    </w:tbl>
    <w:p>
      <w:pPr>
        <w:spacing w:after="0" w:line="248" w:lineRule="exact"/>
        <w:rPr>
          <w:sz w:val="20"/>
          <w:szCs w:val="20"/>
          <w:color w:val="auto"/>
        </w:rPr>
      </w:pPr>
    </w:p>
    <w:p>
      <w:pPr>
        <w:jc w:val="both"/>
        <w:ind w:left="424" w:right="80" w:hanging="424"/>
        <w:spacing w:after="0" w:line="249" w:lineRule="auto"/>
        <w:tabs>
          <w:tab w:leader="none" w:pos="4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Note 12 — Stock-Based Compensation Plans to our consolidated financial statements in our Annual Report on Form 10-K for the fiscal year ended December 31, 2020.</w:t>
      </w:r>
    </w:p>
    <w:p>
      <w:pPr>
        <w:spacing w:after="0" w:line="65" w:lineRule="exact"/>
        <w:rPr>
          <w:rFonts w:ascii="Arial" w:cs="Arial" w:eastAsia="Arial" w:hAnsi="Arial"/>
          <w:sz w:val="14"/>
          <w:szCs w:val="14"/>
          <w:color w:val="auto"/>
        </w:rPr>
      </w:pPr>
    </w:p>
    <w:p>
      <w:pPr>
        <w:ind w:left="424" w:right="340" w:hanging="424"/>
        <w:spacing w:after="0" w:line="249" w:lineRule="auto"/>
        <w:tabs>
          <w:tab w:leader="none" w:pos="4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included in the “Non-Equity Incentive Plan Compensation” column reflect Messrs. Olesky and Hult’s annual performance bonuses earned, which amounts are based on performance goals set by the Compensation Committee as described above in the section entitled “Fiscal 2020 Compensation Program in Detail — Annual Cash Bonuses,” and to which they are entitled pursuant to their respective employment agreements.</w:t>
      </w:r>
    </w:p>
    <w:p>
      <w:pPr>
        <w:spacing w:after="0" w:line="65" w:lineRule="exact"/>
        <w:rPr>
          <w:rFonts w:ascii="Arial" w:cs="Arial" w:eastAsia="Arial" w:hAnsi="Arial"/>
          <w:sz w:val="14"/>
          <w:szCs w:val="14"/>
          <w:color w:val="auto"/>
        </w:rPr>
      </w:pPr>
    </w:p>
    <w:p>
      <w:pPr>
        <w:ind w:left="424" w:right="140" w:hanging="424"/>
        <w:spacing w:after="0" w:line="249" w:lineRule="auto"/>
        <w:tabs>
          <w:tab w:leader="none" w:pos="4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included in the “All Other Compensation” column for fiscal year 2020 represent (A) for all executives other than Mr. Bruni, (i) financial planning services (other than Mr. Warshaw), (ii) executive life insurance, (iii) group life insurance, (iv) matching contributions to the Company’s 401(k) plan, (v) executive long-term disability insurance, (vi) excess liability insurance (other than Mr. Hult), and (vii) for Messrs. Olesky and Hult, annual club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154" w:right="439" w:bottom="1440" w:gutter="0" w:footer="0" w:header="0"/>
        </w:sectPr>
      </w:pPr>
    </w:p>
    <w:bookmarkStart w:id="47" w:name="page48"/>
    <w:bookmarkEnd w:id="47"/>
    <w:p>
      <w:pPr>
        <w:ind w:left="424" w:right="80"/>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membership dues, and (B) for Mr. Bruni, (i) annual club membership dues and (ii) contributions to and payments in respect of a contributory pension scheme in which he participates in an amount equal to $37,523 in the aggregate. The value of any dividend equivalent rights accrued in respect of PRSU grants to the NEOs are not included in the “All Other Compensation” column because those amounts were factored into the grant date fair value for the relevant PRSU grants.</w:t>
      </w:r>
    </w:p>
    <w:p>
      <w:pPr>
        <w:spacing w:after="0" w:line="66" w:lineRule="exact"/>
        <w:rPr>
          <w:sz w:val="20"/>
          <w:szCs w:val="20"/>
          <w:color w:val="auto"/>
        </w:rPr>
      </w:pPr>
    </w:p>
    <w:p>
      <w:pPr>
        <w:ind w:left="424" w:right="360" w:hanging="424"/>
        <w:spacing w:after="0" w:line="258" w:lineRule="auto"/>
        <w:tabs>
          <w:tab w:leader="none" w:pos="4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included in the “Salary”, “Bonus” and “All Other Compensation” columns for Mr. Bruni for 2020 were received in pounds and are reflected in U.S. dollars based on a conversion rate of 1.2763.</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25"/>
          <w:szCs w:val="25"/>
          <w:color w:val="00ADD8"/>
        </w:rPr>
        <w:t>Grants of Plan-Based Awards</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the awards granted to each of the NEOs during the fiscal year ended December 31, 2020.</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60" w:type="dxa"/>
            <w:vAlign w:val="bottom"/>
            <w:gridSpan w:val="2"/>
          </w:tcPr>
          <w:p>
            <w:pPr>
              <w:jc w:val="right"/>
              <w:ind w:right="62"/>
              <w:spacing w:after="0"/>
              <w:rPr>
                <w:sz w:val="20"/>
                <w:szCs w:val="20"/>
                <w:color w:val="auto"/>
              </w:rPr>
            </w:pPr>
            <w:r>
              <w:rPr>
                <w:rFonts w:ascii="Arial" w:cs="Arial" w:eastAsia="Arial" w:hAnsi="Arial"/>
                <w:sz w:val="13"/>
                <w:szCs w:val="13"/>
                <w:color w:val="auto"/>
              </w:rPr>
              <w:t>Estimated Future Payouts Under</w:t>
            </w:r>
          </w:p>
        </w:tc>
        <w:tc>
          <w:tcPr>
            <w:tcW w:w="68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w w:val="86"/>
              </w:rPr>
              <w:t>Estimated Future Payouts Under</w:t>
            </w: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3"/>
                <w:szCs w:val="13"/>
                <w:color w:val="auto"/>
                <w:w w:val="96"/>
              </w:rPr>
              <w:t>Non-Equity Incentive Plan Awards</w:t>
            </w:r>
          </w:p>
        </w:tc>
        <w:tc>
          <w:tcPr>
            <w:tcW w:w="6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7"/>
              </w:rPr>
              <w:t>Equity Incentive Plan Awards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jc w:val="right"/>
              <w:ind w:right="46"/>
              <w:spacing w:after="0" w:line="107" w:lineRule="exact"/>
              <w:rPr>
                <w:sz w:val="20"/>
                <w:szCs w:val="20"/>
                <w:color w:val="auto"/>
              </w:rPr>
            </w:pPr>
            <w:r>
              <w:rPr>
                <w:rFonts w:ascii="Arial" w:cs="Arial" w:eastAsia="Arial" w:hAnsi="Arial"/>
                <w:sz w:val="12"/>
                <w:szCs w:val="12"/>
                <w:color w:val="auto"/>
              </w:rPr>
              <w:t>All Other</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46"/>
              <w:spacing w:after="0" w:line="135" w:lineRule="exact"/>
              <w:rPr>
                <w:sz w:val="20"/>
                <w:szCs w:val="20"/>
                <w:color w:val="auto"/>
              </w:rPr>
            </w:pPr>
            <w:r>
              <w:rPr>
                <w:rFonts w:ascii="Arial" w:cs="Arial" w:eastAsia="Arial" w:hAnsi="Arial"/>
                <w:sz w:val="13"/>
                <w:szCs w:val="13"/>
                <w:color w:val="auto"/>
              </w:rPr>
              <w:t>Stock</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46"/>
              <w:spacing w:after="0" w:line="135" w:lineRule="exact"/>
              <w:rPr>
                <w:sz w:val="20"/>
                <w:szCs w:val="20"/>
                <w:color w:val="auto"/>
              </w:rPr>
            </w:pPr>
            <w:r>
              <w:rPr>
                <w:rFonts w:ascii="Arial" w:cs="Arial" w:eastAsia="Arial" w:hAnsi="Arial"/>
                <w:sz w:val="13"/>
                <w:szCs w:val="13"/>
                <w:color w:val="auto"/>
              </w:rPr>
              <w:t>Awards: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46"/>
              <w:spacing w:after="0" w:line="135" w:lineRule="exact"/>
              <w:rPr>
                <w:sz w:val="20"/>
                <w:szCs w:val="20"/>
                <w:color w:val="auto"/>
              </w:rPr>
            </w:pPr>
            <w:r>
              <w:rPr>
                <w:rFonts w:ascii="Arial" w:cs="Arial" w:eastAsia="Arial" w:hAnsi="Arial"/>
                <w:sz w:val="13"/>
                <w:szCs w:val="13"/>
                <w:color w:val="auto"/>
              </w:rPr>
              <w:t>Number</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46"/>
              <w:spacing w:after="0" w:line="135" w:lineRule="exact"/>
              <w:rPr>
                <w:sz w:val="20"/>
                <w:szCs w:val="20"/>
                <w:color w:val="auto"/>
              </w:rPr>
            </w:pPr>
            <w:r>
              <w:rPr>
                <w:rFonts w:ascii="Arial" w:cs="Arial" w:eastAsia="Arial" w:hAnsi="Arial"/>
                <w:sz w:val="13"/>
                <w:szCs w:val="13"/>
                <w:color w:val="auto"/>
              </w:rPr>
              <w:t>of Shares</w:t>
            </w:r>
          </w:p>
        </w:tc>
        <w:tc>
          <w:tcPr>
            <w:tcW w:w="940" w:type="dxa"/>
            <w:vAlign w:val="bottom"/>
          </w:tcPr>
          <w:p>
            <w:pPr>
              <w:jc w:val="right"/>
              <w:ind w:right="44"/>
              <w:spacing w:after="0" w:line="135" w:lineRule="exact"/>
              <w:rPr>
                <w:sz w:val="20"/>
                <w:szCs w:val="20"/>
                <w:color w:val="auto"/>
              </w:rPr>
            </w:pPr>
            <w:r>
              <w:rPr>
                <w:rFonts w:ascii="Arial" w:cs="Arial" w:eastAsia="Arial" w:hAnsi="Arial"/>
                <w:sz w:val="13"/>
                <w:szCs w:val="13"/>
                <w:color w:val="auto"/>
              </w:rPr>
              <w:t>Grant Date</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3"/>
                <w:szCs w:val="13"/>
                <w:color w:val="auto"/>
              </w:rPr>
              <w:t>Threshold</w:t>
            </w: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46"/>
              <w:spacing w:after="0" w:line="135" w:lineRule="exact"/>
              <w:rPr>
                <w:sz w:val="20"/>
                <w:szCs w:val="20"/>
                <w:color w:val="auto"/>
              </w:rPr>
            </w:pPr>
            <w:r>
              <w:rPr>
                <w:rFonts w:ascii="Arial" w:cs="Arial" w:eastAsia="Arial" w:hAnsi="Arial"/>
                <w:sz w:val="13"/>
                <w:szCs w:val="13"/>
                <w:color w:val="auto"/>
              </w:rPr>
              <w:t>of Stock</w:t>
            </w:r>
          </w:p>
        </w:tc>
        <w:tc>
          <w:tcPr>
            <w:tcW w:w="940" w:type="dxa"/>
            <w:vAlign w:val="bottom"/>
          </w:tcPr>
          <w:p>
            <w:pPr>
              <w:jc w:val="right"/>
              <w:ind w:right="44"/>
              <w:spacing w:after="0" w:line="135" w:lineRule="exact"/>
              <w:rPr>
                <w:sz w:val="20"/>
                <w:szCs w:val="20"/>
                <w:color w:val="auto"/>
              </w:rPr>
            </w:pPr>
            <w:r>
              <w:rPr>
                <w:rFonts w:ascii="Arial" w:cs="Arial" w:eastAsia="Arial" w:hAnsi="Arial"/>
                <w:sz w:val="13"/>
                <w:szCs w:val="13"/>
                <w:color w:val="auto"/>
              </w:rPr>
              <w:t>Fair Value of</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3"/>
                <w:szCs w:val="13"/>
                <w:color w:val="auto"/>
              </w:rPr>
              <w:t>Grant</w:t>
            </w:r>
          </w:p>
        </w:tc>
        <w:tc>
          <w:tcPr>
            <w:tcW w:w="860" w:type="dxa"/>
            <w:vAlign w:val="bottom"/>
            <w:vMerge w:val="continue"/>
          </w:tcPr>
          <w:p>
            <w:pPr>
              <w:spacing w:after="0"/>
              <w:rPr>
                <w:sz w:val="10"/>
                <w:szCs w:val="10"/>
                <w:color w:val="auto"/>
              </w:rPr>
            </w:pPr>
          </w:p>
        </w:tc>
        <w:tc>
          <w:tcPr>
            <w:tcW w:w="1040" w:type="dxa"/>
            <w:vAlign w:val="bottom"/>
          </w:tcPr>
          <w:p>
            <w:pPr>
              <w:jc w:val="right"/>
              <w:ind w:right="84"/>
              <w:spacing w:after="0" w:line="123" w:lineRule="exact"/>
              <w:rPr>
                <w:sz w:val="20"/>
                <w:szCs w:val="20"/>
                <w:color w:val="auto"/>
              </w:rPr>
            </w:pPr>
            <w:r>
              <w:rPr>
                <w:rFonts w:ascii="Arial" w:cs="Arial" w:eastAsia="Arial" w:hAnsi="Arial"/>
                <w:sz w:val="13"/>
                <w:szCs w:val="13"/>
                <w:color w:val="auto"/>
              </w:rPr>
              <w:t>Target</w:t>
            </w:r>
          </w:p>
        </w:tc>
        <w:tc>
          <w:tcPr>
            <w:tcW w:w="1020" w:type="dxa"/>
            <w:vAlign w:val="bottom"/>
          </w:tcPr>
          <w:p>
            <w:pPr>
              <w:jc w:val="right"/>
              <w:ind w:right="62"/>
              <w:spacing w:after="0" w:line="123" w:lineRule="exact"/>
              <w:rPr>
                <w:sz w:val="20"/>
                <w:szCs w:val="20"/>
                <w:color w:val="auto"/>
              </w:rPr>
            </w:pPr>
            <w:r>
              <w:rPr>
                <w:rFonts w:ascii="Arial" w:cs="Arial" w:eastAsia="Arial" w:hAnsi="Arial"/>
                <w:sz w:val="13"/>
                <w:szCs w:val="13"/>
                <w:color w:val="auto"/>
              </w:rPr>
              <w:t>Maximum</w:t>
            </w:r>
          </w:p>
        </w:tc>
        <w:tc>
          <w:tcPr>
            <w:tcW w:w="680" w:type="dxa"/>
            <w:vAlign w:val="bottom"/>
          </w:tcPr>
          <w:p>
            <w:pPr>
              <w:jc w:val="right"/>
              <w:spacing w:after="0" w:line="123" w:lineRule="exact"/>
              <w:rPr>
                <w:sz w:val="20"/>
                <w:szCs w:val="20"/>
                <w:color w:val="auto"/>
              </w:rPr>
            </w:pPr>
            <w:r>
              <w:rPr>
                <w:rFonts w:ascii="Arial" w:cs="Arial" w:eastAsia="Arial" w:hAnsi="Arial"/>
                <w:sz w:val="13"/>
                <w:szCs w:val="13"/>
                <w:color w:val="auto"/>
              </w:rPr>
              <w:t>Threshold</w:t>
            </w:r>
          </w:p>
        </w:tc>
        <w:tc>
          <w:tcPr>
            <w:tcW w:w="920" w:type="dxa"/>
            <w:vAlign w:val="bottom"/>
          </w:tcPr>
          <w:p>
            <w:pPr>
              <w:jc w:val="right"/>
              <w:ind w:right="84"/>
              <w:spacing w:after="0" w:line="123" w:lineRule="exact"/>
              <w:rPr>
                <w:sz w:val="20"/>
                <w:szCs w:val="20"/>
                <w:color w:val="auto"/>
              </w:rPr>
            </w:pPr>
            <w:r>
              <w:rPr>
                <w:rFonts w:ascii="Arial" w:cs="Arial" w:eastAsia="Arial" w:hAnsi="Arial"/>
                <w:sz w:val="13"/>
                <w:szCs w:val="13"/>
                <w:color w:val="auto"/>
              </w:rPr>
              <w:t>Target</w:t>
            </w:r>
          </w:p>
        </w:tc>
        <w:tc>
          <w:tcPr>
            <w:tcW w:w="800" w:type="dxa"/>
            <w:vAlign w:val="bottom"/>
          </w:tcPr>
          <w:p>
            <w:pPr>
              <w:jc w:val="right"/>
              <w:spacing w:after="0" w:line="123" w:lineRule="exact"/>
              <w:rPr>
                <w:sz w:val="20"/>
                <w:szCs w:val="20"/>
                <w:color w:val="auto"/>
              </w:rPr>
            </w:pPr>
            <w:r>
              <w:rPr>
                <w:rFonts w:ascii="Arial" w:cs="Arial" w:eastAsia="Arial" w:hAnsi="Arial"/>
                <w:sz w:val="13"/>
                <w:szCs w:val="13"/>
                <w:color w:val="auto"/>
              </w:rPr>
              <w:t>Maximum</w:t>
            </w:r>
          </w:p>
        </w:tc>
        <w:tc>
          <w:tcPr>
            <w:tcW w:w="880" w:type="dxa"/>
            <w:vAlign w:val="bottom"/>
          </w:tcPr>
          <w:p>
            <w:pPr>
              <w:jc w:val="right"/>
              <w:ind w:right="46"/>
              <w:spacing w:after="0" w:line="123" w:lineRule="exact"/>
              <w:rPr>
                <w:sz w:val="20"/>
                <w:szCs w:val="20"/>
                <w:color w:val="auto"/>
              </w:rPr>
            </w:pPr>
            <w:r>
              <w:rPr>
                <w:rFonts w:ascii="Arial" w:cs="Arial" w:eastAsia="Arial" w:hAnsi="Arial"/>
                <w:sz w:val="13"/>
                <w:szCs w:val="13"/>
                <w:color w:val="auto"/>
              </w:rPr>
              <w:t>or</w:t>
            </w:r>
          </w:p>
        </w:tc>
        <w:tc>
          <w:tcPr>
            <w:tcW w:w="940" w:type="dxa"/>
            <w:vAlign w:val="bottom"/>
          </w:tcPr>
          <w:p>
            <w:pPr>
              <w:jc w:val="right"/>
              <w:ind w:right="44"/>
              <w:spacing w:after="0" w:line="123" w:lineRule="exact"/>
              <w:rPr>
                <w:sz w:val="20"/>
                <w:szCs w:val="20"/>
                <w:color w:val="auto"/>
              </w:rPr>
            </w:pPr>
            <w:r>
              <w:rPr>
                <w:rFonts w:ascii="Arial" w:cs="Arial" w:eastAsia="Arial" w:hAnsi="Arial"/>
                <w:sz w:val="13"/>
                <w:szCs w:val="13"/>
                <w:color w:val="auto"/>
              </w:rPr>
              <w:t>Stock Awards</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Date</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(1)</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(2)</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color w:val="auto"/>
              </w:rPr>
              <w:t>Units</w:t>
            </w:r>
            <w:r>
              <w:rPr>
                <w:rFonts w:ascii="Arial" w:cs="Arial" w:eastAsia="Arial" w:hAnsi="Arial"/>
                <w:sz w:val="10"/>
                <w:szCs w:val="10"/>
                <w:color w:val="auto"/>
              </w:rPr>
              <w:t>(3)</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45"/>
        </w:trPr>
        <w:tc>
          <w:tcPr>
            <w:tcW w:w="3000" w:type="dxa"/>
            <w:vAlign w:val="bottom"/>
            <w:shd w:val="clear" w:color="auto" w:fill="CCEEF7"/>
          </w:tcPr>
          <w:p>
            <w:pPr>
              <w:spacing w:after="0"/>
              <w:rPr>
                <w:sz w:val="21"/>
                <w:szCs w:val="21"/>
                <w:color w:val="auto"/>
              </w:rPr>
            </w:pPr>
          </w:p>
        </w:tc>
        <w:tc>
          <w:tcPr>
            <w:tcW w:w="200" w:type="dxa"/>
            <w:vAlign w:val="bottom"/>
            <w:shd w:val="clear" w:color="auto" w:fill="CCEEF7"/>
          </w:tcPr>
          <w:p>
            <w:pPr>
              <w:spacing w:after="0"/>
              <w:rPr>
                <w:sz w:val="21"/>
                <w:szCs w:val="21"/>
                <w:color w:val="auto"/>
              </w:rPr>
            </w:pP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82"/>
              <w:spacing w:after="0"/>
              <w:rPr>
                <w:sz w:val="20"/>
                <w:szCs w:val="20"/>
                <w:color w:val="auto"/>
              </w:rPr>
            </w:pPr>
            <w:r>
              <w:rPr>
                <w:rFonts w:ascii="Arial" w:cs="Arial" w:eastAsia="Arial" w:hAnsi="Arial"/>
                <w:sz w:val="16"/>
                <w:szCs w:val="16"/>
                <w:color w:val="auto"/>
              </w:rPr>
              <w:t>0</w:t>
            </w:r>
          </w:p>
        </w:tc>
        <w:tc>
          <w:tcPr>
            <w:tcW w:w="104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3,750,000</w:t>
            </w:r>
          </w:p>
        </w:tc>
        <w:tc>
          <w:tcPr>
            <w:tcW w:w="102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7,500,000</w:t>
            </w: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7"/>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200" w:type="dxa"/>
            <w:vAlign w:val="bottom"/>
            <w:shd w:val="clear" w:color="auto" w:fill="CCEEF7"/>
          </w:tcPr>
          <w:p>
            <w:pPr>
              <w:spacing w:after="0"/>
              <w:rPr>
                <w:sz w:val="24"/>
                <w:szCs w:val="24"/>
                <w:color w:val="auto"/>
              </w:rPr>
            </w:pP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51,453</w:t>
            </w:r>
          </w:p>
        </w:tc>
        <w:tc>
          <w:tcPr>
            <w:tcW w:w="940" w:type="dxa"/>
            <w:vAlign w:val="bottom"/>
            <w:shd w:val="clear" w:color="auto" w:fill="CCEEF7"/>
          </w:tcPr>
          <w:p>
            <w:pPr>
              <w:jc w:val="right"/>
              <w:ind w:right="44"/>
              <w:spacing w:after="0"/>
              <w:rPr>
                <w:sz w:val="20"/>
                <w:szCs w:val="20"/>
                <w:color w:val="auto"/>
              </w:rPr>
            </w:pPr>
            <w:r>
              <w:rPr>
                <w:rFonts w:ascii="Arial" w:cs="Arial" w:eastAsia="Arial" w:hAnsi="Arial"/>
                <w:sz w:val="16"/>
                <w:szCs w:val="16"/>
                <w:color w:val="auto"/>
              </w:rPr>
              <w:t>1,999,978</w:t>
            </w:r>
          </w:p>
        </w:tc>
        <w:tc>
          <w:tcPr>
            <w:tcW w:w="0" w:type="dxa"/>
            <w:vAlign w:val="bottom"/>
          </w:tcPr>
          <w:p>
            <w:pPr>
              <w:spacing w:after="0"/>
              <w:rPr>
                <w:sz w:val="1"/>
                <w:szCs w:val="1"/>
                <w:color w:val="auto"/>
              </w:rPr>
            </w:pPr>
          </w:p>
        </w:tc>
      </w:tr>
      <w:tr>
        <w:trPr>
          <w:trHeight w:val="269"/>
        </w:trPr>
        <w:tc>
          <w:tcPr>
            <w:tcW w:w="3000" w:type="dxa"/>
            <w:vAlign w:val="bottom"/>
            <w:tcBorders>
              <w:bottom w:val="single" w:sz="8" w:color="CCEEF7"/>
            </w:tcBorders>
            <w:shd w:val="clear" w:color="auto" w:fill="CCEEF7"/>
          </w:tcPr>
          <w:p>
            <w:pPr>
              <w:spacing w:after="0"/>
              <w:rPr>
                <w:sz w:val="23"/>
                <w:szCs w:val="23"/>
                <w:color w:val="auto"/>
              </w:rPr>
            </w:pPr>
          </w:p>
        </w:tc>
        <w:tc>
          <w:tcPr>
            <w:tcW w:w="200" w:type="dxa"/>
            <w:vAlign w:val="bottom"/>
            <w:tcBorders>
              <w:bottom w:val="single" w:sz="8" w:color="CCEEF7"/>
            </w:tcBorders>
            <w:shd w:val="clear" w:color="auto" w:fill="CCEEF7"/>
          </w:tcPr>
          <w:p>
            <w:pPr>
              <w:spacing w:after="0"/>
              <w:rPr>
                <w:sz w:val="23"/>
                <w:szCs w:val="23"/>
                <w:color w:val="auto"/>
              </w:rPr>
            </w:pPr>
          </w:p>
        </w:tc>
        <w:tc>
          <w:tcPr>
            <w:tcW w:w="6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tcBorders>
              <w:bottom w:val="single" w:sz="8" w:color="CCEEF7"/>
            </w:tcBorders>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7"/>
            </w:tcBorders>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7"/>
            </w:tcBorders>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CCEEF7"/>
            </w:tcBorders>
            <w:shd w:val="clear" w:color="auto" w:fill="CCEEF7"/>
          </w:tcPr>
          <w:p>
            <w:pPr>
              <w:jc w:val="right"/>
              <w:ind w:right="84"/>
              <w:spacing w:after="0"/>
              <w:rPr>
                <w:sz w:val="20"/>
                <w:szCs w:val="20"/>
                <w:color w:val="auto"/>
              </w:rPr>
            </w:pPr>
            <w:r>
              <w:rPr>
                <w:rFonts w:ascii="Arial" w:cs="Arial" w:eastAsia="Arial" w:hAnsi="Arial"/>
                <w:sz w:val="16"/>
                <w:szCs w:val="16"/>
                <w:color w:val="auto"/>
              </w:rPr>
              <w:t>51,453</w:t>
            </w:r>
          </w:p>
        </w:tc>
        <w:tc>
          <w:tcPr>
            <w:tcW w:w="80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102,906</w:t>
            </w:r>
          </w:p>
        </w:tc>
        <w:tc>
          <w:tcPr>
            <w:tcW w:w="880" w:type="dxa"/>
            <w:vAlign w:val="bottom"/>
            <w:tcBorders>
              <w:bottom w:val="single" w:sz="8" w:color="CCEEF7"/>
            </w:tcBorders>
            <w:shd w:val="clear" w:color="auto" w:fill="CCEEF7"/>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1,999,978</w:t>
            </w:r>
          </w:p>
        </w:tc>
        <w:tc>
          <w:tcPr>
            <w:tcW w:w="0" w:type="dxa"/>
            <w:vAlign w:val="bottom"/>
          </w:tcPr>
          <w:p>
            <w:pPr>
              <w:spacing w:after="0"/>
              <w:rPr>
                <w:sz w:val="1"/>
                <w:szCs w:val="1"/>
                <w:color w:val="auto"/>
              </w:rPr>
            </w:pPr>
          </w:p>
        </w:tc>
      </w:tr>
      <w:tr>
        <w:trPr>
          <w:trHeight w:val="264"/>
        </w:trPr>
        <w:tc>
          <w:tcPr>
            <w:tcW w:w="3000" w:type="dxa"/>
            <w:vAlign w:val="bottom"/>
            <w:vMerge w:val="restart"/>
          </w:tcPr>
          <w:p>
            <w:pPr>
              <w:ind w:left="60"/>
              <w:spacing w:after="0"/>
              <w:rPr>
                <w:sz w:val="20"/>
                <w:szCs w:val="20"/>
                <w:color w:val="auto"/>
              </w:rPr>
            </w:pPr>
            <w:r>
              <w:rPr>
                <w:rFonts w:ascii="Arial" w:cs="Arial" w:eastAsia="Arial" w:hAnsi="Arial"/>
                <w:sz w:val="16"/>
                <w:szCs w:val="16"/>
                <w:color w:val="auto"/>
              </w:rPr>
              <w:t>Robert Warshaw</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6"/>
              <w:spacing w:after="0"/>
              <w:rPr>
                <w:sz w:val="20"/>
                <w:szCs w:val="20"/>
                <w:color w:val="auto"/>
              </w:rPr>
            </w:pPr>
            <w:r>
              <w:rPr>
                <w:rFonts w:ascii="Arial" w:cs="Arial" w:eastAsia="Arial" w:hAnsi="Arial"/>
                <w:sz w:val="16"/>
                <w:szCs w:val="16"/>
                <w:color w:val="auto"/>
              </w:rPr>
              <w:t>10,483</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407,474</w:t>
            </w:r>
          </w:p>
        </w:tc>
        <w:tc>
          <w:tcPr>
            <w:tcW w:w="0" w:type="dxa"/>
            <w:vAlign w:val="bottom"/>
          </w:tcPr>
          <w:p>
            <w:pPr>
              <w:spacing w:after="0"/>
              <w:rPr>
                <w:sz w:val="1"/>
                <w:szCs w:val="1"/>
                <w:color w:val="auto"/>
              </w:rPr>
            </w:pPr>
          </w:p>
        </w:tc>
      </w:tr>
      <w:tr>
        <w:trPr>
          <w:trHeight w:val="162"/>
        </w:trPr>
        <w:tc>
          <w:tcPr>
            <w:tcW w:w="3000" w:type="dxa"/>
            <w:vAlign w:val="bottom"/>
            <w:vMerge w:val="continue"/>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920" w:type="dxa"/>
            <w:vAlign w:val="bottom"/>
            <w:vMerge w:val="restart"/>
          </w:tcPr>
          <w:p>
            <w:pPr>
              <w:jc w:val="right"/>
              <w:ind w:right="84"/>
              <w:spacing w:after="0"/>
              <w:rPr>
                <w:sz w:val="20"/>
                <w:szCs w:val="20"/>
                <w:color w:val="auto"/>
              </w:rPr>
            </w:pPr>
            <w:r>
              <w:rPr>
                <w:rFonts w:ascii="Arial" w:cs="Arial" w:eastAsia="Arial" w:hAnsi="Arial"/>
                <w:sz w:val="16"/>
                <w:szCs w:val="16"/>
                <w:color w:val="auto"/>
              </w:rPr>
              <w:t>10,483</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20,966</w:t>
            </w:r>
          </w:p>
        </w:tc>
        <w:tc>
          <w:tcPr>
            <w:tcW w:w="880" w:type="dxa"/>
            <w:vAlign w:val="bottom"/>
            <w:vMerge w:val="restart"/>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4"/>
              <w:spacing w:after="0"/>
              <w:rPr>
                <w:sz w:val="20"/>
                <w:szCs w:val="20"/>
                <w:color w:val="auto"/>
              </w:rPr>
            </w:pPr>
            <w:r>
              <w:rPr>
                <w:rFonts w:ascii="Arial" w:cs="Arial" w:eastAsia="Arial" w:hAnsi="Arial"/>
                <w:sz w:val="16"/>
                <w:szCs w:val="16"/>
                <w:color w:val="auto"/>
              </w:rPr>
              <w:t>407,474</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000" w:type="dxa"/>
            <w:vAlign w:val="bottom"/>
            <w:shd w:val="clear" w:color="auto" w:fill="CCEEF7"/>
          </w:tcPr>
          <w:p>
            <w:pPr>
              <w:spacing w:after="0"/>
              <w:rPr>
                <w:sz w:val="22"/>
                <w:szCs w:val="22"/>
                <w:color w:val="auto"/>
              </w:rPr>
            </w:pPr>
          </w:p>
        </w:tc>
        <w:tc>
          <w:tcPr>
            <w:tcW w:w="200" w:type="dxa"/>
            <w:vAlign w:val="bottom"/>
            <w:shd w:val="clear" w:color="auto" w:fill="CCEEF7"/>
          </w:tcPr>
          <w:p>
            <w:pPr>
              <w:spacing w:after="0"/>
              <w:rPr>
                <w:sz w:val="22"/>
                <w:szCs w:val="22"/>
                <w:color w:val="auto"/>
              </w:rPr>
            </w:pP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ind w:right="82"/>
              <w:spacing w:after="0"/>
              <w:rPr>
                <w:sz w:val="20"/>
                <w:szCs w:val="20"/>
                <w:color w:val="auto"/>
              </w:rPr>
            </w:pPr>
            <w:r>
              <w:rPr>
                <w:rFonts w:ascii="Arial" w:cs="Arial" w:eastAsia="Arial" w:hAnsi="Arial"/>
                <w:sz w:val="16"/>
                <w:szCs w:val="16"/>
                <w:color w:val="auto"/>
              </w:rPr>
              <w:t>0</w:t>
            </w:r>
          </w:p>
        </w:tc>
        <w:tc>
          <w:tcPr>
            <w:tcW w:w="104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3,350,000</w:t>
            </w:r>
          </w:p>
        </w:tc>
        <w:tc>
          <w:tcPr>
            <w:tcW w:w="102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6,700,000</w:t>
            </w: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7"/>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200" w:type="dxa"/>
            <w:vAlign w:val="bottom"/>
            <w:shd w:val="clear" w:color="auto" w:fill="CCEEF7"/>
          </w:tcPr>
          <w:p>
            <w:pPr>
              <w:spacing w:after="0"/>
              <w:rPr>
                <w:sz w:val="24"/>
                <w:szCs w:val="24"/>
                <w:color w:val="auto"/>
              </w:rPr>
            </w:pP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43,092</w:t>
            </w:r>
          </w:p>
        </w:tc>
        <w:tc>
          <w:tcPr>
            <w:tcW w:w="940" w:type="dxa"/>
            <w:vAlign w:val="bottom"/>
            <w:shd w:val="clear" w:color="auto" w:fill="CCEEF7"/>
          </w:tcPr>
          <w:p>
            <w:pPr>
              <w:jc w:val="right"/>
              <w:ind w:right="44"/>
              <w:spacing w:after="0"/>
              <w:rPr>
                <w:sz w:val="20"/>
                <w:szCs w:val="20"/>
                <w:color w:val="auto"/>
              </w:rPr>
            </w:pPr>
            <w:r>
              <w:rPr>
                <w:rFonts w:ascii="Arial" w:cs="Arial" w:eastAsia="Arial" w:hAnsi="Arial"/>
                <w:sz w:val="16"/>
                <w:szCs w:val="16"/>
                <w:color w:val="auto"/>
              </w:rPr>
              <w:t>1,674,986</w:t>
            </w:r>
          </w:p>
        </w:tc>
        <w:tc>
          <w:tcPr>
            <w:tcW w:w="0" w:type="dxa"/>
            <w:vAlign w:val="bottom"/>
          </w:tcPr>
          <w:p>
            <w:pPr>
              <w:spacing w:after="0"/>
              <w:rPr>
                <w:sz w:val="1"/>
                <w:szCs w:val="1"/>
                <w:color w:val="auto"/>
              </w:rPr>
            </w:pPr>
          </w:p>
        </w:tc>
      </w:tr>
      <w:tr>
        <w:trPr>
          <w:trHeight w:val="269"/>
        </w:trPr>
        <w:tc>
          <w:tcPr>
            <w:tcW w:w="3000" w:type="dxa"/>
            <w:vAlign w:val="bottom"/>
            <w:tcBorders>
              <w:bottom w:val="single" w:sz="8" w:color="CCEEF7"/>
            </w:tcBorders>
            <w:shd w:val="clear" w:color="auto" w:fill="CCEEF7"/>
          </w:tcPr>
          <w:p>
            <w:pPr>
              <w:spacing w:after="0"/>
              <w:rPr>
                <w:sz w:val="23"/>
                <w:szCs w:val="23"/>
                <w:color w:val="auto"/>
              </w:rPr>
            </w:pPr>
          </w:p>
        </w:tc>
        <w:tc>
          <w:tcPr>
            <w:tcW w:w="200" w:type="dxa"/>
            <w:vAlign w:val="bottom"/>
            <w:tcBorders>
              <w:bottom w:val="single" w:sz="8" w:color="CCEEF7"/>
            </w:tcBorders>
            <w:shd w:val="clear" w:color="auto" w:fill="CCEEF7"/>
          </w:tcPr>
          <w:p>
            <w:pPr>
              <w:spacing w:after="0"/>
              <w:rPr>
                <w:sz w:val="23"/>
                <w:szCs w:val="23"/>
                <w:color w:val="auto"/>
              </w:rPr>
            </w:pPr>
          </w:p>
        </w:tc>
        <w:tc>
          <w:tcPr>
            <w:tcW w:w="6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tcBorders>
              <w:bottom w:val="single" w:sz="8" w:color="CCEEF7"/>
            </w:tcBorders>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7"/>
            </w:tcBorders>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7"/>
            </w:tcBorders>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CCEEF7"/>
            </w:tcBorders>
            <w:shd w:val="clear" w:color="auto" w:fill="CCEEF7"/>
          </w:tcPr>
          <w:p>
            <w:pPr>
              <w:jc w:val="right"/>
              <w:ind w:right="84"/>
              <w:spacing w:after="0"/>
              <w:rPr>
                <w:sz w:val="20"/>
                <w:szCs w:val="20"/>
                <w:color w:val="auto"/>
              </w:rPr>
            </w:pPr>
            <w:r>
              <w:rPr>
                <w:rFonts w:ascii="Arial" w:cs="Arial" w:eastAsia="Arial" w:hAnsi="Arial"/>
                <w:sz w:val="16"/>
                <w:szCs w:val="16"/>
                <w:color w:val="auto"/>
              </w:rPr>
              <w:t>43,092</w:t>
            </w:r>
          </w:p>
        </w:tc>
        <w:tc>
          <w:tcPr>
            <w:tcW w:w="80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86,184</w:t>
            </w:r>
          </w:p>
        </w:tc>
        <w:tc>
          <w:tcPr>
            <w:tcW w:w="880" w:type="dxa"/>
            <w:vAlign w:val="bottom"/>
            <w:tcBorders>
              <w:bottom w:val="single" w:sz="8" w:color="CCEEF7"/>
            </w:tcBorders>
            <w:shd w:val="clear" w:color="auto" w:fill="CCEEF7"/>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7"/>
            </w:tcBorders>
            <w:shd w:val="clear" w:color="auto" w:fill="CCEEF7"/>
          </w:tcPr>
          <w:p>
            <w:pPr>
              <w:jc w:val="right"/>
              <w:ind w:right="44"/>
              <w:spacing w:after="0"/>
              <w:rPr>
                <w:sz w:val="20"/>
                <w:szCs w:val="20"/>
                <w:color w:val="auto"/>
              </w:rPr>
            </w:pPr>
            <w:r>
              <w:rPr>
                <w:rFonts w:ascii="Arial" w:cs="Arial" w:eastAsia="Arial" w:hAnsi="Arial"/>
                <w:sz w:val="16"/>
                <w:szCs w:val="16"/>
                <w:color w:val="auto"/>
              </w:rPr>
              <w:t>1,674,986</w:t>
            </w:r>
          </w:p>
        </w:tc>
        <w:tc>
          <w:tcPr>
            <w:tcW w:w="0" w:type="dxa"/>
            <w:vAlign w:val="bottom"/>
          </w:tcPr>
          <w:p>
            <w:pPr>
              <w:spacing w:after="0"/>
              <w:rPr>
                <w:sz w:val="1"/>
                <w:szCs w:val="1"/>
                <w:color w:val="auto"/>
              </w:rPr>
            </w:pPr>
          </w:p>
        </w:tc>
      </w:tr>
      <w:tr>
        <w:trPr>
          <w:trHeight w:val="264"/>
        </w:trPr>
        <w:tc>
          <w:tcPr>
            <w:tcW w:w="3000" w:type="dxa"/>
            <w:vAlign w:val="bottom"/>
            <w:vMerge w:val="restart"/>
          </w:tcPr>
          <w:p>
            <w:pPr>
              <w:ind w:left="60"/>
              <w:spacing w:after="0"/>
              <w:rPr>
                <w:sz w:val="20"/>
                <w:szCs w:val="20"/>
                <w:color w:val="auto"/>
              </w:rPr>
            </w:pPr>
            <w:r>
              <w:rPr>
                <w:rFonts w:ascii="Arial" w:cs="Arial" w:eastAsia="Arial" w:hAnsi="Arial"/>
                <w:sz w:val="16"/>
                <w:szCs w:val="16"/>
                <w:color w:val="auto"/>
              </w:rPr>
              <w:t>Enrico Bruni</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6"/>
              <w:spacing w:after="0"/>
              <w:rPr>
                <w:sz w:val="20"/>
                <w:szCs w:val="20"/>
                <w:color w:val="auto"/>
              </w:rPr>
            </w:pPr>
            <w:r>
              <w:rPr>
                <w:rFonts w:ascii="Arial" w:cs="Arial" w:eastAsia="Arial" w:hAnsi="Arial"/>
                <w:sz w:val="16"/>
                <w:szCs w:val="16"/>
                <w:color w:val="auto"/>
              </w:rPr>
              <w:t>16,079</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624,991</w:t>
            </w:r>
          </w:p>
        </w:tc>
        <w:tc>
          <w:tcPr>
            <w:tcW w:w="0" w:type="dxa"/>
            <w:vAlign w:val="bottom"/>
          </w:tcPr>
          <w:p>
            <w:pPr>
              <w:spacing w:after="0"/>
              <w:rPr>
                <w:sz w:val="1"/>
                <w:szCs w:val="1"/>
                <w:color w:val="auto"/>
              </w:rPr>
            </w:pPr>
          </w:p>
        </w:tc>
      </w:tr>
      <w:tr>
        <w:trPr>
          <w:trHeight w:val="162"/>
        </w:trPr>
        <w:tc>
          <w:tcPr>
            <w:tcW w:w="3000" w:type="dxa"/>
            <w:vAlign w:val="bottom"/>
            <w:vMerge w:val="continue"/>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920" w:type="dxa"/>
            <w:vAlign w:val="bottom"/>
            <w:vMerge w:val="restart"/>
          </w:tcPr>
          <w:p>
            <w:pPr>
              <w:jc w:val="right"/>
              <w:ind w:right="84"/>
              <w:spacing w:after="0"/>
              <w:rPr>
                <w:sz w:val="20"/>
                <w:szCs w:val="20"/>
                <w:color w:val="auto"/>
              </w:rPr>
            </w:pPr>
            <w:r>
              <w:rPr>
                <w:rFonts w:ascii="Arial" w:cs="Arial" w:eastAsia="Arial" w:hAnsi="Arial"/>
                <w:sz w:val="16"/>
                <w:szCs w:val="16"/>
                <w:color w:val="auto"/>
              </w:rPr>
              <w:t>16,079</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32,158</w:t>
            </w:r>
          </w:p>
        </w:tc>
        <w:tc>
          <w:tcPr>
            <w:tcW w:w="880" w:type="dxa"/>
            <w:vAlign w:val="bottom"/>
            <w:vMerge w:val="restart"/>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4"/>
              <w:spacing w:after="0"/>
              <w:rPr>
                <w:sz w:val="20"/>
                <w:szCs w:val="20"/>
                <w:color w:val="auto"/>
              </w:rPr>
            </w:pPr>
            <w:r>
              <w:rPr>
                <w:rFonts w:ascii="Arial" w:cs="Arial" w:eastAsia="Arial" w:hAnsi="Arial"/>
                <w:sz w:val="16"/>
                <w:szCs w:val="16"/>
                <w:color w:val="auto"/>
              </w:rPr>
              <w:t>624,991</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00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00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200" w:type="dxa"/>
            <w:vAlign w:val="bottom"/>
            <w:shd w:val="clear" w:color="auto" w:fill="CCEEF7"/>
          </w:tcPr>
          <w:p>
            <w:pPr>
              <w:spacing w:after="0"/>
              <w:rPr>
                <w:sz w:val="22"/>
                <w:szCs w:val="22"/>
                <w:color w:val="auto"/>
              </w:rPr>
            </w:pP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12,863</w:t>
            </w:r>
          </w:p>
        </w:tc>
        <w:tc>
          <w:tcPr>
            <w:tcW w:w="940" w:type="dxa"/>
            <w:vAlign w:val="bottom"/>
            <w:shd w:val="clear" w:color="auto" w:fill="CCEEF7"/>
          </w:tcPr>
          <w:p>
            <w:pPr>
              <w:jc w:val="right"/>
              <w:ind w:right="44"/>
              <w:spacing w:after="0"/>
              <w:rPr>
                <w:sz w:val="20"/>
                <w:szCs w:val="20"/>
                <w:color w:val="auto"/>
              </w:rPr>
            </w:pPr>
            <w:r>
              <w:rPr>
                <w:rFonts w:ascii="Arial" w:cs="Arial" w:eastAsia="Arial" w:hAnsi="Arial"/>
                <w:sz w:val="16"/>
                <w:szCs w:val="16"/>
                <w:color w:val="auto"/>
              </w:rPr>
              <w:t>499,985</w:t>
            </w:r>
          </w:p>
        </w:tc>
        <w:tc>
          <w:tcPr>
            <w:tcW w:w="0" w:type="dxa"/>
            <w:vAlign w:val="bottom"/>
          </w:tcPr>
          <w:p>
            <w:pPr>
              <w:spacing w:after="0"/>
              <w:rPr>
                <w:sz w:val="1"/>
                <w:szCs w:val="1"/>
                <w:color w:val="auto"/>
              </w:rPr>
            </w:pPr>
          </w:p>
        </w:tc>
      </w:tr>
      <w:tr>
        <w:trPr>
          <w:trHeight w:val="60"/>
        </w:trPr>
        <w:tc>
          <w:tcPr>
            <w:tcW w:w="3000" w:type="dxa"/>
            <w:vAlign w:val="bottom"/>
            <w:vMerge w:val="continue"/>
            <w:shd w:val="clear" w:color="auto" w:fill="CCEEF7"/>
          </w:tcPr>
          <w:p>
            <w:pPr>
              <w:spacing w:after="0"/>
              <w:rPr>
                <w:sz w:val="5"/>
                <w:szCs w:val="5"/>
                <w:color w:val="auto"/>
              </w:rPr>
            </w:pPr>
          </w:p>
        </w:tc>
        <w:tc>
          <w:tcPr>
            <w:tcW w:w="200" w:type="dxa"/>
            <w:vAlign w:val="bottom"/>
            <w:shd w:val="clear" w:color="auto" w:fill="CCEEF7"/>
          </w:tcPr>
          <w:p>
            <w:pPr>
              <w:spacing w:after="0"/>
              <w:rPr>
                <w:sz w:val="5"/>
                <w:szCs w:val="5"/>
                <w:color w:val="auto"/>
              </w:rPr>
            </w:pPr>
          </w:p>
        </w:tc>
        <w:tc>
          <w:tcPr>
            <w:tcW w:w="68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3/17/20</w:t>
            </w:r>
          </w:p>
        </w:tc>
        <w:tc>
          <w:tcPr>
            <w:tcW w:w="860" w:type="dxa"/>
            <w:vAlign w:val="bottom"/>
            <w:vMerge w:val="restart"/>
            <w:shd w:val="clear" w:color="auto" w:fill="CCEEF7"/>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7"/>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920" w:type="dxa"/>
            <w:vAlign w:val="bottom"/>
            <w:vMerge w:val="restart"/>
            <w:shd w:val="clear" w:color="auto" w:fill="CCEEF7"/>
          </w:tcPr>
          <w:p>
            <w:pPr>
              <w:jc w:val="right"/>
              <w:ind w:right="84"/>
              <w:spacing w:after="0"/>
              <w:rPr>
                <w:sz w:val="20"/>
                <w:szCs w:val="20"/>
                <w:color w:val="auto"/>
              </w:rPr>
            </w:pPr>
            <w:r>
              <w:rPr>
                <w:rFonts w:ascii="Arial" w:cs="Arial" w:eastAsia="Arial" w:hAnsi="Arial"/>
                <w:sz w:val="16"/>
                <w:szCs w:val="16"/>
                <w:color w:val="auto"/>
              </w:rPr>
              <w:t>12,863</w:t>
            </w:r>
          </w:p>
        </w:tc>
        <w:tc>
          <w:tcPr>
            <w:tcW w:w="80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25,726</w:t>
            </w:r>
          </w:p>
        </w:tc>
        <w:tc>
          <w:tcPr>
            <w:tcW w:w="880" w:type="dxa"/>
            <w:vAlign w:val="bottom"/>
            <w:vMerge w:val="restart"/>
            <w:shd w:val="clear" w:color="auto" w:fill="CCEEF7"/>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7"/>
          </w:tcPr>
          <w:p>
            <w:pPr>
              <w:jc w:val="right"/>
              <w:ind w:right="44"/>
              <w:spacing w:after="0"/>
              <w:rPr>
                <w:sz w:val="20"/>
                <w:szCs w:val="20"/>
                <w:color w:val="auto"/>
              </w:rPr>
            </w:pPr>
            <w:r>
              <w:rPr>
                <w:rFonts w:ascii="Arial" w:cs="Arial" w:eastAsia="Arial" w:hAnsi="Arial"/>
                <w:sz w:val="16"/>
                <w:szCs w:val="16"/>
                <w:color w:val="auto"/>
              </w:rPr>
              <w:t>499,985</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shd w:val="clear" w:color="auto" w:fill="CCEEF7"/>
          </w:tcPr>
          <w:p>
            <w:pPr>
              <w:spacing w:after="0"/>
              <w:rPr>
                <w:sz w:val="17"/>
                <w:szCs w:val="17"/>
                <w:color w:val="auto"/>
              </w:rPr>
            </w:pPr>
          </w:p>
        </w:tc>
        <w:tc>
          <w:tcPr>
            <w:tcW w:w="200" w:type="dxa"/>
            <w:vAlign w:val="bottom"/>
            <w:tcBorders>
              <w:bottom w:val="single" w:sz="8" w:color="auto"/>
            </w:tcBorders>
            <w:shd w:val="clear" w:color="auto" w:fill="CCEEF7"/>
          </w:tcPr>
          <w:p>
            <w:pPr>
              <w:spacing w:after="0"/>
              <w:rPr>
                <w:sz w:val="17"/>
                <w:szCs w:val="17"/>
                <w:color w:val="auto"/>
              </w:rPr>
            </w:pPr>
          </w:p>
        </w:tc>
        <w:tc>
          <w:tcPr>
            <w:tcW w:w="680" w:type="dxa"/>
            <w:vAlign w:val="bottom"/>
            <w:tcBorders>
              <w:bottom w:val="single" w:sz="8" w:color="auto"/>
            </w:tcBorders>
            <w:vMerge w:val="continue"/>
            <w:shd w:val="clear" w:color="auto" w:fill="CCEEF7"/>
          </w:tcPr>
          <w:p>
            <w:pPr>
              <w:spacing w:after="0"/>
              <w:rPr>
                <w:sz w:val="17"/>
                <w:szCs w:val="17"/>
                <w:color w:val="auto"/>
              </w:rPr>
            </w:pPr>
          </w:p>
        </w:tc>
        <w:tc>
          <w:tcPr>
            <w:tcW w:w="860" w:type="dxa"/>
            <w:vAlign w:val="bottom"/>
            <w:tcBorders>
              <w:bottom w:val="single" w:sz="8" w:color="auto"/>
            </w:tcBorders>
            <w:vMerge w:val="continue"/>
            <w:shd w:val="clear" w:color="auto" w:fill="CCEEF7"/>
          </w:tcPr>
          <w:p>
            <w:pPr>
              <w:spacing w:after="0"/>
              <w:rPr>
                <w:sz w:val="17"/>
                <w:szCs w:val="17"/>
                <w:color w:val="auto"/>
              </w:rPr>
            </w:pPr>
          </w:p>
        </w:tc>
        <w:tc>
          <w:tcPr>
            <w:tcW w:w="1040" w:type="dxa"/>
            <w:vAlign w:val="bottom"/>
            <w:tcBorders>
              <w:bottom w:val="single" w:sz="8" w:color="auto"/>
            </w:tcBorders>
            <w:vMerge w:val="continue"/>
            <w:shd w:val="clear" w:color="auto" w:fill="CCEEF7"/>
          </w:tcPr>
          <w:p>
            <w:pPr>
              <w:spacing w:after="0"/>
              <w:rPr>
                <w:sz w:val="17"/>
                <w:szCs w:val="17"/>
                <w:color w:val="auto"/>
              </w:rPr>
            </w:pPr>
          </w:p>
        </w:tc>
        <w:tc>
          <w:tcPr>
            <w:tcW w:w="1020" w:type="dxa"/>
            <w:vAlign w:val="bottom"/>
            <w:tcBorders>
              <w:bottom w:val="single" w:sz="8" w:color="auto"/>
            </w:tcBorders>
            <w:vMerge w:val="continue"/>
            <w:shd w:val="clear" w:color="auto" w:fill="CCEEF7"/>
          </w:tcPr>
          <w:p>
            <w:pPr>
              <w:spacing w:after="0"/>
              <w:rPr>
                <w:sz w:val="17"/>
                <w:szCs w:val="17"/>
                <w:color w:val="auto"/>
              </w:rPr>
            </w:pPr>
          </w:p>
        </w:tc>
        <w:tc>
          <w:tcPr>
            <w:tcW w:w="680" w:type="dxa"/>
            <w:vAlign w:val="bottom"/>
            <w:tcBorders>
              <w:bottom w:val="single" w:sz="8" w:color="auto"/>
            </w:tcBorders>
            <w:vMerge w:val="continue"/>
            <w:shd w:val="clear" w:color="auto" w:fill="CCEEF7"/>
          </w:tcPr>
          <w:p>
            <w:pPr>
              <w:spacing w:after="0"/>
              <w:rPr>
                <w:sz w:val="17"/>
                <w:szCs w:val="17"/>
                <w:color w:val="auto"/>
              </w:rPr>
            </w:pPr>
          </w:p>
        </w:tc>
        <w:tc>
          <w:tcPr>
            <w:tcW w:w="920" w:type="dxa"/>
            <w:vAlign w:val="bottom"/>
            <w:tcBorders>
              <w:bottom w:val="single" w:sz="8" w:color="auto"/>
            </w:tcBorders>
            <w:vMerge w:val="continue"/>
            <w:shd w:val="clear" w:color="auto" w:fill="CCEEF7"/>
          </w:tcPr>
          <w:p>
            <w:pPr>
              <w:spacing w:after="0"/>
              <w:rPr>
                <w:sz w:val="17"/>
                <w:szCs w:val="17"/>
                <w:color w:val="auto"/>
              </w:rPr>
            </w:pPr>
          </w:p>
        </w:tc>
        <w:tc>
          <w:tcPr>
            <w:tcW w:w="800" w:type="dxa"/>
            <w:vAlign w:val="bottom"/>
            <w:tcBorders>
              <w:bottom w:val="single" w:sz="8" w:color="auto"/>
            </w:tcBorders>
            <w:vMerge w:val="continue"/>
            <w:shd w:val="clear" w:color="auto" w:fill="CCEEF7"/>
          </w:tcPr>
          <w:p>
            <w:pPr>
              <w:spacing w:after="0"/>
              <w:rPr>
                <w:sz w:val="17"/>
                <w:szCs w:val="17"/>
                <w:color w:val="auto"/>
              </w:rPr>
            </w:pPr>
          </w:p>
        </w:tc>
        <w:tc>
          <w:tcPr>
            <w:tcW w:w="880" w:type="dxa"/>
            <w:vAlign w:val="bottom"/>
            <w:tcBorders>
              <w:bottom w:val="single" w:sz="8" w:color="auto"/>
            </w:tcBorders>
            <w:vMerge w:val="continue"/>
            <w:shd w:val="clear" w:color="auto" w:fill="CCEEF7"/>
          </w:tcPr>
          <w:p>
            <w:pPr>
              <w:spacing w:after="0"/>
              <w:rPr>
                <w:sz w:val="17"/>
                <w:szCs w:val="17"/>
                <w:color w:val="auto"/>
              </w:rPr>
            </w:pPr>
          </w:p>
        </w:tc>
        <w:tc>
          <w:tcPr>
            <w:tcW w:w="940" w:type="dxa"/>
            <w:vAlign w:val="bottom"/>
            <w:tcBorders>
              <w:bottom w:val="single" w:sz="8" w:color="auto"/>
            </w:tcBorders>
            <w:vMerge w:val="continue"/>
            <w:shd w:val="clear" w:color="auto" w:fill="CCEEF7"/>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24" w:right="120" w:hanging="424"/>
        <w:spacing w:after="0" w:line="258"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target amounts payable for each of Messrs. Olesky and Hult pursuant to the bonus plans provided for in their respective employment agreements, as further described above in the section entitled “Fiscal 2020 Compensation Program in Detail — Annual Cash Bonuses.”</w:t>
      </w:r>
    </w:p>
    <w:p>
      <w:pPr>
        <w:spacing w:after="0" w:line="58" w:lineRule="exact"/>
        <w:rPr>
          <w:rFonts w:ascii="Arial" w:cs="Arial" w:eastAsia="Arial" w:hAnsi="Arial"/>
          <w:sz w:val="14"/>
          <w:szCs w:val="14"/>
          <w:color w:val="auto"/>
        </w:rPr>
      </w:pPr>
    </w:p>
    <w:p>
      <w:pPr>
        <w:ind w:left="424" w:right="340" w:hanging="424"/>
        <w:spacing w:after="0" w:line="258"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PRSUs granted to the NEOs under the Equity Plan, including the maximum number of shares to be awarded in the event of a 200% Performance Modifier, as further described above in the section entitled “Fiscal 2020 Compensation Program in Detail — Long-Term Equity Incentives.”</w:t>
      </w:r>
    </w:p>
    <w:p>
      <w:pPr>
        <w:spacing w:after="0" w:line="58" w:lineRule="exact"/>
        <w:rPr>
          <w:rFonts w:ascii="Arial" w:cs="Arial" w:eastAsia="Arial" w:hAnsi="Arial"/>
          <w:sz w:val="14"/>
          <w:szCs w:val="14"/>
          <w:color w:val="auto"/>
        </w:rPr>
      </w:pPr>
    </w:p>
    <w:p>
      <w:pPr>
        <w:ind w:left="424" w:right="20" w:hanging="424"/>
        <w:spacing w:after="0" w:line="258"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RSUs granted under the Equity Plan, as further described above in the section entitled “Fiscal 2020 Compensation Program in Detail — Long-Term Equity Incentives.”</w:t>
      </w:r>
    </w:p>
    <w:p>
      <w:pPr>
        <w:spacing w:after="0" w:line="58" w:lineRule="exact"/>
        <w:rPr>
          <w:rFonts w:ascii="Arial" w:cs="Arial" w:eastAsia="Arial" w:hAnsi="Arial"/>
          <w:sz w:val="14"/>
          <w:szCs w:val="14"/>
          <w:color w:val="auto"/>
        </w:rPr>
      </w:pPr>
    </w:p>
    <w:p>
      <w:pPr>
        <w:ind w:left="424" w:right="220" w:hanging="424"/>
        <w:spacing w:after="0" w:line="249"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included in this column represent the grant date fair value of PRSU and RSU awards computed in accordance with FASB ASC Topic 718. Details and assumptions used in calculating the grant date fair value of the PRSU and RSU awards may be found in Note 12 — Stock-Based Compensation Plans to our consolidated financial statements in our Annual Report on Form 10-K for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995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45</w:t>
            </w:r>
          </w:p>
        </w:tc>
      </w:tr>
    </w:tbl>
    <w:p>
      <w:pPr>
        <w:sectPr>
          <w:pgSz w:w="11900" w:h="16838" w:orient="portrait"/>
          <w:cols w:equalWidth="0" w:num="1">
            <w:col w:w="11024"/>
          </w:cols>
          <w:pgMar w:left="436" w:top="1157" w:right="439" w:bottom="1440" w:gutter="0" w:footer="0" w:header="0"/>
        </w:sectPr>
      </w:pPr>
    </w:p>
    <w:bookmarkStart w:id="48" w:name="page49"/>
    <w:bookmarkEnd w:id="48"/>
    <w:p>
      <w:pPr>
        <w:ind w:left="4"/>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Narrative Disclosure to Summary Compensation Table and Grants of Plan-Based Awards Table</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1F5B"/>
        </w:rPr>
        <w:t>Employment Agreements with our Named Executive Officers</w:t>
      </w:r>
    </w:p>
    <w:p>
      <w:pPr>
        <w:spacing w:after="0" w:line="20" w:lineRule="exact"/>
        <w:rPr>
          <w:sz w:val="20"/>
          <w:szCs w:val="20"/>
          <w:color w:val="auto"/>
        </w:rPr>
      </w:pPr>
    </w:p>
    <w:p>
      <w:pPr>
        <w:ind w:left="4" w:right="180"/>
        <w:spacing w:after="0" w:line="258" w:lineRule="auto"/>
        <w:rPr>
          <w:sz w:val="20"/>
          <w:szCs w:val="20"/>
          <w:color w:val="auto"/>
        </w:rPr>
      </w:pPr>
      <w:r>
        <w:rPr>
          <w:rFonts w:ascii="Arial" w:cs="Arial" w:eastAsia="Arial" w:hAnsi="Arial"/>
          <w:sz w:val="18"/>
          <w:szCs w:val="18"/>
          <w:color w:val="auto"/>
        </w:rPr>
        <w:t>Messrs. Olesky and Hult are each party to an employment agreement with TWM LLC. Mr. Bruni is party to an employment agreement with Tradeweb Europe Ltd (“TW Europe”). The other NEOs are not party to any employment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Mr. Olesky - Chief Executive Officer</w:t>
      </w:r>
    </w:p>
    <w:p>
      <w:pPr>
        <w:spacing w:after="0" w:line="23" w:lineRule="exact"/>
        <w:rPr>
          <w:sz w:val="20"/>
          <w:szCs w:val="20"/>
          <w:color w:val="auto"/>
        </w:rPr>
      </w:pPr>
    </w:p>
    <w:p>
      <w:pPr>
        <w:ind w:left="4" w:right="140"/>
        <w:spacing w:after="0" w:line="281" w:lineRule="auto"/>
        <w:rPr>
          <w:sz w:val="20"/>
          <w:szCs w:val="20"/>
          <w:color w:val="auto"/>
        </w:rPr>
      </w:pPr>
      <w:r>
        <w:rPr>
          <w:rFonts w:ascii="Arial" w:cs="Arial" w:eastAsia="Arial" w:hAnsi="Arial"/>
          <w:sz w:val="16"/>
          <w:szCs w:val="16"/>
          <w:color w:val="auto"/>
        </w:rPr>
        <w:t>TWM LLC is party to an employment agreement with Mr. Olesky for the position of Chief Executive Officer of TWM LLC. For as long as he is Chief Executive Officer, Mr. Olesky is entitled to be a member of the Board. Mr. Olesky’s employment agreement provides for an initial term that ended on December 31, 2020, subject to automatic one-year extensions unless either TWM LLC or Mr. Olesky provides written notice of intent not to renew at least 90 days prior to the expiration of the then-applicable term. He is entitled to a base salary of $770,000 per year, subject to increase at the discretion of the Board and/or the compensation committee of the Board. Mr. Olesky is also eligible to participate in an annual bonus plan, described above in the section entitled “Fiscal 2020 Compensation Program in Detail — Annual Cash Bonuses.” Mr. Olesky is also entitled to participate in TWM LLC’s executive employee benefit plans, including its equity-based plans, and is entitled to six weeks of paid vacation annually.</w:t>
      </w:r>
    </w:p>
    <w:p>
      <w:pPr>
        <w:spacing w:after="0" w:line="4" w:lineRule="exact"/>
        <w:rPr>
          <w:sz w:val="20"/>
          <w:szCs w:val="20"/>
          <w:color w:val="auto"/>
        </w:rPr>
      </w:pPr>
    </w:p>
    <w:p>
      <w:pPr>
        <w:ind w:left="4" w:right="200" w:firstLine="440"/>
        <w:spacing w:after="0" w:line="265" w:lineRule="auto"/>
        <w:rPr>
          <w:sz w:val="20"/>
          <w:szCs w:val="20"/>
          <w:color w:val="auto"/>
        </w:rPr>
      </w:pPr>
      <w:r>
        <w:rPr>
          <w:rFonts w:ascii="Arial" w:cs="Arial" w:eastAsia="Arial" w:hAnsi="Arial"/>
          <w:sz w:val="17"/>
          <w:szCs w:val="17"/>
          <w:color w:val="auto"/>
        </w:rPr>
        <w:t>Mr. Olesky’s employment agreement subjects Mr. Olesky to the following restrictive covenants: (i) non-solicitation of employees of TWM LLC and non-interference with customers and clients of TWM LLC during employment and the Non-Solicitation Period (as defined below);</w:t>
      </w:r>
    </w:p>
    <w:p>
      <w:pPr>
        <w:ind w:left="4" w:right="340" w:hanging="4"/>
        <w:spacing w:after="0" w:line="281" w:lineRule="auto"/>
        <w:tabs>
          <w:tab w:leader="none" w:pos="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non-competition during employment and the CEO Non-Competition Period (as defined below); and (iii) perpetual non-disclosure of confidential information. The “CEO Non-Competition Period” means (x) in the event of a termination without Cause or resignation for Good Reason, eighteen</w:t>
      </w:r>
    </w:p>
    <w:p>
      <w:pPr>
        <w:spacing w:after="0" w:line="1" w:lineRule="exact"/>
        <w:rPr>
          <w:rFonts w:ascii="Arial" w:cs="Arial" w:eastAsia="Arial" w:hAnsi="Arial"/>
          <w:sz w:val="16"/>
          <w:szCs w:val="16"/>
          <w:color w:val="auto"/>
        </w:rPr>
      </w:pPr>
    </w:p>
    <w:p>
      <w:pPr>
        <w:ind w:left="4" w:right="60"/>
        <w:spacing w:after="0" w:line="251" w:lineRule="auto"/>
        <w:rPr>
          <w:rFonts w:ascii="Arial" w:cs="Arial" w:eastAsia="Arial" w:hAnsi="Arial"/>
          <w:sz w:val="16"/>
          <w:szCs w:val="16"/>
          <w:color w:val="auto"/>
        </w:rPr>
      </w:pPr>
      <w:r>
        <w:rPr>
          <w:rFonts w:ascii="Arial" w:cs="Arial" w:eastAsia="Arial" w:hAnsi="Arial"/>
          <w:sz w:val="18"/>
          <w:szCs w:val="18"/>
          <w:color w:val="auto"/>
        </w:rPr>
        <w:t>(18)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his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Mr. Olesky’s employment agreement are described below under the section titled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Mr. Hult - President</w:t>
      </w:r>
    </w:p>
    <w:p>
      <w:pPr>
        <w:spacing w:after="0" w:line="23" w:lineRule="exact"/>
        <w:rPr>
          <w:sz w:val="20"/>
          <w:szCs w:val="20"/>
          <w:color w:val="auto"/>
        </w:rPr>
      </w:pPr>
    </w:p>
    <w:p>
      <w:pPr>
        <w:ind w:left="4" w:right="80"/>
        <w:spacing w:after="0" w:line="265" w:lineRule="auto"/>
        <w:rPr>
          <w:sz w:val="20"/>
          <w:szCs w:val="20"/>
          <w:color w:val="auto"/>
        </w:rPr>
      </w:pPr>
      <w:r>
        <w:rPr>
          <w:rFonts w:ascii="Arial" w:cs="Arial" w:eastAsia="Arial" w:hAnsi="Arial"/>
          <w:sz w:val="17"/>
          <w:szCs w:val="17"/>
          <w:color w:val="auto"/>
        </w:rPr>
        <w:t>TWM LLC is party to an employment agreement with Mr. Hult for the position of President of TWM LLC. For as long as he is President, Mr. Hult is entitled to be a member of the Board. Mr. Hult’s employment agreement provides for an initial term ending on December 31, 2020, subject to automatic one-year extensions unless either TWM LLC or Mr. Hult provides written notice of intent not to renew at least 90 days prior to the expiration of the then-applicable term. He is entitled to a base salary of $660,000 per year, subject to increase at the discretion of the Board and/or the compensation committee of the Board. Mr. Hult is also eligible to participate in an annual bonus plan, as described above in the section titled “Fiscal 2020 Compensation Program in Detail — Annual Cash Bonuses.” Mr. Hult is also entitled to participate in TWM LLC’s executive employee benefit plans, including equity-based plans, and is entitled to six weeks of paid vacation annually.</w:t>
      </w:r>
    </w:p>
    <w:p>
      <w:pPr>
        <w:spacing w:after="0" w:line="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color w:val="auto"/>
        </w:rPr>
        <w:t>Mr. Hult’s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154" w:right="439" w:bottom="1440" w:gutter="0" w:footer="0" w:header="0"/>
        </w:sectPr>
      </w:pPr>
    </w:p>
    <w:bookmarkStart w:id="49" w:name="page50"/>
    <w:bookmarkEnd w:id="4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information. The “President Non-Competition Period” means (x) in the event of a termination without Cause or resignation for Good Reason, eighteen</w:t>
      </w:r>
    </w:p>
    <w:p>
      <w:pPr>
        <w:spacing w:after="0" w:line="46" w:lineRule="exact"/>
        <w:rPr>
          <w:sz w:val="20"/>
          <w:szCs w:val="20"/>
          <w:color w:val="auto"/>
        </w:rPr>
      </w:pPr>
    </w:p>
    <w:p>
      <w:pPr>
        <w:ind w:left="4" w:right="60" w:hanging="4"/>
        <w:spacing w:after="0" w:line="250" w:lineRule="auto"/>
        <w:tabs>
          <w:tab w:leader="none" w:pos="3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months following termination; and (y) in the event of a termination for any other reason, twelve (12) months following termination. The definitions of “Cause” and “Good Reason” as defined in Mr. Hult’s employment agreement are described below under the section titled “Potential Payments upon Termination or Change in Control.”</w:t>
      </w:r>
    </w:p>
    <w:p>
      <w:pPr>
        <w:spacing w:after="0" w:line="1" w:lineRule="exact"/>
        <w:rPr>
          <w:rFonts w:ascii="Arial" w:cs="Arial" w:eastAsia="Arial" w:hAnsi="Arial"/>
          <w:sz w:val="18"/>
          <w:szCs w:val="18"/>
          <w:color w:val="auto"/>
        </w:rPr>
      </w:pPr>
    </w:p>
    <w:p>
      <w:pPr>
        <w:ind w:left="4" w:right="340" w:firstLine="440"/>
        <w:spacing w:after="0" w:line="260" w:lineRule="auto"/>
        <w:rPr>
          <w:rFonts w:ascii="Arial" w:cs="Arial" w:eastAsia="Arial" w:hAnsi="Arial"/>
          <w:sz w:val="18"/>
          <w:szCs w:val="18"/>
          <w:color w:val="auto"/>
        </w:rPr>
      </w:pPr>
      <w:r>
        <w:rPr>
          <w:rFonts w:ascii="Arial" w:cs="Arial" w:eastAsia="Arial" w:hAnsi="Arial"/>
          <w:sz w:val="18"/>
          <w:szCs w:val="18"/>
          <w:color w:val="auto"/>
        </w:rPr>
        <w:t>Each of Mr. Olesky and Mr. Hult’s employment agreements also provide for severance upon certain terminations of employment, as described below under the section titled “Potential Payments upon Termination or Change in Control.”</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Mr. Bruni - Managing Director, Head of Europe and Asia Business</w:t>
      </w:r>
    </w:p>
    <w:p>
      <w:pPr>
        <w:spacing w:after="0" w:line="23" w:lineRule="exact"/>
        <w:rPr>
          <w:sz w:val="20"/>
          <w:szCs w:val="20"/>
          <w:color w:val="auto"/>
        </w:rPr>
      </w:pPr>
    </w:p>
    <w:p>
      <w:pPr>
        <w:ind w:left="4" w:right="60"/>
        <w:spacing w:after="0" w:line="290" w:lineRule="auto"/>
        <w:rPr>
          <w:sz w:val="20"/>
          <w:szCs w:val="20"/>
          <w:color w:val="auto"/>
        </w:rPr>
      </w:pPr>
      <w:r>
        <w:rPr>
          <w:rFonts w:ascii="Arial" w:cs="Arial" w:eastAsia="Arial" w:hAnsi="Arial"/>
          <w:sz w:val="16"/>
          <w:szCs w:val="16"/>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The company is permitted to make a payment of his basic salary in lieu of notice. Mr. Bruni is also subject to restrictive covenants in his equity award agreements granting him PRSUs and RSUs including non-competition and non-solicitation of clients and employees during the one-year period following his termination.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5"/>
          <w:szCs w:val="25"/>
          <w:color w:val="00ADD8"/>
        </w:rPr>
        <w:t>Outstanding Equity Awards at Fiscal Year-End</w:t>
      </w:r>
    </w:p>
    <w:p>
      <w:pPr>
        <w:spacing w:after="0" w:line="102" w:lineRule="exact"/>
        <w:rPr>
          <w:sz w:val="20"/>
          <w:szCs w:val="20"/>
          <w:color w:val="auto"/>
        </w:rPr>
      </w:pPr>
    </w:p>
    <w:p>
      <w:pPr>
        <w:ind w:left="4" w:right="9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2020.</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jc w:val="right"/>
              <w:ind w:right="87"/>
              <w:spacing w:after="0"/>
              <w:rPr>
                <w:sz w:val="20"/>
                <w:szCs w:val="20"/>
                <w:color w:val="auto"/>
              </w:rPr>
            </w:pPr>
            <w:r>
              <w:rPr>
                <w:rFonts w:ascii="Arial" w:cs="Arial" w:eastAsia="Arial" w:hAnsi="Arial"/>
                <w:sz w:val="13"/>
                <w:szCs w:val="13"/>
                <w:color w:val="auto"/>
              </w:rPr>
              <w:t>Equity</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plan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vMerge w:val="restart"/>
          </w:tcPr>
          <w:p>
            <w:pPr>
              <w:jc w:val="right"/>
              <w:ind w:right="285"/>
              <w:spacing w:after="0"/>
              <w:rPr>
                <w:sz w:val="20"/>
                <w:szCs w:val="20"/>
                <w:color w:val="auto"/>
              </w:rPr>
            </w:pPr>
            <w:r>
              <w:rPr>
                <w:rFonts w:ascii="Arial" w:cs="Arial" w:eastAsia="Arial" w:hAnsi="Arial"/>
                <w:sz w:val="13"/>
                <w:szCs w:val="13"/>
                <w:color w:val="auto"/>
              </w:rPr>
              <w:t>Number</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jc w:val="right"/>
              <w:ind w:right="87"/>
              <w:spacing w:after="0" w:line="123" w:lineRule="exact"/>
              <w:rPr>
                <w:sz w:val="20"/>
                <w:szCs w:val="20"/>
                <w:color w:val="auto"/>
              </w:rPr>
            </w:pPr>
            <w:r>
              <w:rPr>
                <w:rFonts w:ascii="Arial" w:cs="Arial" w:eastAsia="Arial" w:hAnsi="Arial"/>
                <w:sz w:val="13"/>
                <w:szCs w:val="13"/>
                <w:color w:val="auto"/>
              </w:rPr>
              <w:t>awards:</w:t>
            </w: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Number of</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rPr>
              <w:t>Number of</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Number of</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of shares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securities</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rPr>
              <w:t>securities</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securities</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or units</w:t>
            </w:r>
          </w:p>
        </w:tc>
        <w:tc>
          <w:tcPr>
            <w:tcW w:w="1220" w:type="dxa"/>
            <w:vAlign w:val="bottom"/>
          </w:tcPr>
          <w:p>
            <w:pPr>
              <w:jc w:val="right"/>
              <w:ind w:right="224"/>
              <w:spacing w:after="0" w:line="135" w:lineRule="exact"/>
              <w:rPr>
                <w:sz w:val="20"/>
                <w:szCs w:val="20"/>
                <w:color w:val="auto"/>
              </w:rPr>
            </w:pPr>
            <w:r>
              <w:rPr>
                <w:rFonts w:ascii="Arial" w:cs="Arial" w:eastAsia="Arial" w:hAnsi="Arial"/>
                <w:sz w:val="13"/>
                <w:szCs w:val="13"/>
                <w:color w:val="auto"/>
              </w:rPr>
              <w:t>Market value</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underlying</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rPr>
              <w:t>underlying</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underlying</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of stock</w:t>
            </w:r>
          </w:p>
        </w:tc>
        <w:tc>
          <w:tcPr>
            <w:tcW w:w="1220" w:type="dxa"/>
            <w:vAlign w:val="bottom"/>
          </w:tcPr>
          <w:p>
            <w:pPr>
              <w:jc w:val="right"/>
              <w:ind w:right="224"/>
              <w:spacing w:after="0" w:line="135" w:lineRule="exact"/>
              <w:rPr>
                <w:sz w:val="20"/>
                <w:szCs w:val="20"/>
                <w:color w:val="auto"/>
              </w:rPr>
            </w:pPr>
            <w:r>
              <w:rPr>
                <w:rFonts w:ascii="Arial" w:cs="Arial" w:eastAsia="Arial" w:hAnsi="Arial"/>
                <w:sz w:val="13"/>
                <w:szCs w:val="13"/>
                <w:color w:val="auto"/>
              </w:rPr>
              <w:t>of shares or</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unexercised</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rPr>
              <w:t>unexercised</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unexercised</w:t>
            </w:r>
          </w:p>
        </w:tc>
        <w:tc>
          <w:tcPr>
            <w:tcW w:w="700" w:type="dxa"/>
            <w:vAlign w:val="bottom"/>
          </w:tcPr>
          <w:p>
            <w:pPr>
              <w:jc w:val="right"/>
              <w:ind w:right="63"/>
              <w:spacing w:after="0" w:line="135" w:lineRule="exact"/>
              <w:rPr>
                <w:sz w:val="20"/>
                <w:szCs w:val="20"/>
                <w:color w:val="auto"/>
              </w:rPr>
            </w:pPr>
            <w:r>
              <w:rPr>
                <w:rFonts w:ascii="Arial" w:cs="Arial" w:eastAsia="Arial" w:hAnsi="Arial"/>
                <w:sz w:val="13"/>
                <w:szCs w:val="13"/>
                <w:color w:val="auto"/>
              </w:rPr>
              <w:t>Option</w:t>
            </w:r>
          </w:p>
        </w:tc>
        <w:tc>
          <w:tcPr>
            <w:tcW w:w="880" w:type="dxa"/>
            <w:vAlign w:val="bottom"/>
          </w:tcPr>
          <w:p>
            <w:pPr>
              <w:spacing w:after="0"/>
              <w:rPr>
                <w:sz w:val="11"/>
                <w:szCs w:val="11"/>
                <w:color w:val="auto"/>
              </w:rPr>
            </w:pP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that have</w:t>
            </w:r>
          </w:p>
        </w:tc>
        <w:tc>
          <w:tcPr>
            <w:tcW w:w="1220" w:type="dxa"/>
            <w:vAlign w:val="bottom"/>
          </w:tcPr>
          <w:p>
            <w:pPr>
              <w:jc w:val="right"/>
              <w:ind w:right="224"/>
              <w:spacing w:after="0" w:line="135" w:lineRule="exact"/>
              <w:rPr>
                <w:sz w:val="20"/>
                <w:szCs w:val="20"/>
                <w:color w:val="auto"/>
              </w:rPr>
            </w:pPr>
            <w:r>
              <w:rPr>
                <w:rFonts w:ascii="Arial" w:cs="Arial" w:eastAsia="Arial" w:hAnsi="Arial"/>
                <w:sz w:val="13"/>
                <w:szCs w:val="13"/>
                <w:color w:val="auto"/>
              </w:rPr>
              <w:t>units of stock</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options</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rPr>
              <w:t>options</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unearned</w:t>
            </w:r>
          </w:p>
        </w:tc>
        <w:tc>
          <w:tcPr>
            <w:tcW w:w="700" w:type="dxa"/>
            <w:vAlign w:val="bottom"/>
          </w:tcPr>
          <w:p>
            <w:pPr>
              <w:jc w:val="right"/>
              <w:ind w:right="63"/>
              <w:spacing w:after="0" w:line="135" w:lineRule="exact"/>
              <w:rPr>
                <w:sz w:val="20"/>
                <w:szCs w:val="20"/>
                <w:color w:val="auto"/>
              </w:rPr>
            </w:pPr>
            <w:r>
              <w:rPr>
                <w:rFonts w:ascii="Arial" w:cs="Arial" w:eastAsia="Arial" w:hAnsi="Arial"/>
                <w:sz w:val="13"/>
                <w:szCs w:val="13"/>
                <w:color w:val="auto"/>
              </w:rPr>
              <w:t>exercise</w:t>
            </w:r>
          </w:p>
        </w:tc>
        <w:tc>
          <w:tcPr>
            <w:tcW w:w="880" w:type="dxa"/>
            <w:vAlign w:val="bottom"/>
          </w:tcPr>
          <w:p>
            <w:pPr>
              <w:jc w:val="right"/>
              <w:ind w:right="42"/>
              <w:spacing w:after="0" w:line="135" w:lineRule="exact"/>
              <w:rPr>
                <w:sz w:val="20"/>
                <w:szCs w:val="20"/>
                <w:color w:val="auto"/>
              </w:rPr>
            </w:pPr>
            <w:r>
              <w:rPr>
                <w:rFonts w:ascii="Arial" w:cs="Arial" w:eastAsia="Arial" w:hAnsi="Arial"/>
                <w:sz w:val="13"/>
                <w:szCs w:val="13"/>
                <w:color w:val="auto"/>
              </w:rPr>
              <w:t>Option</w:t>
            </w: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not</w:t>
            </w:r>
          </w:p>
        </w:tc>
        <w:tc>
          <w:tcPr>
            <w:tcW w:w="1220" w:type="dxa"/>
            <w:vAlign w:val="bottom"/>
          </w:tcPr>
          <w:p>
            <w:pPr>
              <w:jc w:val="right"/>
              <w:ind w:right="224"/>
              <w:spacing w:after="0" w:line="135" w:lineRule="exact"/>
              <w:rPr>
                <w:sz w:val="20"/>
                <w:szCs w:val="20"/>
                <w:color w:val="auto"/>
              </w:rPr>
            </w:pPr>
            <w:r>
              <w:rPr>
                <w:rFonts w:ascii="Arial" w:cs="Arial" w:eastAsia="Arial" w:hAnsi="Arial"/>
                <w:sz w:val="13"/>
                <w:szCs w:val="13"/>
                <w:color w:val="auto"/>
              </w:rPr>
              <w:t>that have not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40" w:type="dxa"/>
            <w:vAlign w:val="bottom"/>
          </w:tcPr>
          <w:p>
            <w:pPr>
              <w:jc w:val="right"/>
              <w:ind w:right="41"/>
              <w:spacing w:after="0" w:line="135" w:lineRule="exact"/>
              <w:rPr>
                <w:sz w:val="20"/>
                <w:szCs w:val="20"/>
                <w:color w:val="auto"/>
              </w:rPr>
            </w:pPr>
            <w:r>
              <w:rPr>
                <w:rFonts w:ascii="Arial" w:cs="Arial" w:eastAsia="Arial" w:hAnsi="Arial"/>
                <w:sz w:val="13"/>
                <w:szCs w:val="13"/>
                <w:color w:val="auto"/>
              </w:rPr>
              <w:t>Year of</w:t>
            </w:r>
          </w:p>
        </w:tc>
        <w:tc>
          <w:tcPr>
            <w:tcW w:w="1160" w:type="dxa"/>
            <w:vAlign w:val="bottom"/>
          </w:tcPr>
          <w:p>
            <w:pPr>
              <w:jc w:val="right"/>
              <w:ind w:right="185"/>
              <w:spacing w:after="0" w:line="135" w:lineRule="exact"/>
              <w:rPr>
                <w:sz w:val="20"/>
                <w:szCs w:val="20"/>
                <w:color w:val="auto"/>
              </w:rPr>
            </w:pPr>
            <w:r>
              <w:rPr>
                <w:rFonts w:ascii="Arial" w:cs="Arial" w:eastAsia="Arial" w:hAnsi="Arial"/>
                <w:sz w:val="13"/>
                <w:szCs w:val="13"/>
                <w:color w:val="auto"/>
              </w:rPr>
              <w:t>exercisable</w:t>
            </w:r>
          </w:p>
        </w:tc>
        <w:tc>
          <w:tcPr>
            <w:tcW w:w="920" w:type="dxa"/>
            <w:vAlign w:val="bottom"/>
          </w:tcPr>
          <w:p>
            <w:pPr>
              <w:jc w:val="right"/>
              <w:ind w:right="65"/>
              <w:spacing w:after="0" w:line="135" w:lineRule="exact"/>
              <w:rPr>
                <w:sz w:val="20"/>
                <w:szCs w:val="20"/>
                <w:color w:val="auto"/>
              </w:rPr>
            </w:pPr>
            <w:r>
              <w:rPr>
                <w:rFonts w:ascii="Arial" w:cs="Arial" w:eastAsia="Arial" w:hAnsi="Arial"/>
                <w:sz w:val="13"/>
                <w:szCs w:val="13"/>
                <w:color w:val="auto"/>
                <w:w w:val="94"/>
              </w:rPr>
              <w:t>unexercisable</w:t>
            </w:r>
          </w:p>
        </w:tc>
        <w:tc>
          <w:tcPr>
            <w:tcW w:w="1020" w:type="dxa"/>
            <w:vAlign w:val="bottom"/>
          </w:tcPr>
          <w:p>
            <w:pPr>
              <w:jc w:val="right"/>
              <w:ind w:right="87"/>
              <w:spacing w:after="0" w:line="135" w:lineRule="exact"/>
              <w:rPr>
                <w:sz w:val="20"/>
                <w:szCs w:val="20"/>
                <w:color w:val="auto"/>
              </w:rPr>
            </w:pPr>
            <w:r>
              <w:rPr>
                <w:rFonts w:ascii="Arial" w:cs="Arial" w:eastAsia="Arial" w:hAnsi="Arial"/>
                <w:sz w:val="13"/>
                <w:szCs w:val="13"/>
                <w:color w:val="auto"/>
              </w:rPr>
              <w:t>options</w:t>
            </w:r>
            <w:r>
              <w:rPr>
                <w:rFonts w:ascii="Arial" w:cs="Arial" w:eastAsia="Arial" w:hAnsi="Arial"/>
                <w:sz w:val="10"/>
                <w:szCs w:val="10"/>
                <w:color w:val="auto"/>
              </w:rPr>
              <w:t>(1)</w:t>
            </w:r>
          </w:p>
        </w:tc>
        <w:tc>
          <w:tcPr>
            <w:tcW w:w="700" w:type="dxa"/>
            <w:vAlign w:val="bottom"/>
          </w:tcPr>
          <w:p>
            <w:pPr>
              <w:jc w:val="right"/>
              <w:ind w:right="63"/>
              <w:spacing w:after="0" w:line="135" w:lineRule="exact"/>
              <w:rPr>
                <w:sz w:val="20"/>
                <w:szCs w:val="20"/>
                <w:color w:val="auto"/>
              </w:rPr>
            </w:pPr>
            <w:r>
              <w:rPr>
                <w:rFonts w:ascii="Arial" w:cs="Arial" w:eastAsia="Arial" w:hAnsi="Arial"/>
                <w:sz w:val="13"/>
                <w:szCs w:val="13"/>
                <w:color w:val="auto"/>
              </w:rPr>
              <w:t>price</w:t>
            </w:r>
          </w:p>
        </w:tc>
        <w:tc>
          <w:tcPr>
            <w:tcW w:w="880" w:type="dxa"/>
            <w:vAlign w:val="bottom"/>
          </w:tcPr>
          <w:p>
            <w:pPr>
              <w:jc w:val="right"/>
              <w:ind w:right="42"/>
              <w:spacing w:after="0" w:line="135" w:lineRule="exact"/>
              <w:rPr>
                <w:sz w:val="20"/>
                <w:szCs w:val="20"/>
                <w:color w:val="auto"/>
              </w:rPr>
            </w:pPr>
            <w:r>
              <w:rPr>
                <w:rFonts w:ascii="Arial" w:cs="Arial" w:eastAsia="Arial" w:hAnsi="Arial"/>
                <w:sz w:val="13"/>
                <w:szCs w:val="13"/>
                <w:color w:val="auto"/>
              </w:rPr>
              <w:t>expiration</w:t>
            </w:r>
          </w:p>
        </w:tc>
        <w:tc>
          <w:tcPr>
            <w:tcW w:w="1080" w:type="dxa"/>
            <w:vAlign w:val="bottom"/>
          </w:tcPr>
          <w:p>
            <w:pPr>
              <w:jc w:val="right"/>
              <w:ind w:right="285"/>
              <w:spacing w:after="0" w:line="135" w:lineRule="exact"/>
              <w:rPr>
                <w:sz w:val="20"/>
                <w:szCs w:val="20"/>
                <w:color w:val="auto"/>
              </w:rPr>
            </w:pPr>
            <w:r>
              <w:rPr>
                <w:rFonts w:ascii="Arial" w:cs="Arial" w:eastAsia="Arial" w:hAnsi="Arial"/>
                <w:sz w:val="13"/>
                <w:szCs w:val="13"/>
                <w:color w:val="auto"/>
              </w:rPr>
              <w:t>vested</w:t>
            </w:r>
          </w:p>
        </w:tc>
        <w:tc>
          <w:tcPr>
            <w:tcW w:w="1220" w:type="dxa"/>
            <w:vAlign w:val="bottom"/>
          </w:tcPr>
          <w:p>
            <w:pPr>
              <w:jc w:val="right"/>
              <w:ind w:right="224"/>
              <w:spacing w:after="0" w:line="135" w:lineRule="exact"/>
              <w:rPr>
                <w:sz w:val="20"/>
                <w:szCs w:val="20"/>
                <w:color w:val="auto"/>
              </w:rPr>
            </w:pPr>
            <w:r>
              <w:rPr>
                <w:rFonts w:ascii="Arial" w:cs="Arial" w:eastAsia="Arial" w:hAnsi="Arial"/>
                <w:sz w:val="13"/>
                <w:szCs w:val="13"/>
                <w:color w:val="auto"/>
              </w:rPr>
              <w:t>vested</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74"/>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Grant</w:t>
            </w:r>
          </w:p>
        </w:tc>
        <w:tc>
          <w:tcPr>
            <w:tcW w:w="11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color w:val="auto"/>
              </w:rPr>
              <w:t>date</w:t>
            </w:r>
          </w:p>
        </w:tc>
        <w:tc>
          <w:tcPr>
            <w:tcW w:w="108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5"/>
        </w:trPr>
        <w:tc>
          <w:tcPr>
            <w:tcW w:w="3400" w:type="dxa"/>
            <w:vAlign w:val="bottom"/>
            <w:shd w:val="clear" w:color="auto" w:fill="CCEEF7"/>
          </w:tcPr>
          <w:p>
            <w:pPr>
              <w:spacing w:after="0"/>
              <w:rPr>
                <w:sz w:val="24"/>
                <w:szCs w:val="24"/>
                <w:color w:val="auto"/>
              </w:rPr>
            </w:pP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2018</w:t>
            </w:r>
          </w:p>
        </w:tc>
        <w:tc>
          <w:tcPr>
            <w:tcW w:w="1160" w:type="dxa"/>
            <w:vAlign w:val="bottom"/>
            <w:shd w:val="clear" w:color="auto" w:fill="CCEEF7"/>
          </w:tcPr>
          <w:p>
            <w:pPr>
              <w:jc w:val="right"/>
              <w:ind w:right="25"/>
              <w:spacing w:after="0" w:line="305" w:lineRule="exact"/>
              <w:rPr>
                <w:sz w:val="20"/>
                <w:szCs w:val="20"/>
                <w:color w:val="auto"/>
              </w:rPr>
            </w:pPr>
            <w:r>
              <w:rPr>
                <w:rFonts w:ascii="Arial" w:cs="Arial" w:eastAsia="Arial" w:hAnsi="Arial"/>
                <w:sz w:val="16"/>
                <w:szCs w:val="16"/>
                <w:color w:val="auto"/>
              </w:rPr>
              <w:t>1,906,664</w:t>
            </w:r>
            <w:r>
              <w:rPr>
                <w:rFonts w:ascii="Arial" w:cs="Arial" w:eastAsia="Arial" w:hAnsi="Arial"/>
                <w:sz w:val="27"/>
                <w:szCs w:val="27"/>
                <w:color w:val="auto"/>
                <w:vertAlign w:val="superscript"/>
              </w:rPr>
              <w:t>(3)</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1,690,822</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20.59</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10/26/28</w:t>
            </w:r>
          </w:p>
        </w:tc>
        <w:tc>
          <w:tcPr>
            <w:tcW w:w="1080" w:type="dxa"/>
            <w:vAlign w:val="bottom"/>
            <w:shd w:val="clear" w:color="auto" w:fill="CCEEF7"/>
          </w:tcPr>
          <w:p>
            <w:pPr>
              <w:jc w:val="right"/>
              <w:ind w:right="125"/>
              <w:spacing w:after="0" w:line="305" w:lineRule="exact"/>
              <w:rPr>
                <w:sz w:val="20"/>
                <w:szCs w:val="20"/>
                <w:color w:val="auto"/>
              </w:rPr>
            </w:pPr>
            <w:r>
              <w:rPr>
                <w:rFonts w:ascii="Arial" w:cs="Arial" w:eastAsia="Arial" w:hAnsi="Arial"/>
                <w:sz w:val="16"/>
                <w:szCs w:val="16"/>
                <w:color w:val="auto"/>
              </w:rPr>
              <w:t>207,713</w:t>
            </w:r>
            <w:r>
              <w:rPr>
                <w:rFonts w:ascii="Arial" w:cs="Arial" w:eastAsia="Arial" w:hAnsi="Arial"/>
                <w:sz w:val="27"/>
                <w:szCs w:val="27"/>
                <w:color w:val="auto"/>
                <w:vertAlign w:val="superscript"/>
              </w:rPr>
              <w:t>(4)</w:t>
            </w:r>
          </w:p>
        </w:tc>
        <w:tc>
          <w:tcPr>
            <w:tcW w:w="1220" w:type="dxa"/>
            <w:vAlign w:val="bottom"/>
            <w:shd w:val="clear" w:color="auto" w:fill="CCEEF7"/>
          </w:tcPr>
          <w:p>
            <w:pPr>
              <w:jc w:val="right"/>
              <w:ind w:right="64"/>
              <w:spacing w:after="0" w:line="305" w:lineRule="exact"/>
              <w:rPr>
                <w:sz w:val="20"/>
                <w:szCs w:val="20"/>
                <w:color w:val="auto"/>
              </w:rPr>
            </w:pPr>
            <w:r>
              <w:rPr>
                <w:rFonts w:ascii="Arial" w:cs="Arial" w:eastAsia="Arial" w:hAnsi="Arial"/>
                <w:sz w:val="16"/>
                <w:szCs w:val="16"/>
                <w:color w:val="auto"/>
              </w:rPr>
              <w:t>12,971,677</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2019</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298,526</w:t>
            </w:r>
            <w:r>
              <w:rPr>
                <w:rFonts w:ascii="Arial" w:cs="Arial" w:eastAsia="Arial" w:hAnsi="Arial"/>
                <w:sz w:val="27"/>
                <w:szCs w:val="27"/>
                <w:color w:val="auto"/>
                <w:vertAlign w:val="superscript"/>
              </w:rPr>
              <w:t>(6)</w:t>
            </w:r>
          </w:p>
        </w:tc>
        <w:tc>
          <w:tcPr>
            <w:tcW w:w="1220" w:type="dxa"/>
            <w:vAlign w:val="bottom"/>
            <w:shd w:val="clear" w:color="auto" w:fill="CCEEF7"/>
          </w:tcPr>
          <w:p>
            <w:pPr>
              <w:jc w:val="right"/>
              <w:ind w:right="64"/>
              <w:spacing w:after="0"/>
              <w:rPr>
                <w:sz w:val="20"/>
                <w:szCs w:val="20"/>
                <w:color w:val="auto"/>
              </w:rPr>
            </w:pPr>
            <w:r>
              <w:rPr>
                <w:rFonts w:ascii="Arial" w:cs="Arial" w:eastAsia="Arial" w:hAnsi="Arial"/>
                <w:sz w:val="16"/>
                <w:szCs w:val="16"/>
                <w:color w:val="auto"/>
              </w:rPr>
              <w:t>18,642,949</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spacing w:after="0"/>
              <w:rPr>
                <w:sz w:val="24"/>
                <w:szCs w:val="24"/>
                <w:color w:val="auto"/>
              </w:rPr>
            </w:pP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2020</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154,359</w:t>
            </w:r>
            <w:r>
              <w:rPr>
                <w:rFonts w:ascii="Arial" w:cs="Arial" w:eastAsia="Arial" w:hAnsi="Arial"/>
                <w:sz w:val="27"/>
                <w:szCs w:val="27"/>
                <w:color w:val="auto"/>
                <w:vertAlign w:val="superscript"/>
              </w:rPr>
              <w:t>(7)</w:t>
            </w:r>
          </w:p>
        </w:tc>
        <w:tc>
          <w:tcPr>
            <w:tcW w:w="1220" w:type="dxa"/>
            <w:vAlign w:val="bottom"/>
            <w:shd w:val="clear" w:color="auto" w:fill="CCEEF7"/>
          </w:tcPr>
          <w:p>
            <w:pPr>
              <w:jc w:val="right"/>
              <w:ind w:right="64"/>
              <w:spacing w:after="0"/>
              <w:rPr>
                <w:sz w:val="20"/>
                <w:szCs w:val="20"/>
                <w:color w:val="auto"/>
              </w:rPr>
            </w:pPr>
            <w:r>
              <w:rPr>
                <w:rFonts w:ascii="Arial" w:cs="Arial" w:eastAsia="Arial" w:hAnsi="Arial"/>
                <w:sz w:val="16"/>
                <w:szCs w:val="16"/>
                <w:color w:val="auto"/>
              </w:rPr>
              <w:t>9,639,720</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388"/>
        </w:trPr>
        <w:tc>
          <w:tcPr>
            <w:tcW w:w="340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2018</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2,851</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132,850</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20.59</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10/26/28</w:t>
            </w:r>
          </w:p>
        </w:tc>
        <w:tc>
          <w:tcPr>
            <w:tcW w:w="1080" w:type="dxa"/>
            <w:vAlign w:val="bottom"/>
          </w:tcPr>
          <w:p>
            <w:pPr>
              <w:jc w:val="right"/>
              <w:ind w:right="125"/>
              <w:spacing w:after="0"/>
              <w:rPr>
                <w:sz w:val="20"/>
                <w:szCs w:val="20"/>
                <w:color w:val="auto"/>
              </w:rPr>
            </w:pPr>
            <w:r>
              <w:rPr>
                <w:rFonts w:ascii="Arial" w:cs="Arial" w:eastAsia="Arial" w:hAnsi="Arial"/>
                <w:sz w:val="16"/>
                <w:szCs w:val="16"/>
                <w:color w:val="auto"/>
              </w:rPr>
              <w:t>24,628</w:t>
            </w:r>
            <w:r>
              <w:rPr>
                <w:rFonts w:ascii="Arial" w:cs="Arial" w:eastAsia="Arial" w:hAnsi="Arial"/>
                <w:sz w:val="27"/>
                <w:szCs w:val="27"/>
                <w:color w:val="auto"/>
                <w:vertAlign w:val="superscript"/>
              </w:rPr>
              <w:t>(4)</w:t>
            </w:r>
          </w:p>
        </w:tc>
        <w:tc>
          <w:tcPr>
            <w:tcW w:w="1220" w:type="dxa"/>
            <w:vAlign w:val="bottom"/>
          </w:tcPr>
          <w:p>
            <w:pPr>
              <w:jc w:val="right"/>
              <w:ind w:right="64"/>
              <w:spacing w:after="0"/>
              <w:rPr>
                <w:sz w:val="20"/>
                <w:szCs w:val="20"/>
                <w:color w:val="auto"/>
              </w:rPr>
            </w:pPr>
            <w:r>
              <w:rPr>
                <w:rFonts w:ascii="Arial" w:cs="Arial" w:eastAsia="Arial" w:hAnsi="Arial"/>
                <w:sz w:val="16"/>
                <w:szCs w:val="16"/>
                <w:color w:val="auto"/>
              </w:rPr>
              <w:t>1,538,019</w:t>
            </w:r>
            <w:r>
              <w:rPr>
                <w:rFonts w:ascii="Arial" w:cs="Arial" w:eastAsia="Arial" w:hAnsi="Arial"/>
                <w:sz w:val="27"/>
                <w:szCs w:val="27"/>
                <w:color w:val="auto"/>
                <w:vertAlign w:val="superscript"/>
              </w:rPr>
              <w:t>(8)</w:t>
            </w:r>
          </w:p>
        </w:tc>
        <w:tc>
          <w:tcPr>
            <w:tcW w:w="0" w:type="dxa"/>
            <w:vAlign w:val="bottom"/>
          </w:tcPr>
          <w:p>
            <w:pPr>
              <w:spacing w:after="0"/>
              <w:rPr>
                <w:sz w:val="1"/>
                <w:szCs w:val="1"/>
                <w:color w:val="auto"/>
              </w:rPr>
            </w:pPr>
          </w:p>
        </w:tc>
      </w:tr>
      <w:tr>
        <w:trPr>
          <w:trHeight w:val="324"/>
        </w:trPr>
        <w:tc>
          <w:tcPr>
            <w:tcW w:w="340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2019</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5"/>
              <w:spacing w:after="0"/>
              <w:rPr>
                <w:sz w:val="20"/>
                <w:szCs w:val="20"/>
                <w:color w:val="auto"/>
              </w:rPr>
            </w:pPr>
            <w:r>
              <w:rPr>
                <w:rFonts w:ascii="Arial" w:cs="Arial" w:eastAsia="Arial" w:hAnsi="Arial"/>
                <w:sz w:val="16"/>
                <w:szCs w:val="16"/>
                <w:color w:val="auto"/>
              </w:rPr>
              <w:t>22,004</w:t>
            </w:r>
            <w:r>
              <w:rPr>
                <w:rFonts w:ascii="Arial" w:cs="Arial" w:eastAsia="Arial" w:hAnsi="Arial"/>
                <w:sz w:val="27"/>
                <w:szCs w:val="27"/>
                <w:color w:val="auto"/>
                <w:vertAlign w:val="superscript"/>
              </w:rPr>
              <w:t>(6)</w:t>
            </w:r>
          </w:p>
        </w:tc>
        <w:tc>
          <w:tcPr>
            <w:tcW w:w="1220" w:type="dxa"/>
            <w:vAlign w:val="bottom"/>
          </w:tcPr>
          <w:p>
            <w:pPr>
              <w:jc w:val="right"/>
              <w:ind w:right="64"/>
              <w:spacing w:after="0"/>
              <w:rPr>
                <w:sz w:val="20"/>
                <w:szCs w:val="20"/>
                <w:color w:val="auto"/>
              </w:rPr>
            </w:pPr>
            <w:r>
              <w:rPr>
                <w:rFonts w:ascii="Arial" w:cs="Arial" w:eastAsia="Arial" w:hAnsi="Arial"/>
                <w:sz w:val="16"/>
                <w:szCs w:val="16"/>
                <w:color w:val="auto"/>
              </w:rPr>
              <w:t>1,374,150</w:t>
            </w:r>
            <w:r>
              <w:rPr>
                <w:rFonts w:ascii="Arial" w:cs="Arial" w:eastAsia="Arial" w:hAnsi="Arial"/>
                <w:sz w:val="27"/>
                <w:szCs w:val="27"/>
                <w:color w:val="auto"/>
                <w:vertAlign w:val="superscript"/>
              </w:rPr>
              <w:t>(8)</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2020</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5"/>
              <w:spacing w:after="0" w:line="259" w:lineRule="exact"/>
              <w:rPr>
                <w:sz w:val="20"/>
                <w:szCs w:val="20"/>
                <w:color w:val="auto"/>
              </w:rPr>
            </w:pPr>
            <w:r>
              <w:rPr>
                <w:rFonts w:ascii="Arial" w:cs="Arial" w:eastAsia="Arial" w:hAnsi="Arial"/>
                <w:sz w:val="16"/>
                <w:szCs w:val="16"/>
                <w:color w:val="auto"/>
              </w:rPr>
              <w:t>31,449</w:t>
            </w:r>
            <w:r>
              <w:rPr>
                <w:rFonts w:ascii="Arial" w:cs="Arial" w:eastAsia="Arial" w:hAnsi="Arial"/>
                <w:sz w:val="27"/>
                <w:szCs w:val="27"/>
                <w:color w:val="auto"/>
                <w:vertAlign w:val="superscript"/>
              </w:rPr>
              <w:t>(9)</w:t>
            </w:r>
          </w:p>
        </w:tc>
        <w:tc>
          <w:tcPr>
            <w:tcW w:w="1220" w:type="dxa"/>
            <w:vAlign w:val="bottom"/>
          </w:tcPr>
          <w:p>
            <w:pPr>
              <w:jc w:val="right"/>
              <w:ind w:right="64"/>
              <w:spacing w:after="0" w:line="259" w:lineRule="exact"/>
              <w:rPr>
                <w:sz w:val="20"/>
                <w:szCs w:val="20"/>
                <w:color w:val="auto"/>
              </w:rPr>
            </w:pPr>
            <w:r>
              <w:rPr>
                <w:rFonts w:ascii="Arial" w:cs="Arial" w:eastAsia="Arial" w:hAnsi="Arial"/>
                <w:sz w:val="16"/>
                <w:szCs w:val="16"/>
                <w:color w:val="auto"/>
              </w:rPr>
              <w:t>1,963,990</w:t>
            </w:r>
            <w:r>
              <w:rPr>
                <w:rFonts w:ascii="Arial" w:cs="Arial" w:eastAsia="Arial" w:hAnsi="Arial"/>
                <w:sz w:val="27"/>
                <w:szCs w:val="27"/>
                <w:color w:val="auto"/>
                <w:vertAlign w:val="superscript"/>
              </w:rPr>
              <w:t>(8)</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spacing w:after="0"/>
              <w:rPr>
                <w:sz w:val="24"/>
                <w:szCs w:val="24"/>
                <w:color w:val="auto"/>
              </w:rPr>
            </w:pP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2018</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709,890</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905,798</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20.59</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10/26/28</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173,181</w:t>
            </w:r>
            <w:r>
              <w:rPr>
                <w:rFonts w:ascii="Arial" w:cs="Arial" w:eastAsia="Arial" w:hAnsi="Arial"/>
                <w:sz w:val="27"/>
                <w:szCs w:val="27"/>
                <w:color w:val="auto"/>
                <w:vertAlign w:val="superscript"/>
              </w:rPr>
              <w:t>(4)</w:t>
            </w:r>
          </w:p>
        </w:tc>
        <w:tc>
          <w:tcPr>
            <w:tcW w:w="12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10,815,153</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2019</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249,102</w:t>
            </w:r>
            <w:r>
              <w:rPr>
                <w:rFonts w:ascii="Arial" w:cs="Arial" w:eastAsia="Arial" w:hAnsi="Arial"/>
                <w:sz w:val="27"/>
                <w:szCs w:val="27"/>
                <w:color w:val="auto"/>
                <w:vertAlign w:val="superscript"/>
              </w:rPr>
              <w:t>(6)</w:t>
            </w:r>
          </w:p>
        </w:tc>
        <w:tc>
          <w:tcPr>
            <w:tcW w:w="12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15,556,420</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spacing w:after="0"/>
              <w:rPr>
                <w:sz w:val="24"/>
                <w:szCs w:val="24"/>
                <w:color w:val="auto"/>
              </w:rPr>
            </w:pP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2020</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45"/>
              <w:spacing w:after="0"/>
              <w:rPr>
                <w:sz w:val="20"/>
                <w:szCs w:val="20"/>
                <w:color w:val="auto"/>
              </w:rPr>
            </w:pPr>
            <w:r>
              <w:rPr>
                <w:rFonts w:ascii="Arial" w:cs="Arial" w:eastAsia="Arial" w:hAnsi="Arial"/>
                <w:sz w:val="16"/>
                <w:szCs w:val="16"/>
                <w:color w:val="auto"/>
              </w:rPr>
              <w:t>129,276</w:t>
            </w:r>
            <w:r>
              <w:rPr>
                <w:rFonts w:ascii="Arial" w:cs="Arial" w:eastAsia="Arial" w:hAnsi="Arial"/>
                <w:sz w:val="27"/>
                <w:szCs w:val="27"/>
                <w:color w:val="auto"/>
                <w:vertAlign w:val="superscript"/>
              </w:rPr>
              <w:t>(11)</w:t>
            </w:r>
          </w:p>
        </w:tc>
        <w:tc>
          <w:tcPr>
            <w:tcW w:w="12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8,073,286</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388"/>
        </w:trPr>
        <w:tc>
          <w:tcPr>
            <w:tcW w:w="340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2018</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359,129</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163,044</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20.59</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10/26/28</w:t>
            </w:r>
          </w:p>
        </w:tc>
        <w:tc>
          <w:tcPr>
            <w:tcW w:w="1080" w:type="dxa"/>
            <w:vAlign w:val="bottom"/>
          </w:tcPr>
          <w:p>
            <w:pPr>
              <w:jc w:val="right"/>
              <w:ind w:right="125"/>
              <w:spacing w:after="0"/>
              <w:rPr>
                <w:sz w:val="20"/>
                <w:szCs w:val="20"/>
                <w:color w:val="auto"/>
              </w:rPr>
            </w:pPr>
            <w:r>
              <w:rPr>
                <w:rFonts w:ascii="Arial" w:cs="Arial" w:eastAsia="Arial" w:hAnsi="Arial"/>
                <w:sz w:val="16"/>
                <w:szCs w:val="16"/>
                <w:color w:val="auto"/>
              </w:rPr>
              <w:t>42,218</w:t>
            </w:r>
            <w:r>
              <w:rPr>
                <w:rFonts w:ascii="Arial" w:cs="Arial" w:eastAsia="Arial" w:hAnsi="Arial"/>
                <w:sz w:val="27"/>
                <w:szCs w:val="27"/>
                <w:color w:val="auto"/>
                <w:vertAlign w:val="superscript"/>
              </w:rPr>
              <w:t>(4)</w:t>
            </w:r>
          </w:p>
        </w:tc>
        <w:tc>
          <w:tcPr>
            <w:tcW w:w="1220" w:type="dxa"/>
            <w:vAlign w:val="bottom"/>
          </w:tcPr>
          <w:p>
            <w:pPr>
              <w:jc w:val="right"/>
              <w:spacing w:after="0"/>
              <w:rPr>
                <w:sz w:val="20"/>
                <w:szCs w:val="20"/>
                <w:color w:val="auto"/>
              </w:rPr>
            </w:pPr>
            <w:r>
              <w:rPr>
                <w:rFonts w:ascii="Arial" w:cs="Arial" w:eastAsia="Arial" w:hAnsi="Arial"/>
                <w:sz w:val="16"/>
                <w:szCs w:val="16"/>
                <w:color w:val="auto"/>
              </w:rPr>
              <w:t>2,636,514</w:t>
            </w:r>
            <w:r>
              <w:rPr>
                <w:rFonts w:ascii="Arial" w:cs="Arial" w:eastAsia="Arial" w:hAnsi="Arial"/>
                <w:sz w:val="27"/>
                <w:szCs w:val="27"/>
                <w:color w:val="auto"/>
                <w:vertAlign w:val="superscript"/>
              </w:rPr>
              <w:t>(12)</w:t>
            </w:r>
          </w:p>
        </w:tc>
        <w:tc>
          <w:tcPr>
            <w:tcW w:w="0" w:type="dxa"/>
            <w:vAlign w:val="bottom"/>
          </w:tcPr>
          <w:p>
            <w:pPr>
              <w:spacing w:after="0"/>
              <w:rPr>
                <w:sz w:val="1"/>
                <w:szCs w:val="1"/>
                <w:color w:val="auto"/>
              </w:rPr>
            </w:pPr>
          </w:p>
        </w:tc>
      </w:tr>
      <w:tr>
        <w:trPr>
          <w:trHeight w:val="324"/>
        </w:trPr>
        <w:tc>
          <w:tcPr>
            <w:tcW w:w="340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2019</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5"/>
              <w:spacing w:after="0"/>
              <w:rPr>
                <w:sz w:val="20"/>
                <w:szCs w:val="20"/>
                <w:color w:val="auto"/>
              </w:rPr>
            </w:pPr>
            <w:r>
              <w:rPr>
                <w:rFonts w:ascii="Arial" w:cs="Arial" w:eastAsia="Arial" w:hAnsi="Arial"/>
                <w:sz w:val="16"/>
                <w:szCs w:val="16"/>
                <w:color w:val="auto"/>
              </w:rPr>
              <w:t>44,004</w:t>
            </w:r>
            <w:r>
              <w:rPr>
                <w:rFonts w:ascii="Arial" w:cs="Arial" w:eastAsia="Arial" w:hAnsi="Arial"/>
                <w:sz w:val="27"/>
                <w:szCs w:val="27"/>
                <w:color w:val="auto"/>
                <w:vertAlign w:val="superscript"/>
              </w:rPr>
              <w:t>(6)</w:t>
            </w:r>
          </w:p>
        </w:tc>
        <w:tc>
          <w:tcPr>
            <w:tcW w:w="1220" w:type="dxa"/>
            <w:vAlign w:val="bottom"/>
          </w:tcPr>
          <w:p>
            <w:pPr>
              <w:jc w:val="right"/>
              <w:spacing w:after="0"/>
              <w:rPr>
                <w:sz w:val="20"/>
                <w:szCs w:val="20"/>
                <w:color w:val="auto"/>
              </w:rPr>
            </w:pPr>
            <w:r>
              <w:rPr>
                <w:rFonts w:ascii="Arial" w:cs="Arial" w:eastAsia="Arial" w:hAnsi="Arial"/>
                <w:sz w:val="16"/>
                <w:szCs w:val="16"/>
                <w:color w:val="auto"/>
              </w:rPr>
              <w:t>2,748,050</w:t>
            </w:r>
            <w:r>
              <w:rPr>
                <w:rFonts w:ascii="Arial" w:cs="Arial" w:eastAsia="Arial" w:hAnsi="Arial"/>
                <w:sz w:val="27"/>
                <w:szCs w:val="27"/>
                <w:color w:val="auto"/>
                <w:vertAlign w:val="superscript"/>
              </w:rPr>
              <w:t>(12)</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2020</w:t>
            </w: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5"/>
              <w:spacing w:after="0" w:line="259" w:lineRule="exact"/>
              <w:rPr>
                <w:sz w:val="20"/>
                <w:szCs w:val="20"/>
                <w:color w:val="auto"/>
              </w:rPr>
            </w:pPr>
            <w:r>
              <w:rPr>
                <w:rFonts w:ascii="Arial" w:cs="Arial" w:eastAsia="Arial" w:hAnsi="Arial"/>
                <w:sz w:val="16"/>
                <w:szCs w:val="16"/>
                <w:color w:val="auto"/>
              </w:rPr>
              <w:t>48,237</w:t>
            </w:r>
            <w:r>
              <w:rPr>
                <w:rFonts w:ascii="Arial" w:cs="Arial" w:eastAsia="Arial" w:hAnsi="Arial"/>
                <w:sz w:val="27"/>
                <w:szCs w:val="27"/>
                <w:color w:val="auto"/>
                <w:vertAlign w:val="superscript"/>
              </w:rPr>
              <w:t>(13)</w:t>
            </w:r>
          </w:p>
        </w:tc>
        <w:tc>
          <w:tcPr>
            <w:tcW w:w="1220" w:type="dxa"/>
            <w:vAlign w:val="bottom"/>
          </w:tcPr>
          <w:p>
            <w:pPr>
              <w:jc w:val="right"/>
              <w:spacing w:after="0" w:line="259" w:lineRule="exact"/>
              <w:rPr>
                <w:sz w:val="20"/>
                <w:szCs w:val="20"/>
                <w:color w:val="auto"/>
              </w:rPr>
            </w:pPr>
            <w:r>
              <w:rPr>
                <w:rFonts w:ascii="Arial" w:cs="Arial" w:eastAsia="Arial" w:hAnsi="Arial"/>
                <w:sz w:val="16"/>
                <w:szCs w:val="16"/>
                <w:color w:val="auto"/>
              </w:rPr>
              <w:t>3,012,401</w:t>
            </w:r>
            <w:r>
              <w:rPr>
                <w:rFonts w:ascii="Arial" w:cs="Arial" w:eastAsia="Arial" w:hAnsi="Arial"/>
                <w:sz w:val="27"/>
                <w:szCs w:val="27"/>
                <w:color w:val="auto"/>
                <w:vertAlign w:val="superscript"/>
              </w:rPr>
              <w:t>(12)</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spacing w:after="0"/>
              <w:rPr>
                <w:sz w:val="24"/>
                <w:szCs w:val="24"/>
                <w:color w:val="auto"/>
              </w:rPr>
            </w:pP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2018</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115,700</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132,850</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20.59</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10/26/28</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42,218</w:t>
            </w:r>
            <w:r>
              <w:rPr>
                <w:rFonts w:ascii="Arial" w:cs="Arial" w:eastAsia="Arial" w:hAnsi="Arial"/>
                <w:sz w:val="27"/>
                <w:szCs w:val="27"/>
                <w:color w:val="auto"/>
                <w:vertAlign w:val="superscript"/>
              </w:rPr>
              <w:t>(4)</w:t>
            </w:r>
          </w:p>
        </w:tc>
        <w:tc>
          <w:tcPr>
            <w:tcW w:w="12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2,636,514</w:t>
            </w:r>
            <w:r>
              <w:rPr>
                <w:rFonts w:ascii="Arial" w:cs="Arial" w:eastAsia="Arial" w:hAnsi="Arial"/>
                <w:sz w:val="27"/>
                <w:szCs w:val="27"/>
                <w:color w:val="auto"/>
                <w:vertAlign w:val="superscript"/>
              </w:rPr>
              <w:t>(14)</w:t>
            </w:r>
          </w:p>
        </w:tc>
        <w:tc>
          <w:tcPr>
            <w:tcW w:w="0" w:type="dxa"/>
            <w:vAlign w:val="bottom"/>
          </w:tcPr>
          <w:p>
            <w:pPr>
              <w:spacing w:after="0"/>
              <w:rPr>
                <w:sz w:val="1"/>
                <w:szCs w:val="1"/>
                <w:color w:val="auto"/>
              </w:rPr>
            </w:pPr>
          </w:p>
        </w:tc>
      </w:tr>
      <w:tr>
        <w:trPr>
          <w:trHeight w:val="324"/>
        </w:trPr>
        <w:tc>
          <w:tcPr>
            <w:tcW w:w="3400" w:type="dxa"/>
            <w:vAlign w:val="bottom"/>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6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2019</w:t>
            </w:r>
          </w:p>
        </w:tc>
        <w:tc>
          <w:tcPr>
            <w:tcW w:w="1160" w:type="dxa"/>
            <w:vAlign w:val="bottom"/>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125"/>
              <w:spacing w:after="0"/>
              <w:rPr>
                <w:sz w:val="20"/>
                <w:szCs w:val="20"/>
                <w:color w:val="auto"/>
              </w:rPr>
            </w:pPr>
            <w:r>
              <w:rPr>
                <w:rFonts w:ascii="Arial" w:cs="Arial" w:eastAsia="Arial" w:hAnsi="Arial"/>
                <w:sz w:val="16"/>
                <w:szCs w:val="16"/>
                <w:color w:val="auto"/>
              </w:rPr>
              <w:t>35,204</w:t>
            </w:r>
            <w:r>
              <w:rPr>
                <w:rFonts w:ascii="Arial" w:cs="Arial" w:eastAsia="Arial" w:hAnsi="Arial"/>
                <w:sz w:val="27"/>
                <w:szCs w:val="27"/>
                <w:color w:val="auto"/>
                <w:vertAlign w:val="superscript"/>
              </w:rPr>
              <w:t>(6)</w:t>
            </w:r>
          </w:p>
        </w:tc>
        <w:tc>
          <w:tcPr>
            <w:tcW w:w="12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2,198,490</w:t>
            </w:r>
            <w:r>
              <w:rPr>
                <w:rFonts w:ascii="Arial" w:cs="Arial" w:eastAsia="Arial" w:hAnsi="Arial"/>
                <w:sz w:val="27"/>
                <w:szCs w:val="27"/>
                <w:color w:val="auto"/>
                <w:vertAlign w:val="superscript"/>
              </w:rPr>
              <w:t>(14)</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auto"/>
            </w:tcBorders>
            <w:shd w:val="clear" w:color="auto" w:fill="CCEEF7"/>
          </w:tcPr>
          <w:p>
            <w:pPr>
              <w:spacing w:after="0"/>
              <w:rPr>
                <w:sz w:val="22"/>
                <w:szCs w:val="22"/>
                <w:color w:val="auto"/>
              </w:rPr>
            </w:pPr>
          </w:p>
        </w:tc>
        <w:tc>
          <w:tcPr>
            <w:tcW w:w="640" w:type="dxa"/>
            <w:vAlign w:val="bottom"/>
            <w:tcBorders>
              <w:bottom w:val="single" w:sz="8" w:color="auto"/>
            </w:tcBorders>
            <w:shd w:val="clear" w:color="auto" w:fill="CCEEF7"/>
          </w:tcPr>
          <w:p>
            <w:pPr>
              <w:jc w:val="right"/>
              <w:ind w:right="41"/>
              <w:spacing w:after="0"/>
              <w:rPr>
                <w:sz w:val="20"/>
                <w:szCs w:val="20"/>
                <w:color w:val="auto"/>
              </w:rPr>
            </w:pPr>
            <w:r>
              <w:rPr>
                <w:rFonts w:ascii="Arial" w:cs="Arial" w:eastAsia="Arial" w:hAnsi="Arial"/>
                <w:sz w:val="16"/>
                <w:szCs w:val="16"/>
                <w:color w:val="auto"/>
              </w:rPr>
              <w:t>2020</w:t>
            </w:r>
          </w:p>
        </w:tc>
        <w:tc>
          <w:tcPr>
            <w:tcW w:w="1160" w:type="dxa"/>
            <w:vAlign w:val="bottom"/>
            <w:tcBorders>
              <w:bottom w:val="single" w:sz="8" w:color="auto"/>
            </w:tcBorders>
            <w:shd w:val="clear" w:color="auto" w:fill="CCEEF7"/>
          </w:tcPr>
          <w:p>
            <w:pPr>
              <w:jc w:val="right"/>
              <w:ind w:right="18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7"/>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7"/>
          </w:tcPr>
          <w:p>
            <w:pPr>
              <w:jc w:val="right"/>
              <w:ind w:right="87"/>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7"/>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7"/>
          </w:tcPr>
          <w:p>
            <w:pPr>
              <w:jc w:val="right"/>
              <w:ind w:right="45"/>
              <w:spacing w:after="0" w:line="257" w:lineRule="exact"/>
              <w:rPr>
                <w:sz w:val="20"/>
                <w:szCs w:val="20"/>
                <w:color w:val="auto"/>
              </w:rPr>
            </w:pPr>
            <w:r>
              <w:rPr>
                <w:rFonts w:ascii="Arial" w:cs="Arial" w:eastAsia="Arial" w:hAnsi="Arial"/>
                <w:sz w:val="16"/>
                <w:szCs w:val="16"/>
                <w:color w:val="auto"/>
              </w:rPr>
              <w:t>38,589</w:t>
            </w:r>
            <w:r>
              <w:rPr>
                <w:rFonts w:ascii="Arial" w:cs="Arial" w:eastAsia="Arial" w:hAnsi="Arial"/>
                <w:sz w:val="27"/>
                <w:szCs w:val="27"/>
                <w:color w:val="auto"/>
                <w:vertAlign w:val="superscript"/>
              </w:rPr>
              <w:t>(15)</w:t>
            </w:r>
          </w:p>
        </w:tc>
        <w:tc>
          <w:tcPr>
            <w:tcW w:w="1220" w:type="dxa"/>
            <w:vAlign w:val="bottom"/>
            <w:tcBorders>
              <w:bottom w:val="single" w:sz="8" w:color="auto"/>
            </w:tcBorders>
            <w:shd w:val="clear" w:color="auto" w:fill="CCEEF7"/>
          </w:tcPr>
          <w:p>
            <w:pPr>
              <w:jc w:val="right"/>
              <w:spacing w:after="0" w:line="257" w:lineRule="exact"/>
              <w:rPr>
                <w:sz w:val="20"/>
                <w:szCs w:val="20"/>
                <w:color w:val="auto"/>
              </w:rPr>
            </w:pPr>
            <w:r>
              <w:rPr>
                <w:rFonts w:ascii="Arial" w:cs="Arial" w:eastAsia="Arial" w:hAnsi="Arial"/>
                <w:sz w:val="16"/>
                <w:szCs w:val="16"/>
                <w:color w:val="auto"/>
              </w:rPr>
              <w:t>2,409,883</w:t>
            </w:r>
            <w:r>
              <w:rPr>
                <w:rFonts w:ascii="Arial" w:cs="Arial" w:eastAsia="Arial" w:hAnsi="Arial"/>
                <w:sz w:val="27"/>
                <w:szCs w:val="27"/>
                <w:color w:val="auto"/>
                <w:vertAlign w:val="superscript"/>
              </w:rPr>
              <w:t>(14)</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4"/>
                <w:szCs w:val="14"/>
                <w:color w:val="00ADD8"/>
              </w:rPr>
              <w:t>2021 Proxy Statement</w:t>
            </w: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bl>
    <w:p>
      <w:pPr>
        <w:sectPr>
          <w:pgSz w:w="11900" w:h="16838" w:orient="portrait"/>
          <w:cols w:equalWidth="0" w:num="1">
            <w:col w:w="11024"/>
          </w:cols>
          <w:pgMar w:left="436" w:top="1138" w:right="439" w:bottom="1440" w:gutter="0" w:footer="0" w:header="0"/>
        </w:sectPr>
      </w:pPr>
    </w:p>
    <w:bookmarkStart w:id="50" w:name="page51"/>
    <w:bookmarkEnd w:id="50"/>
    <w:p>
      <w:pPr>
        <w:ind w:left="424" w:right="100" w:hanging="424"/>
        <w:spacing w:after="0" w:line="247"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Represents the unvested portion of Options granted to the NEOs on October 26, 2018, as of December 31, 2020 under the Option Plan. Such Options vest based on satisfying certain performance conditions, including achievement of EBITDA growth and revenue growth targets, for calendar years 2020 and 2021. On February 24, 2021 the performance goals in respect of 2020 were deemed achieved and 50% of the amount reflected above became vested. For additional information on the vesting terms applicable to the Options, see the section entitled “Fiscal 2020 Compensation Program in Detail — Long-Term Equity Incentives.”</w:t>
      </w:r>
    </w:p>
    <w:p>
      <w:pPr>
        <w:spacing w:after="0" w:line="66" w:lineRule="exact"/>
        <w:rPr>
          <w:rFonts w:ascii="Arial" w:cs="Arial" w:eastAsia="Arial" w:hAnsi="Arial"/>
          <w:sz w:val="14"/>
          <w:szCs w:val="14"/>
          <w:color w:val="auto"/>
        </w:rPr>
      </w:pPr>
    </w:p>
    <w:p>
      <w:pPr>
        <w:ind w:left="424" w:hanging="424"/>
        <w:spacing w:after="0"/>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the per-share closing market price of the Company’s common stock on December 31, 2020, which was $62.45.</w:t>
      </w:r>
    </w:p>
    <w:p>
      <w:pPr>
        <w:spacing w:after="0" w:line="82" w:lineRule="exact"/>
        <w:rPr>
          <w:rFonts w:ascii="Arial" w:cs="Arial" w:eastAsia="Arial" w:hAnsi="Arial"/>
          <w:sz w:val="14"/>
          <w:szCs w:val="14"/>
          <w:color w:val="auto"/>
        </w:rPr>
      </w:pPr>
    </w:p>
    <w:p>
      <w:pPr>
        <w:ind w:left="424" w:right="14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138,164 options transferred by Mr. Olesky to The Lee Olesky 2019 Family Trust U/A/D March 21, 2019 (“The Family Trust”). Mr. Olesky and his wife are the co-trustees of The Family Trust.</w:t>
      </w:r>
    </w:p>
    <w:p>
      <w:pPr>
        <w:spacing w:after="0" w:line="58" w:lineRule="exact"/>
        <w:rPr>
          <w:rFonts w:ascii="Arial" w:cs="Arial" w:eastAsia="Arial" w:hAnsi="Arial"/>
          <w:sz w:val="14"/>
          <w:szCs w:val="14"/>
          <w:color w:val="auto"/>
        </w:rPr>
      </w:pPr>
    </w:p>
    <w:p>
      <w:pPr>
        <w:ind w:left="424" w:hanging="424"/>
        <w:spacing w:after="0"/>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PRSUs which vested in full on January 1, 2021.</w:t>
      </w:r>
    </w:p>
    <w:p>
      <w:pPr>
        <w:spacing w:after="0" w:line="82" w:lineRule="exact"/>
        <w:rPr>
          <w:rFonts w:ascii="Arial" w:cs="Arial" w:eastAsia="Arial" w:hAnsi="Arial"/>
          <w:sz w:val="14"/>
          <w:szCs w:val="14"/>
          <w:color w:val="auto"/>
        </w:rPr>
      </w:pPr>
    </w:p>
    <w:p>
      <w:pPr>
        <w:ind w:left="424" w:right="8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Olesky has accrued dividend equivalent rights in respect of his grants of PRSUs and RSUs valued at (i) $438,274 for 2018 awards, (ii) $391,069 for 2019 awards, and (iii) $45,279 for 2020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424" w:hanging="424"/>
        <w:spacing w:after="0"/>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PRSUs which will vest in full on January 1, 2022, subject to continued employment on such date.</w:t>
      </w:r>
    </w:p>
    <w:p>
      <w:pPr>
        <w:spacing w:after="0" w:line="82" w:lineRule="exact"/>
        <w:rPr>
          <w:rFonts w:ascii="Arial" w:cs="Arial" w:eastAsia="Arial" w:hAnsi="Arial"/>
          <w:sz w:val="14"/>
          <w:szCs w:val="14"/>
          <w:color w:val="auto"/>
        </w:rPr>
      </w:pPr>
    </w:p>
    <w:p>
      <w:pPr>
        <w:ind w:left="424" w:right="4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102,906 PRSUs which will vest on January 1, 2023, and (ii) 51,453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424" w:right="8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Warshaw has accrued dividend equivalent rights in respect of his grants of PRSUs and RSUs valued at (i) $51,965 for 2018 awards, (ii) $28,825 for 2019 awards, and (iii) $9,225 for 2020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424" w:right="12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20,966 PRSUs which will vest on January 1, 2023, and (ii) 10,483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424" w:right="26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grants of PRSUs and RSUs valued at (i) $365,412 for 2018 awards, (ii) $326,324 for 2019 awards, and (iii) $37,921 for 2020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424" w:right="12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86,184 PRSUs which will vest on January 1, 2023, and (ii) 43,092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424" w:right="6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grants of PRSUs and RSUs valued at (i) $89,080 for 2018 awards, (ii) $57,645 for 2019 awards, and (iii) $14,150 for 2020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424" w:right="12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32,158 PRSUs which will vest on January 1, 2023, and (ii) 16,079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424" w:right="10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grants of PRSUs and RSUs valued at (i) $89,080 for 2018 awards, (ii) $46,117 for 2019 awards, and (iii) $11,319 for 2020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424" w:right="120" w:hanging="424"/>
        <w:spacing w:after="0" w:line="258"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25,726 PRSUs which will vest on January 1, 2023, and (ii) 12,863 RSUs which will vest (or vested) in equal installments on March 17 of each of 2021, 2022 and 2023, subject in each case to continued employment on each applicable vesting date.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25"/>
          <w:szCs w:val="25"/>
          <w:color w:val="00ADD8"/>
        </w:rPr>
        <w:t>Options Exercised and Stock Vested</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summarizes the option exercises and stock vested by each of the NEOs during the fiscal year ended December 31, 2020.</w:t>
      </w:r>
    </w:p>
    <w:p>
      <w:pPr>
        <w:spacing w:after="0" w:line="31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946"/>
              <w:spacing w:after="0"/>
              <w:rPr>
                <w:sz w:val="20"/>
                <w:szCs w:val="20"/>
                <w:color w:val="auto"/>
              </w:rPr>
            </w:pPr>
            <w:r>
              <w:rPr>
                <w:rFonts w:ascii="Arial" w:cs="Arial" w:eastAsia="Arial" w:hAnsi="Arial"/>
                <w:sz w:val="13"/>
                <w:szCs w:val="13"/>
                <w:color w:val="auto"/>
              </w:rPr>
              <w:t>Option Awards</w:t>
            </w:r>
          </w:p>
        </w:tc>
        <w:tc>
          <w:tcPr>
            <w:tcW w:w="198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3"/>
                <w:szCs w:val="13"/>
                <w:color w:val="auto"/>
              </w:rPr>
              <w:t>Stock Awards</w:t>
            </w:r>
          </w:p>
        </w:tc>
      </w:tr>
      <w:tr>
        <w:trPr>
          <w:trHeight w:val="130"/>
        </w:trPr>
        <w:tc>
          <w:tcPr>
            <w:tcW w:w="6480" w:type="dxa"/>
            <w:vAlign w:val="bottom"/>
          </w:tcPr>
          <w:p>
            <w:pPr>
              <w:spacing w:after="0"/>
              <w:rPr>
                <w:sz w:val="11"/>
                <w:szCs w:val="11"/>
                <w:color w:val="auto"/>
              </w:rPr>
            </w:pPr>
          </w:p>
        </w:tc>
        <w:tc>
          <w:tcPr>
            <w:tcW w:w="1180" w:type="dxa"/>
            <w:vAlign w:val="bottom"/>
          </w:tcPr>
          <w:p>
            <w:pPr>
              <w:jc w:val="right"/>
              <w:ind w:right="209"/>
              <w:spacing w:after="0" w:line="130" w:lineRule="exact"/>
              <w:rPr>
                <w:sz w:val="20"/>
                <w:szCs w:val="20"/>
                <w:color w:val="auto"/>
              </w:rPr>
            </w:pPr>
            <w:r>
              <w:rPr>
                <w:rFonts w:ascii="Arial" w:cs="Arial" w:eastAsia="Arial" w:hAnsi="Arial"/>
                <w:sz w:val="13"/>
                <w:szCs w:val="13"/>
                <w:color w:val="auto"/>
              </w:rPr>
              <w:t>Number of</w:t>
            </w:r>
          </w:p>
        </w:tc>
        <w:tc>
          <w:tcPr>
            <w:tcW w:w="1380" w:type="dxa"/>
            <w:vAlign w:val="bottom"/>
          </w:tcPr>
          <w:p>
            <w:pPr>
              <w:spacing w:after="0"/>
              <w:rPr>
                <w:sz w:val="11"/>
                <w:szCs w:val="11"/>
                <w:color w:val="auto"/>
              </w:rPr>
            </w:pPr>
          </w:p>
        </w:tc>
        <w:tc>
          <w:tcPr>
            <w:tcW w:w="980" w:type="dxa"/>
            <w:vAlign w:val="bottom"/>
          </w:tcPr>
          <w:p>
            <w:pPr>
              <w:jc w:val="right"/>
              <w:ind w:right="89"/>
              <w:spacing w:after="0" w:line="130" w:lineRule="exact"/>
              <w:rPr>
                <w:sz w:val="20"/>
                <w:szCs w:val="20"/>
                <w:color w:val="auto"/>
              </w:rPr>
            </w:pPr>
            <w:r>
              <w:rPr>
                <w:rFonts w:ascii="Arial" w:cs="Arial" w:eastAsia="Arial" w:hAnsi="Arial"/>
                <w:sz w:val="13"/>
                <w:szCs w:val="13"/>
                <w:color w:val="auto"/>
              </w:rPr>
              <w:t>Number of</w:t>
            </w:r>
          </w:p>
        </w:tc>
        <w:tc>
          <w:tcPr>
            <w:tcW w:w="1000" w:type="dxa"/>
            <w:vAlign w:val="bottom"/>
          </w:tcPr>
          <w:p>
            <w:pPr>
              <w:spacing w:after="0"/>
              <w:rPr>
                <w:sz w:val="11"/>
                <w:szCs w:val="11"/>
                <w:color w:val="auto"/>
              </w:rPr>
            </w:pPr>
          </w:p>
        </w:tc>
      </w:tr>
      <w:tr>
        <w:trPr>
          <w:trHeight w:val="135"/>
        </w:trPr>
        <w:tc>
          <w:tcPr>
            <w:tcW w:w="6480" w:type="dxa"/>
            <w:vAlign w:val="bottom"/>
          </w:tcPr>
          <w:p>
            <w:pPr>
              <w:spacing w:after="0"/>
              <w:rPr>
                <w:sz w:val="11"/>
                <w:szCs w:val="11"/>
                <w:color w:val="auto"/>
              </w:rPr>
            </w:pPr>
          </w:p>
        </w:tc>
        <w:tc>
          <w:tcPr>
            <w:tcW w:w="1180" w:type="dxa"/>
            <w:vAlign w:val="bottom"/>
          </w:tcPr>
          <w:p>
            <w:pPr>
              <w:jc w:val="right"/>
              <w:ind w:right="209"/>
              <w:spacing w:after="0" w:line="135" w:lineRule="exact"/>
              <w:rPr>
                <w:sz w:val="20"/>
                <w:szCs w:val="20"/>
                <w:color w:val="auto"/>
              </w:rPr>
            </w:pPr>
            <w:r>
              <w:rPr>
                <w:rFonts w:ascii="Arial" w:cs="Arial" w:eastAsia="Arial" w:hAnsi="Arial"/>
                <w:sz w:val="13"/>
                <w:szCs w:val="13"/>
                <w:color w:val="auto"/>
              </w:rPr>
              <w:t>shares</w:t>
            </w:r>
          </w:p>
        </w:tc>
        <w:tc>
          <w:tcPr>
            <w:tcW w:w="1380" w:type="dxa"/>
            <w:vAlign w:val="bottom"/>
          </w:tcPr>
          <w:p>
            <w:pPr>
              <w:spacing w:after="0"/>
              <w:rPr>
                <w:sz w:val="11"/>
                <w:szCs w:val="11"/>
                <w:color w:val="auto"/>
              </w:rPr>
            </w:pPr>
          </w:p>
        </w:tc>
        <w:tc>
          <w:tcPr>
            <w:tcW w:w="980" w:type="dxa"/>
            <w:vAlign w:val="bottom"/>
          </w:tcPr>
          <w:p>
            <w:pPr>
              <w:jc w:val="right"/>
              <w:ind w:right="89"/>
              <w:spacing w:after="0" w:line="135" w:lineRule="exact"/>
              <w:rPr>
                <w:sz w:val="20"/>
                <w:szCs w:val="20"/>
                <w:color w:val="auto"/>
              </w:rPr>
            </w:pPr>
            <w:r>
              <w:rPr>
                <w:rFonts w:ascii="Arial" w:cs="Arial" w:eastAsia="Arial" w:hAnsi="Arial"/>
                <w:sz w:val="13"/>
                <w:szCs w:val="13"/>
                <w:color w:val="auto"/>
              </w:rPr>
              <w:t>shares</w:t>
            </w:r>
          </w:p>
        </w:tc>
        <w:tc>
          <w:tcPr>
            <w:tcW w:w="1000" w:type="dxa"/>
            <w:vAlign w:val="bottom"/>
          </w:tcPr>
          <w:p>
            <w:pPr>
              <w:spacing w:after="0"/>
              <w:rPr>
                <w:sz w:val="11"/>
                <w:szCs w:val="11"/>
                <w:color w:val="auto"/>
              </w:rPr>
            </w:pPr>
          </w:p>
        </w:tc>
      </w:tr>
      <w:tr>
        <w:trPr>
          <w:trHeight w:val="135"/>
        </w:trPr>
        <w:tc>
          <w:tcPr>
            <w:tcW w:w="6480" w:type="dxa"/>
            <w:vAlign w:val="bottom"/>
          </w:tcPr>
          <w:p>
            <w:pPr>
              <w:spacing w:after="0"/>
              <w:rPr>
                <w:sz w:val="11"/>
                <w:szCs w:val="11"/>
                <w:color w:val="auto"/>
              </w:rPr>
            </w:pPr>
          </w:p>
        </w:tc>
        <w:tc>
          <w:tcPr>
            <w:tcW w:w="1180" w:type="dxa"/>
            <w:vAlign w:val="bottom"/>
          </w:tcPr>
          <w:p>
            <w:pPr>
              <w:jc w:val="right"/>
              <w:ind w:right="209"/>
              <w:spacing w:after="0" w:line="135" w:lineRule="exact"/>
              <w:rPr>
                <w:sz w:val="20"/>
                <w:szCs w:val="20"/>
                <w:color w:val="auto"/>
              </w:rPr>
            </w:pPr>
            <w:r>
              <w:rPr>
                <w:rFonts w:ascii="Arial" w:cs="Arial" w:eastAsia="Arial" w:hAnsi="Arial"/>
                <w:sz w:val="13"/>
                <w:szCs w:val="13"/>
                <w:color w:val="auto"/>
              </w:rPr>
              <w:t>acquired on</w:t>
            </w:r>
          </w:p>
        </w:tc>
        <w:tc>
          <w:tcPr>
            <w:tcW w:w="1380" w:type="dxa"/>
            <w:vAlign w:val="bottom"/>
          </w:tcPr>
          <w:p>
            <w:pPr>
              <w:jc w:val="right"/>
              <w:ind w:right="306"/>
              <w:spacing w:after="0" w:line="135" w:lineRule="exact"/>
              <w:rPr>
                <w:sz w:val="20"/>
                <w:szCs w:val="20"/>
                <w:color w:val="auto"/>
              </w:rPr>
            </w:pPr>
            <w:r>
              <w:rPr>
                <w:rFonts w:ascii="Arial" w:cs="Arial" w:eastAsia="Arial" w:hAnsi="Arial"/>
                <w:sz w:val="13"/>
                <w:szCs w:val="13"/>
                <w:color w:val="auto"/>
              </w:rPr>
              <w:t>Value realized</w:t>
            </w:r>
          </w:p>
        </w:tc>
        <w:tc>
          <w:tcPr>
            <w:tcW w:w="980" w:type="dxa"/>
            <w:vAlign w:val="bottom"/>
          </w:tcPr>
          <w:p>
            <w:pPr>
              <w:jc w:val="right"/>
              <w:ind w:right="89"/>
              <w:spacing w:after="0" w:line="135" w:lineRule="exact"/>
              <w:rPr>
                <w:sz w:val="20"/>
                <w:szCs w:val="20"/>
                <w:color w:val="auto"/>
              </w:rPr>
            </w:pPr>
            <w:r>
              <w:rPr>
                <w:rFonts w:ascii="Arial" w:cs="Arial" w:eastAsia="Arial" w:hAnsi="Arial"/>
                <w:sz w:val="13"/>
                <w:szCs w:val="13"/>
                <w:color w:val="auto"/>
              </w:rPr>
              <w:t>acquired on</w:t>
            </w:r>
          </w:p>
        </w:tc>
        <w:tc>
          <w:tcPr>
            <w:tcW w:w="1000" w:type="dxa"/>
            <w:vAlign w:val="bottom"/>
          </w:tcPr>
          <w:p>
            <w:pPr>
              <w:jc w:val="right"/>
              <w:ind w:right="46"/>
              <w:spacing w:after="0" w:line="135" w:lineRule="exact"/>
              <w:rPr>
                <w:sz w:val="20"/>
                <w:szCs w:val="20"/>
                <w:color w:val="auto"/>
              </w:rPr>
            </w:pPr>
            <w:r>
              <w:rPr>
                <w:rFonts w:ascii="Arial" w:cs="Arial" w:eastAsia="Arial" w:hAnsi="Arial"/>
                <w:sz w:val="13"/>
                <w:szCs w:val="13"/>
                <w:color w:val="auto"/>
              </w:rPr>
              <w:t>Value realized</w:t>
            </w:r>
          </w:p>
        </w:tc>
      </w:tr>
      <w:tr>
        <w:trPr>
          <w:trHeight w:val="135"/>
        </w:trPr>
        <w:tc>
          <w:tcPr>
            <w:tcW w:w="6480" w:type="dxa"/>
            <w:vAlign w:val="bottom"/>
          </w:tcPr>
          <w:p>
            <w:pPr>
              <w:spacing w:after="0"/>
              <w:rPr>
                <w:sz w:val="11"/>
                <w:szCs w:val="11"/>
                <w:color w:val="auto"/>
              </w:rPr>
            </w:pPr>
          </w:p>
        </w:tc>
        <w:tc>
          <w:tcPr>
            <w:tcW w:w="1180" w:type="dxa"/>
            <w:vAlign w:val="bottom"/>
          </w:tcPr>
          <w:p>
            <w:pPr>
              <w:jc w:val="right"/>
              <w:ind w:right="209"/>
              <w:spacing w:after="0" w:line="135" w:lineRule="exact"/>
              <w:rPr>
                <w:sz w:val="20"/>
                <w:szCs w:val="20"/>
                <w:color w:val="auto"/>
              </w:rPr>
            </w:pPr>
            <w:r>
              <w:rPr>
                <w:rFonts w:ascii="Arial" w:cs="Arial" w:eastAsia="Arial" w:hAnsi="Arial"/>
                <w:sz w:val="13"/>
                <w:szCs w:val="13"/>
                <w:color w:val="auto"/>
              </w:rPr>
              <w:t>exercise</w:t>
            </w:r>
          </w:p>
        </w:tc>
        <w:tc>
          <w:tcPr>
            <w:tcW w:w="1380" w:type="dxa"/>
            <w:vAlign w:val="bottom"/>
          </w:tcPr>
          <w:p>
            <w:pPr>
              <w:jc w:val="right"/>
              <w:ind w:right="306"/>
              <w:spacing w:after="0" w:line="135" w:lineRule="exact"/>
              <w:rPr>
                <w:sz w:val="20"/>
                <w:szCs w:val="20"/>
                <w:color w:val="auto"/>
              </w:rPr>
            </w:pPr>
            <w:r>
              <w:rPr>
                <w:rFonts w:ascii="Arial" w:cs="Arial" w:eastAsia="Arial" w:hAnsi="Arial"/>
                <w:sz w:val="13"/>
                <w:szCs w:val="13"/>
                <w:color w:val="auto"/>
              </w:rPr>
              <w:t>on exercise</w:t>
            </w:r>
          </w:p>
        </w:tc>
        <w:tc>
          <w:tcPr>
            <w:tcW w:w="980" w:type="dxa"/>
            <w:vAlign w:val="bottom"/>
          </w:tcPr>
          <w:p>
            <w:pPr>
              <w:jc w:val="right"/>
              <w:ind w:right="89"/>
              <w:spacing w:after="0" w:line="135" w:lineRule="exact"/>
              <w:rPr>
                <w:sz w:val="20"/>
                <w:szCs w:val="20"/>
                <w:color w:val="auto"/>
              </w:rPr>
            </w:pPr>
            <w:r>
              <w:rPr>
                <w:rFonts w:ascii="Arial" w:cs="Arial" w:eastAsia="Arial" w:hAnsi="Arial"/>
                <w:sz w:val="13"/>
                <w:szCs w:val="13"/>
                <w:color w:val="auto"/>
              </w:rPr>
              <w:t>vesting</w:t>
            </w:r>
          </w:p>
        </w:tc>
        <w:tc>
          <w:tcPr>
            <w:tcW w:w="1000" w:type="dxa"/>
            <w:vAlign w:val="bottom"/>
          </w:tcPr>
          <w:p>
            <w:pPr>
              <w:jc w:val="right"/>
              <w:ind w:right="46"/>
              <w:spacing w:after="0" w:line="135" w:lineRule="exact"/>
              <w:rPr>
                <w:sz w:val="20"/>
                <w:szCs w:val="20"/>
                <w:color w:val="auto"/>
              </w:rPr>
            </w:pPr>
            <w:r>
              <w:rPr>
                <w:rFonts w:ascii="Arial" w:cs="Arial" w:eastAsia="Arial" w:hAnsi="Arial"/>
                <w:sz w:val="13"/>
                <w:szCs w:val="13"/>
                <w:color w:val="auto"/>
              </w:rPr>
              <w:t>on vesting</w:t>
            </w:r>
          </w:p>
        </w:tc>
      </w:tr>
      <w:tr>
        <w:trPr>
          <w:trHeight w:val="174"/>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w:t>
            </w:r>
          </w:p>
        </w:tc>
        <w:tc>
          <w:tcPr>
            <w:tcW w:w="11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(1)</w:t>
            </w:r>
          </w:p>
        </w:tc>
        <w:tc>
          <w:tcPr>
            <w:tcW w:w="138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(2)</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(3)</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r>
      <w:tr>
        <w:trPr>
          <w:trHeight w:val="305"/>
        </w:trPr>
        <w:tc>
          <w:tcPr>
            <w:tcW w:w="648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180" w:type="dxa"/>
            <w:vAlign w:val="bottom"/>
            <w:shd w:val="clear" w:color="auto" w:fill="CCEEF7"/>
          </w:tcPr>
          <w:p>
            <w:pPr>
              <w:jc w:val="right"/>
              <w:ind w:right="49"/>
              <w:spacing w:after="0" w:line="305" w:lineRule="exact"/>
              <w:rPr>
                <w:sz w:val="20"/>
                <w:szCs w:val="20"/>
                <w:color w:val="auto"/>
              </w:rPr>
            </w:pPr>
            <w:r>
              <w:rPr>
                <w:rFonts w:ascii="Arial" w:cs="Arial" w:eastAsia="Arial" w:hAnsi="Arial"/>
                <w:sz w:val="16"/>
                <w:szCs w:val="16"/>
                <w:color w:val="auto"/>
              </w:rPr>
              <w:t>3,165,799</w:t>
            </w:r>
            <w:r>
              <w:rPr>
                <w:rFonts w:ascii="Arial" w:cs="Arial" w:eastAsia="Arial" w:hAnsi="Arial"/>
                <w:sz w:val="27"/>
                <w:szCs w:val="27"/>
                <w:color w:val="auto"/>
                <w:vertAlign w:val="superscript"/>
              </w:rPr>
              <w:t>(5)</w:t>
            </w:r>
          </w:p>
        </w:tc>
        <w:tc>
          <w:tcPr>
            <w:tcW w:w="1380" w:type="dxa"/>
            <w:vAlign w:val="bottom"/>
            <w:shd w:val="clear" w:color="auto" w:fill="CCEEF7"/>
          </w:tcPr>
          <w:p>
            <w:pPr>
              <w:jc w:val="right"/>
              <w:ind w:right="126"/>
              <w:spacing w:after="0" w:line="305" w:lineRule="exact"/>
              <w:rPr>
                <w:sz w:val="20"/>
                <w:szCs w:val="20"/>
                <w:color w:val="auto"/>
              </w:rPr>
            </w:pPr>
            <w:r>
              <w:rPr>
                <w:rFonts w:ascii="Arial" w:cs="Arial" w:eastAsia="Arial" w:hAnsi="Arial"/>
                <w:sz w:val="16"/>
                <w:szCs w:val="16"/>
                <w:color w:val="auto"/>
              </w:rPr>
              <w:t>107,770,119</w:t>
            </w:r>
            <w:r>
              <w:rPr>
                <w:rFonts w:ascii="Arial" w:cs="Arial" w:eastAsia="Arial" w:hAnsi="Arial"/>
                <w:sz w:val="27"/>
                <w:szCs w:val="27"/>
                <w:color w:val="auto"/>
                <w:vertAlign w:val="superscript"/>
              </w:rPr>
              <w:t>(5)</w:t>
            </w:r>
          </w:p>
        </w:tc>
        <w:tc>
          <w:tcPr>
            <w:tcW w:w="980" w:type="dxa"/>
            <w:vAlign w:val="bottom"/>
            <w:shd w:val="clear" w:color="auto" w:fill="CCEEF7"/>
          </w:tcPr>
          <w:p>
            <w:pPr>
              <w:jc w:val="right"/>
              <w:ind w:right="89"/>
              <w:spacing w:after="0"/>
              <w:rPr>
                <w:sz w:val="20"/>
                <w:szCs w:val="20"/>
                <w:color w:val="auto"/>
              </w:rPr>
            </w:pPr>
            <w:r>
              <w:rPr>
                <w:rFonts w:ascii="Arial" w:cs="Arial" w:eastAsia="Arial" w:hAnsi="Arial"/>
                <w:sz w:val="16"/>
                <w:szCs w:val="16"/>
                <w:color w:val="auto"/>
              </w:rPr>
              <w:t>201,629</w:t>
            </w:r>
          </w:p>
        </w:tc>
        <w:tc>
          <w:tcPr>
            <w:tcW w:w="1000" w:type="dxa"/>
            <w:vAlign w:val="bottom"/>
            <w:shd w:val="clear" w:color="auto" w:fill="CCEEF7"/>
          </w:tcPr>
          <w:p>
            <w:pPr>
              <w:jc w:val="right"/>
              <w:ind w:right="46"/>
              <w:spacing w:after="0"/>
              <w:rPr>
                <w:sz w:val="20"/>
                <w:szCs w:val="20"/>
                <w:color w:val="auto"/>
              </w:rPr>
            </w:pPr>
            <w:r>
              <w:rPr>
                <w:rFonts w:ascii="Arial" w:cs="Arial" w:eastAsia="Arial" w:hAnsi="Arial"/>
                <w:sz w:val="16"/>
                <w:szCs w:val="16"/>
                <w:color w:val="auto"/>
              </w:rPr>
              <w:t>9,311,227</w:t>
            </w:r>
          </w:p>
        </w:tc>
      </w:tr>
      <w:tr>
        <w:trPr>
          <w:trHeight w:val="264"/>
        </w:trPr>
        <w:tc>
          <w:tcPr>
            <w:tcW w:w="648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1180" w:type="dxa"/>
            <w:vAlign w:val="bottom"/>
          </w:tcPr>
          <w:p>
            <w:pPr>
              <w:jc w:val="right"/>
              <w:ind w:right="209"/>
              <w:spacing w:after="0"/>
              <w:rPr>
                <w:sz w:val="20"/>
                <w:szCs w:val="20"/>
                <w:color w:val="auto"/>
              </w:rPr>
            </w:pPr>
            <w:r>
              <w:rPr>
                <w:rFonts w:ascii="Arial" w:cs="Arial" w:eastAsia="Arial" w:hAnsi="Arial"/>
                <w:sz w:val="16"/>
                <w:szCs w:val="16"/>
                <w:color w:val="auto"/>
              </w:rPr>
              <w:t>395,699</w:t>
            </w:r>
          </w:p>
        </w:tc>
        <w:tc>
          <w:tcPr>
            <w:tcW w:w="1380" w:type="dxa"/>
            <w:vAlign w:val="bottom"/>
          </w:tcPr>
          <w:p>
            <w:pPr>
              <w:jc w:val="right"/>
              <w:ind w:right="306"/>
              <w:spacing w:after="0"/>
              <w:rPr>
                <w:sz w:val="20"/>
                <w:szCs w:val="20"/>
                <w:color w:val="auto"/>
              </w:rPr>
            </w:pPr>
            <w:r>
              <w:rPr>
                <w:rFonts w:ascii="Arial" w:cs="Arial" w:eastAsia="Arial" w:hAnsi="Arial"/>
                <w:sz w:val="16"/>
                <w:szCs w:val="16"/>
                <w:color w:val="auto"/>
              </w:rPr>
              <w:t>12,520,039</w:t>
            </w:r>
          </w:p>
        </w:tc>
        <w:tc>
          <w:tcPr>
            <w:tcW w:w="980" w:type="dxa"/>
            <w:vAlign w:val="bottom"/>
          </w:tcPr>
          <w:p>
            <w:pPr>
              <w:jc w:val="right"/>
              <w:ind w:right="89"/>
              <w:spacing w:after="0"/>
              <w:rPr>
                <w:sz w:val="20"/>
                <w:szCs w:val="20"/>
                <w:color w:val="auto"/>
              </w:rPr>
            </w:pPr>
            <w:r>
              <w:rPr>
                <w:rFonts w:ascii="Arial" w:cs="Arial" w:eastAsia="Arial" w:hAnsi="Arial"/>
                <w:sz w:val="16"/>
                <w:szCs w:val="16"/>
                <w:color w:val="auto"/>
              </w:rPr>
              <w:t>32,004</w:t>
            </w:r>
          </w:p>
        </w:tc>
        <w:tc>
          <w:tcPr>
            <w:tcW w:w="1000" w:type="dxa"/>
            <w:vAlign w:val="bottom"/>
          </w:tcPr>
          <w:p>
            <w:pPr>
              <w:jc w:val="right"/>
              <w:ind w:right="46"/>
              <w:spacing w:after="0"/>
              <w:rPr>
                <w:sz w:val="20"/>
                <w:szCs w:val="20"/>
                <w:color w:val="auto"/>
              </w:rPr>
            </w:pPr>
            <w:r>
              <w:rPr>
                <w:rFonts w:ascii="Arial" w:cs="Arial" w:eastAsia="Arial" w:hAnsi="Arial"/>
                <w:sz w:val="16"/>
                <w:szCs w:val="16"/>
                <w:color w:val="auto"/>
              </w:rPr>
              <w:t>1,477,945</w:t>
            </w:r>
          </w:p>
        </w:tc>
      </w:tr>
      <w:tr>
        <w:trPr>
          <w:trHeight w:val="60"/>
        </w:trPr>
        <w:tc>
          <w:tcPr>
            <w:tcW w:w="6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304"/>
        </w:trPr>
        <w:tc>
          <w:tcPr>
            <w:tcW w:w="648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William Hult</w:t>
            </w:r>
          </w:p>
        </w:tc>
        <w:tc>
          <w:tcPr>
            <w:tcW w:w="1180" w:type="dxa"/>
            <w:vAlign w:val="bottom"/>
            <w:tcBorders>
              <w:bottom w:val="single" w:sz="8" w:color="CCEEF7"/>
            </w:tcBorders>
            <w:shd w:val="clear" w:color="auto" w:fill="CCEEF7"/>
          </w:tcPr>
          <w:p>
            <w:pPr>
              <w:jc w:val="right"/>
              <w:ind w:right="209"/>
              <w:spacing w:after="0"/>
              <w:rPr>
                <w:sz w:val="20"/>
                <w:szCs w:val="20"/>
                <w:color w:val="auto"/>
              </w:rPr>
            </w:pPr>
            <w:r>
              <w:rPr>
                <w:rFonts w:ascii="Arial" w:cs="Arial" w:eastAsia="Arial" w:hAnsi="Arial"/>
                <w:sz w:val="16"/>
                <w:szCs w:val="16"/>
                <w:color w:val="auto"/>
              </w:rPr>
              <w:t>1,840,000</w:t>
            </w:r>
          </w:p>
        </w:tc>
        <w:tc>
          <w:tcPr>
            <w:tcW w:w="1380" w:type="dxa"/>
            <w:vAlign w:val="bottom"/>
            <w:tcBorders>
              <w:bottom w:val="single" w:sz="8" w:color="CCEEF7"/>
            </w:tcBorders>
            <w:shd w:val="clear" w:color="auto" w:fill="CCEEF7"/>
          </w:tcPr>
          <w:p>
            <w:pPr>
              <w:jc w:val="right"/>
              <w:ind w:right="306"/>
              <w:spacing w:after="0"/>
              <w:rPr>
                <w:sz w:val="20"/>
                <w:szCs w:val="20"/>
                <w:color w:val="auto"/>
              </w:rPr>
            </w:pPr>
            <w:r>
              <w:rPr>
                <w:rFonts w:ascii="Arial" w:cs="Arial" w:eastAsia="Arial" w:hAnsi="Arial"/>
                <w:sz w:val="16"/>
                <w:szCs w:val="16"/>
                <w:color w:val="auto"/>
              </w:rPr>
              <w:t>65,635,746</w:t>
            </w:r>
          </w:p>
        </w:tc>
        <w:tc>
          <w:tcPr>
            <w:tcW w:w="980" w:type="dxa"/>
            <w:vAlign w:val="bottom"/>
            <w:tcBorders>
              <w:bottom w:val="single" w:sz="8" w:color="CCEEF7"/>
            </w:tcBorders>
            <w:shd w:val="clear" w:color="auto" w:fill="CCEEF7"/>
          </w:tcPr>
          <w:p>
            <w:pPr>
              <w:jc w:val="right"/>
              <w:ind w:right="89"/>
              <w:spacing w:after="0"/>
              <w:rPr>
                <w:sz w:val="20"/>
                <w:szCs w:val="20"/>
                <w:color w:val="auto"/>
              </w:rPr>
            </w:pPr>
            <w:r>
              <w:rPr>
                <w:rFonts w:ascii="Arial" w:cs="Arial" w:eastAsia="Arial" w:hAnsi="Arial"/>
                <w:sz w:val="16"/>
                <w:szCs w:val="16"/>
                <w:color w:val="auto"/>
              </w:rPr>
              <w:t>168,023</w:t>
            </w:r>
          </w:p>
        </w:tc>
        <w:tc>
          <w:tcPr>
            <w:tcW w:w="1000" w:type="dxa"/>
            <w:vAlign w:val="bottom"/>
            <w:tcBorders>
              <w:bottom w:val="single" w:sz="8" w:color="CCEEF7"/>
            </w:tcBorders>
            <w:shd w:val="clear" w:color="auto" w:fill="CCEEF7"/>
          </w:tcPr>
          <w:p>
            <w:pPr>
              <w:jc w:val="right"/>
              <w:ind w:right="46"/>
              <w:spacing w:after="0"/>
              <w:rPr>
                <w:sz w:val="20"/>
                <w:szCs w:val="20"/>
                <w:color w:val="auto"/>
              </w:rPr>
            </w:pPr>
            <w:r>
              <w:rPr>
                <w:rFonts w:ascii="Arial" w:cs="Arial" w:eastAsia="Arial" w:hAnsi="Arial"/>
                <w:sz w:val="16"/>
                <w:szCs w:val="16"/>
                <w:color w:val="auto"/>
              </w:rPr>
              <w:t>7,759,302</w:t>
            </w:r>
          </w:p>
        </w:tc>
      </w:tr>
      <w:tr>
        <w:trPr>
          <w:trHeight w:val="264"/>
        </w:trPr>
        <w:tc>
          <w:tcPr>
            <w:tcW w:w="648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180" w:type="dxa"/>
            <w:vAlign w:val="bottom"/>
          </w:tcPr>
          <w:p>
            <w:pPr>
              <w:jc w:val="right"/>
              <w:ind w:right="209"/>
              <w:spacing w:after="0"/>
              <w:rPr>
                <w:sz w:val="20"/>
                <w:szCs w:val="20"/>
                <w:color w:val="auto"/>
              </w:rPr>
            </w:pPr>
            <w:r>
              <w:rPr>
                <w:rFonts w:ascii="Arial" w:cs="Arial" w:eastAsia="Arial" w:hAnsi="Arial"/>
                <w:sz w:val="16"/>
                <w:szCs w:val="16"/>
                <w:color w:val="auto"/>
              </w:rPr>
              <w:t>130,000</w:t>
            </w:r>
          </w:p>
        </w:tc>
        <w:tc>
          <w:tcPr>
            <w:tcW w:w="1380" w:type="dxa"/>
            <w:vAlign w:val="bottom"/>
          </w:tcPr>
          <w:p>
            <w:pPr>
              <w:jc w:val="right"/>
              <w:ind w:right="306"/>
              <w:spacing w:after="0"/>
              <w:rPr>
                <w:sz w:val="20"/>
                <w:szCs w:val="20"/>
                <w:color w:val="auto"/>
              </w:rPr>
            </w:pPr>
            <w:r>
              <w:rPr>
                <w:rFonts w:ascii="Arial" w:cs="Arial" w:eastAsia="Arial" w:hAnsi="Arial"/>
                <w:sz w:val="16"/>
                <w:szCs w:val="16"/>
                <w:color w:val="auto"/>
              </w:rPr>
              <w:t>4,441,785</w:t>
            </w:r>
          </w:p>
        </w:tc>
        <w:tc>
          <w:tcPr>
            <w:tcW w:w="980" w:type="dxa"/>
            <w:vAlign w:val="bottom"/>
          </w:tcPr>
          <w:p>
            <w:pPr>
              <w:jc w:val="right"/>
              <w:ind w:right="89"/>
              <w:spacing w:after="0"/>
              <w:rPr>
                <w:sz w:val="20"/>
                <w:szCs w:val="20"/>
                <w:color w:val="auto"/>
              </w:rPr>
            </w:pPr>
            <w:r>
              <w:rPr>
                <w:rFonts w:ascii="Arial" w:cs="Arial" w:eastAsia="Arial" w:hAnsi="Arial"/>
                <w:sz w:val="16"/>
                <w:szCs w:val="16"/>
                <w:color w:val="auto"/>
              </w:rPr>
              <w:t>33,886</w:t>
            </w:r>
          </w:p>
        </w:tc>
        <w:tc>
          <w:tcPr>
            <w:tcW w:w="1000" w:type="dxa"/>
            <w:vAlign w:val="bottom"/>
          </w:tcPr>
          <w:p>
            <w:pPr>
              <w:jc w:val="right"/>
              <w:ind w:right="46"/>
              <w:spacing w:after="0"/>
              <w:rPr>
                <w:sz w:val="20"/>
                <w:szCs w:val="20"/>
                <w:color w:val="auto"/>
              </w:rPr>
            </w:pPr>
            <w:r>
              <w:rPr>
                <w:rFonts w:ascii="Arial" w:cs="Arial" w:eastAsia="Arial" w:hAnsi="Arial"/>
                <w:sz w:val="16"/>
                <w:szCs w:val="16"/>
                <w:color w:val="auto"/>
              </w:rPr>
              <w:t>1,564,855</w:t>
            </w:r>
          </w:p>
        </w:tc>
      </w:tr>
      <w:tr>
        <w:trPr>
          <w:trHeight w:val="60"/>
        </w:trPr>
        <w:tc>
          <w:tcPr>
            <w:tcW w:w="6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63"/>
        </w:trPr>
        <w:tc>
          <w:tcPr>
            <w:tcW w:w="648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1180" w:type="dxa"/>
            <w:vAlign w:val="bottom"/>
            <w:tcBorders>
              <w:bottom w:val="single" w:sz="8" w:color="auto"/>
            </w:tcBorders>
            <w:shd w:val="clear" w:color="auto" w:fill="CCEEF7"/>
          </w:tcPr>
          <w:p>
            <w:pPr>
              <w:jc w:val="right"/>
              <w:ind w:right="209"/>
              <w:spacing w:after="0"/>
              <w:rPr>
                <w:sz w:val="20"/>
                <w:szCs w:val="20"/>
                <w:color w:val="auto"/>
              </w:rPr>
            </w:pPr>
            <w:r>
              <w:rPr>
                <w:rFonts w:ascii="Arial" w:cs="Arial" w:eastAsia="Arial" w:hAnsi="Arial"/>
                <w:sz w:val="16"/>
                <w:szCs w:val="16"/>
                <w:color w:val="auto"/>
              </w:rPr>
              <w:t>150,000</w:t>
            </w:r>
          </w:p>
        </w:tc>
        <w:tc>
          <w:tcPr>
            <w:tcW w:w="1380" w:type="dxa"/>
            <w:vAlign w:val="bottom"/>
            <w:tcBorders>
              <w:bottom w:val="single" w:sz="8" w:color="auto"/>
            </w:tcBorders>
            <w:shd w:val="clear" w:color="auto" w:fill="CCEEF7"/>
          </w:tcPr>
          <w:p>
            <w:pPr>
              <w:jc w:val="right"/>
              <w:ind w:right="306"/>
              <w:spacing w:after="0"/>
              <w:rPr>
                <w:sz w:val="20"/>
                <w:szCs w:val="20"/>
                <w:color w:val="auto"/>
              </w:rPr>
            </w:pPr>
            <w:r>
              <w:rPr>
                <w:rFonts w:ascii="Arial" w:cs="Arial" w:eastAsia="Arial" w:hAnsi="Arial"/>
                <w:sz w:val="16"/>
                <w:szCs w:val="16"/>
                <w:color w:val="auto"/>
              </w:rPr>
              <w:t>6,266,546</w:t>
            </w:r>
          </w:p>
        </w:tc>
        <w:tc>
          <w:tcPr>
            <w:tcW w:w="980" w:type="dxa"/>
            <w:vAlign w:val="bottom"/>
            <w:tcBorders>
              <w:bottom w:val="single" w:sz="8" w:color="auto"/>
            </w:tcBorders>
            <w:shd w:val="clear" w:color="auto" w:fill="CCEEF7"/>
          </w:tcPr>
          <w:p>
            <w:pPr>
              <w:jc w:val="right"/>
              <w:ind w:right="89"/>
              <w:spacing w:after="0"/>
              <w:rPr>
                <w:sz w:val="20"/>
                <w:szCs w:val="20"/>
                <w:color w:val="auto"/>
              </w:rPr>
            </w:pPr>
            <w:r>
              <w:rPr>
                <w:rFonts w:ascii="Arial" w:cs="Arial" w:eastAsia="Arial" w:hAnsi="Arial"/>
                <w:sz w:val="16"/>
                <w:szCs w:val="16"/>
                <w:color w:val="auto"/>
              </w:rPr>
              <w:t>37,651</w:t>
            </w:r>
          </w:p>
        </w:tc>
        <w:tc>
          <w:tcPr>
            <w:tcW w:w="1000" w:type="dxa"/>
            <w:vAlign w:val="bottom"/>
            <w:tcBorders>
              <w:bottom w:val="single" w:sz="8" w:color="auto"/>
            </w:tcBorders>
            <w:shd w:val="clear" w:color="auto" w:fill="CCEEF7"/>
          </w:tcPr>
          <w:p>
            <w:pPr>
              <w:jc w:val="right"/>
              <w:ind w:right="46"/>
              <w:spacing w:after="0"/>
              <w:rPr>
                <w:sz w:val="20"/>
                <w:szCs w:val="20"/>
                <w:color w:val="auto"/>
              </w:rPr>
            </w:pPr>
            <w:r>
              <w:rPr>
                <w:rFonts w:ascii="Arial" w:cs="Arial" w:eastAsia="Arial" w:hAnsi="Arial"/>
                <w:sz w:val="16"/>
                <w:szCs w:val="16"/>
                <w:color w:val="auto"/>
              </w:rPr>
              <w:t>1,738,723</w:t>
            </w:r>
          </w:p>
        </w:tc>
      </w:tr>
    </w:tbl>
    <w:p>
      <w:pPr>
        <w:spacing w:after="0" w:line="248" w:lineRule="exact"/>
        <w:rPr>
          <w:sz w:val="20"/>
          <w:szCs w:val="20"/>
          <w:color w:val="auto"/>
        </w:rPr>
      </w:pPr>
    </w:p>
    <w:p>
      <w:pPr>
        <w:ind w:left="424" w:right="400" w:hanging="424"/>
        <w:spacing w:after="0" w:line="258" w:lineRule="auto"/>
        <w:tabs>
          <w:tab w:leader="none" w:pos="4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above include shares that were withheld to cover the applicable exercise price and withholding taxes in connection with certain option exercises as follows: for Mr. Olesky, 719,448, for Mr. Warshaw 93,529, for Mr. Hult, 431,669, and for Mr. Bruni, 34,108 shares.</w:t>
      </w:r>
    </w:p>
    <w:p>
      <w:pPr>
        <w:spacing w:after="0" w:line="58" w:lineRule="exact"/>
        <w:rPr>
          <w:rFonts w:ascii="Arial" w:cs="Arial" w:eastAsia="Arial" w:hAnsi="Arial"/>
          <w:sz w:val="14"/>
          <w:szCs w:val="14"/>
          <w:color w:val="auto"/>
        </w:rPr>
      </w:pPr>
    </w:p>
    <w:p>
      <w:pPr>
        <w:ind w:left="424" w:right="60" w:hanging="424"/>
        <w:spacing w:after="0" w:line="258" w:lineRule="auto"/>
        <w:tabs>
          <w:tab w:leader="none" w:pos="4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represents the value realized upon exercise of options during 2020, which was calculated based on the difference between the market price of Tradeweb common stock at the time of exercise and the exercise price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48</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008" w:right="439" w:bottom="1440" w:gutter="0" w:footer="0" w:header="0"/>
        </w:sectPr>
      </w:pPr>
    </w:p>
    <w:bookmarkStart w:id="51" w:name="page52"/>
    <w:bookmarkEnd w:id="51"/>
    <w:p>
      <w:pPr>
        <w:ind w:left="424" w:right="120" w:hanging="424"/>
        <w:spacing w:after="0" w:line="249" w:lineRule="auto"/>
        <w:tabs>
          <w:tab w:leader="none" w:pos="424" w:val="left"/>
        </w:tabs>
        <w:numPr>
          <w:ilvl w:val="0"/>
          <w:numId w:val="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This column represents shares in respect of PRSUs granted in 2017 and settled in 2020, including dividends accrued and paid in shares. The total net after-tax number of shares of Tradeweb common stock received from the vesting and settlement of the PRSUs was 94,321 for Mr. Olesky, 16,331 for Mr. Warshaw, 78,600 for Mr. Hult, 17,959 for Mr. Bruni and 20,741 for Mr. Peterson.</w:t>
      </w:r>
    </w:p>
    <w:p>
      <w:pPr>
        <w:spacing w:after="0" w:line="65" w:lineRule="exact"/>
        <w:rPr>
          <w:rFonts w:ascii="Arial" w:cs="Arial" w:eastAsia="Arial" w:hAnsi="Arial"/>
          <w:sz w:val="14"/>
          <w:szCs w:val="14"/>
          <w:color w:val="auto"/>
        </w:rPr>
      </w:pPr>
    </w:p>
    <w:p>
      <w:pPr>
        <w:ind w:left="424" w:hanging="424"/>
        <w:spacing w:after="0"/>
        <w:tabs>
          <w:tab w:leader="none" w:pos="424"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dollar value realized upon settlement of PRSUs in 2020.</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options exercised by The Family Trust.</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5"/>
          <w:szCs w:val="25"/>
          <w:color w:val="00ADD8"/>
        </w:rPr>
        <w:t>Potential Payments upon Termination or Change in Control</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1F5B"/>
        </w:rPr>
        <w:t>Severance under Employment Agreements</w:t>
      </w:r>
    </w:p>
    <w:p>
      <w:pPr>
        <w:spacing w:after="0" w:line="23" w:lineRule="exact"/>
        <w:rPr>
          <w:sz w:val="20"/>
          <w:szCs w:val="20"/>
          <w:color w:val="auto"/>
        </w:rPr>
      </w:pPr>
    </w:p>
    <w:p>
      <w:pPr>
        <w:ind w:left="4" w:right="440"/>
        <w:spacing w:after="0" w:line="250" w:lineRule="auto"/>
        <w:rPr>
          <w:sz w:val="20"/>
          <w:szCs w:val="20"/>
          <w:color w:val="auto"/>
        </w:rPr>
      </w:pPr>
      <w:r>
        <w:rPr>
          <w:rFonts w:ascii="Arial" w:cs="Arial" w:eastAsia="Arial" w:hAnsi="Arial"/>
          <w:sz w:val="18"/>
          <w:szCs w:val="18"/>
          <w:color w:val="auto"/>
        </w:rPr>
        <w:t>Pursuant to the terms of their employment agreements, each of Messrs. Olesky and Hult are entitled to receive certain payments in connection with certain termination events.</w:t>
      </w:r>
    </w:p>
    <w:p>
      <w:pPr>
        <w:spacing w:after="0" w:line="1" w:lineRule="exact"/>
        <w:rPr>
          <w:sz w:val="20"/>
          <w:szCs w:val="20"/>
          <w:color w:val="auto"/>
        </w:rPr>
      </w:pPr>
    </w:p>
    <w:p>
      <w:pPr>
        <w:jc w:val="both"/>
        <w:ind w:left="4" w:right="80" w:firstLine="440"/>
        <w:spacing w:after="0" w:line="281" w:lineRule="auto"/>
        <w:rPr>
          <w:sz w:val="20"/>
          <w:szCs w:val="20"/>
          <w:color w:val="auto"/>
        </w:rPr>
      </w:pPr>
      <w:r>
        <w:rPr>
          <w:rFonts w:ascii="Arial" w:cs="Arial" w:eastAsia="Arial" w:hAnsi="Arial"/>
          <w:sz w:val="16"/>
          <w:szCs w:val="16"/>
          <w:color w:val="auto"/>
        </w:rPr>
        <w:t>In the event that (i) Mr. Olesky or Mr. Hult is terminated by TWM LLC without Cause (as defined below), (ii) Mr. Olesky or Mr. Hult resigns for Good Reason (as defined below), or (iii) TWM LLC elects not to renew Mr. Olesky’s or Mr. Hult’s employment agreement prior to its expiration or any subsequent renewal term and Mr. Olesky or Mr. Hult’s employment agreement and Mr. Olesky’s or Mr. Hult’s employment is terminated, each of</w:t>
      </w:r>
    </w:p>
    <w:p>
      <w:pPr>
        <w:spacing w:after="0" w:line="2" w:lineRule="exact"/>
        <w:rPr>
          <w:sz w:val="20"/>
          <w:szCs w:val="20"/>
          <w:color w:val="auto"/>
        </w:rPr>
      </w:pPr>
    </w:p>
    <w:p>
      <w:pPr>
        <w:ind w:left="4" w:right="260"/>
        <w:spacing w:after="0" w:line="281" w:lineRule="auto"/>
        <w:rPr>
          <w:sz w:val="20"/>
          <w:szCs w:val="20"/>
          <w:color w:val="auto"/>
        </w:rPr>
      </w:pPr>
      <w:r>
        <w:rPr>
          <w:rFonts w:ascii="Arial" w:cs="Arial" w:eastAsia="Arial" w:hAnsi="Arial"/>
          <w:sz w:val="16"/>
          <w:szCs w:val="16"/>
          <w:color w:val="auto"/>
        </w:rPr>
        <w:t>Mr. Olesky and Mr. Hult are entitled to the following: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Mr. Olesky reaches age 65, or, if not permitted by applicable law, private health insurance on substantially similar terms and conditions, and (y) for Mr. Hult, continuation of the healthcare benefits for eighteen</w:t>
      </w:r>
    </w:p>
    <w:p>
      <w:pPr>
        <w:spacing w:after="0" w:line="4" w:lineRule="exact"/>
        <w:rPr>
          <w:sz w:val="20"/>
          <w:szCs w:val="20"/>
          <w:color w:val="auto"/>
        </w:rPr>
      </w:pPr>
    </w:p>
    <w:p>
      <w:pPr>
        <w:ind w:left="4" w:right="320" w:hanging="4"/>
        <w:spacing w:after="0" w:line="281" w:lineRule="auto"/>
        <w:tabs>
          <w:tab w:leader="none" w:pos="3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1" w:lineRule="exact"/>
        <w:rPr>
          <w:rFonts w:ascii="Arial" w:cs="Arial" w:eastAsia="Arial" w:hAnsi="Arial"/>
          <w:sz w:val="16"/>
          <w:szCs w:val="16"/>
          <w:color w:val="auto"/>
        </w:rPr>
      </w:pPr>
    </w:p>
    <w:p>
      <w:pPr>
        <w:ind w:left="4" w:right="160" w:firstLine="440"/>
        <w:spacing w:after="0" w:line="250" w:lineRule="auto"/>
        <w:rPr>
          <w:rFonts w:ascii="Arial" w:cs="Arial" w:eastAsia="Arial" w:hAnsi="Arial"/>
          <w:sz w:val="16"/>
          <w:szCs w:val="16"/>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 or, if not permitted by applicable law, private health insurance on substantially similar terms and conditions.</w:t>
      </w:r>
    </w:p>
    <w:p>
      <w:pPr>
        <w:spacing w:after="0" w:line="1" w:lineRule="exact"/>
        <w:rPr>
          <w:rFonts w:ascii="Arial" w:cs="Arial" w:eastAsia="Arial" w:hAnsi="Arial"/>
          <w:sz w:val="16"/>
          <w:szCs w:val="16"/>
          <w:color w:val="auto"/>
        </w:rPr>
      </w:pPr>
    </w:p>
    <w:p>
      <w:pPr>
        <w:ind w:left="4" w:right="20" w:firstLine="440"/>
        <w:spacing w:after="0" w:line="250" w:lineRule="auto"/>
        <w:rPr>
          <w:rFonts w:ascii="Arial" w:cs="Arial" w:eastAsia="Arial" w:hAnsi="Arial"/>
          <w:sz w:val="16"/>
          <w:szCs w:val="16"/>
          <w:color w:val="auto"/>
        </w:rPr>
      </w:pPr>
      <w:r>
        <w:rPr>
          <w:rFonts w:ascii="Arial" w:cs="Arial" w:eastAsia="Arial" w:hAnsi="Arial"/>
          <w:sz w:val="18"/>
          <w:szCs w:val="18"/>
          <w:color w:val="auto"/>
        </w:rPr>
        <w:t>For purposes of each of Messrs. Olesky and Hult’s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2" w:lineRule="exact"/>
        <w:rPr>
          <w:rFonts w:ascii="Arial" w:cs="Arial" w:eastAsia="Arial" w:hAnsi="Arial"/>
          <w:sz w:val="16"/>
          <w:szCs w:val="16"/>
          <w:color w:val="auto"/>
        </w:rPr>
      </w:pPr>
    </w:p>
    <w:p>
      <w:pPr>
        <w:ind w:left="4" w:right="120" w:firstLine="440"/>
        <w:spacing w:after="0" w:line="281" w:lineRule="auto"/>
        <w:rPr>
          <w:rFonts w:ascii="Arial" w:cs="Arial" w:eastAsia="Arial" w:hAnsi="Arial"/>
          <w:sz w:val="16"/>
          <w:szCs w:val="16"/>
          <w:color w:val="auto"/>
        </w:rPr>
      </w:pPr>
      <w:r>
        <w:rPr>
          <w:rFonts w:ascii="Arial" w:cs="Arial" w:eastAsia="Arial" w:hAnsi="Arial"/>
          <w:sz w:val="16"/>
          <w:szCs w:val="16"/>
          <w:color w:val="auto"/>
        </w:rPr>
        <w:t>For purposes of each of Messrs. Olesky and Hult’s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w:t>
      </w:r>
    </w:p>
    <w:p>
      <w:pPr>
        <w:spacing w:after="0" w:line="1"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color w:val="auto"/>
        </w:rPr>
        <w:t>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49</w:t>
            </w:r>
          </w:p>
        </w:tc>
      </w:tr>
    </w:tbl>
    <w:p>
      <w:pPr>
        <w:sectPr>
          <w:pgSz w:w="11900" w:h="16838" w:orient="portrait"/>
          <w:cols w:equalWidth="0" w:num="1">
            <w:col w:w="11024"/>
          </w:cols>
          <w:pgMar w:left="436" w:top="1157" w:right="439" w:bottom="1440" w:gutter="0" w:footer="0" w:header="0"/>
        </w:sectPr>
      </w:pPr>
    </w:p>
    <w:bookmarkStart w:id="52" w:name="page53"/>
    <w:bookmarkEnd w:id="52"/>
    <w:p>
      <w:pPr>
        <w:jc w:val="both"/>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3"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Pursuant to each of Messrs. Olesky and Hult’s employment agreements, in the event that any of the payments or benefits provided by TWM LLC or any affiliate to TWM LLC (whether pursuant to the terms of the employment agreements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agreements, notwithstanding that all or some portion of such benefits may be subject to the Excise Tax. If a reduction in the Parachute Payment is necessary, then the reduction shall occur in accordance with the terms of the employment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Severance Policy</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Each of the other NEOs is entitled to severance pursuant to a severance policy maintained by the Company for certain executive officers. In the event of a termination without cause, the executives are entitled to (i) continuation of his base salary for twelve (12) months following termination,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(C) for all NEOs other than Mr Bruni, reimbursement, on a monthly basis, for the excess costs of continued health benefits for the executive under COBRA and the executive’s covered dependents for one year following termination, or until such earlier date on which COBRA coverage terminates in accordance with COBRA. The severance policy is intended to supersede any notice provisions under Mr. Bruni’s employment agreement. Payment of the severance benefits described above is subject to the NEO’s execution of a release of claims.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1F5B"/>
        </w:rPr>
        <w:t>Options</w:t>
      </w:r>
    </w:p>
    <w:p>
      <w:pPr>
        <w:spacing w:after="0" w:line="23"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Each of our NEOs has been granted an Option under the Option Plan (described above under the section titled “Fiscal 2020 Compensation Program in Detail — Long-Term Equity Incentives”). In connection with certain transactions or termination events, the Options will be treated as described below.</w:t>
      </w:r>
    </w:p>
    <w:p>
      <w:pPr>
        <w:spacing w:after="0" w:line="1" w:lineRule="exact"/>
        <w:rPr>
          <w:sz w:val="20"/>
          <w:szCs w:val="20"/>
          <w:color w:val="auto"/>
        </w:rPr>
      </w:pPr>
    </w:p>
    <w:p>
      <w:pPr>
        <w:ind w:right="80" w:firstLine="440"/>
        <w:spacing w:after="0" w:line="281" w:lineRule="auto"/>
        <w:rPr>
          <w:sz w:val="20"/>
          <w:szCs w:val="20"/>
          <w:color w:val="auto"/>
        </w:rPr>
      </w:pPr>
      <w:r>
        <w:rPr>
          <w:rFonts w:ascii="Arial" w:cs="Arial" w:eastAsia="Arial" w:hAnsi="Arial"/>
          <w:sz w:val="16"/>
          <w:szCs w:val="16"/>
          <w:i w:val="1"/>
          <w:iCs w:val="1"/>
          <w:color w:val="auto"/>
        </w:rPr>
        <w:t xml:space="preserve">Treatment in connection with a Change of Control. </w:t>
      </w:r>
      <w:r>
        <w:rPr>
          <w:rFonts w:ascii="Arial" w:cs="Arial" w:eastAsia="Arial" w:hAnsi="Arial"/>
          <w:sz w:val="16"/>
          <w:szCs w:val="16"/>
          <w:color w:val="auto"/>
        </w:rPr>
        <w:t>As of January 1, 2020, the entire Time-Based Portion for each NEO is fully vested.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a change in control prior to the date the Compensation Committee determines whether the relevant performance-conditions for the Performance-Based Portion of such Option have been achieved for 2021 (as further described above under the section titled “Fiscal 2020 Compensation Program in Detail — Long-Term Equity Incentives”)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5" w:lineRule="exact"/>
        <w:rPr>
          <w:sz w:val="20"/>
          <w:szCs w:val="20"/>
          <w:color w:val="auto"/>
        </w:rPr>
      </w:pPr>
    </w:p>
    <w:p>
      <w:pPr>
        <w:ind w:right="380" w:firstLine="440"/>
        <w:spacing w:after="0" w:line="260" w:lineRule="auto"/>
        <w:rPr>
          <w:sz w:val="20"/>
          <w:szCs w:val="20"/>
          <w:color w:val="auto"/>
        </w:rPr>
      </w:pPr>
      <w:r>
        <w:rPr>
          <w:rFonts w:ascii="Arial" w:cs="Arial" w:eastAsia="Arial" w:hAnsi="Arial"/>
          <w:sz w:val="18"/>
          <w:szCs w:val="18"/>
          <w:i w:val="1"/>
          <w:iCs w:val="1"/>
          <w:color w:val="auto"/>
        </w:rPr>
        <w:t xml:space="preserve">Treatment upon Termination. </w:t>
      </w:r>
      <w:r>
        <w:rPr>
          <w:rFonts w:ascii="Arial" w:cs="Arial" w:eastAsia="Arial" w:hAnsi="Arial"/>
          <w:sz w:val="18"/>
          <w:szCs w:val="18"/>
          <w:color w:val="auto"/>
        </w:rPr>
        <w:t>If a participant is terminated for Cause (as defined in the Option Plan) or is in breach of a restrictive covenant in</w:t>
      </w:r>
      <w:r>
        <w:rPr>
          <w:rFonts w:ascii="Arial" w:cs="Arial" w:eastAsia="Arial" w:hAnsi="Arial"/>
          <w:sz w:val="18"/>
          <w:szCs w:val="18"/>
          <w:i w:val="1"/>
          <w:iCs w:val="1"/>
          <w:color w:val="auto"/>
        </w:rPr>
        <w:t xml:space="preserve"> </w:t>
      </w:r>
      <w:r>
        <w:rPr>
          <w:rFonts w:ascii="Arial" w:cs="Arial" w:eastAsia="Arial" w:hAnsi="Arial"/>
          <w:sz w:val="18"/>
          <w:szCs w:val="18"/>
          <w:color w:val="auto"/>
        </w:rPr>
        <w:t>favor of the Company, the Option will be terminated.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50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53" w:name="page54"/>
    <w:bookmarkEnd w:id="5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termination of the participant’s employment for any reason other than Cause, the portion of the Option that is not vested on the date of termination shall be automatically cancelled by the Company and the vested portion of the Option shall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ninety (90) day period following the date of termination, or (iii) in the case of a termination of the participant’s employment on account of death or Disability (as defined in the Option Plan), the one (1) year period following the date of termination.</w:t>
      </w:r>
    </w:p>
    <w:p>
      <w:pPr>
        <w:spacing w:after="0" w:line="1"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If a participant’s employment has terminated due to retirement (as defined in the applicable plan document),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1F5B"/>
        </w:rPr>
        <w:t>PRSUs</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Each of our NEOs has been granted PRSUs under either the Equity Plan or the PRSU Plan (each as described above under the section titled “Fiscal 2020 Compensation Program in Detail — Long-Term Equity Incentives”). In connection with certain transactions or termination events, the PRSUs will be treated as described below under each such plan.</w:t>
      </w:r>
    </w:p>
    <w:p>
      <w:pPr>
        <w:spacing w:after="0" w:line="1" w:lineRule="exact"/>
        <w:rPr>
          <w:sz w:val="20"/>
          <w:szCs w:val="20"/>
          <w:color w:val="auto"/>
        </w:rPr>
      </w:pPr>
    </w:p>
    <w:p>
      <w:pPr>
        <w:ind w:right="40" w:firstLine="440"/>
        <w:spacing w:after="0" w:line="250" w:lineRule="auto"/>
        <w:rPr>
          <w:sz w:val="20"/>
          <w:szCs w:val="20"/>
          <w:color w:val="auto"/>
        </w:rPr>
      </w:pPr>
      <w:r>
        <w:rPr>
          <w:rFonts w:ascii="Arial" w:cs="Arial" w:eastAsia="Arial" w:hAnsi="Arial"/>
          <w:sz w:val="18"/>
          <w:szCs w:val="18"/>
          <w:i w:val="1"/>
          <w:iCs w:val="1"/>
          <w:color w:val="auto"/>
        </w:rPr>
        <w:t xml:space="preserve">Treatment in connection with a Change of Control. </w:t>
      </w:r>
      <w:r>
        <w:rPr>
          <w:rFonts w:ascii="Arial" w:cs="Arial" w:eastAsia="Arial" w:hAnsi="Arial"/>
          <w:sz w:val="18"/>
          <w:szCs w:val="18"/>
          <w:color w:val="auto"/>
        </w:rPr>
        <w:t>For PRSUs granted in 2019 and 2020, in the event of a change of control,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PRSUs will vest and continue to be paid out in accordance with the plan; provided, however, that if the change of control constitutes a Qualified Change of Control (generally defined as a change in ownership or effective control for purposes of Section 409A of the Internal Revenue Code), payment applicable to the PRSU will be made at the time and in the same form of consideration delivered to the Company’s shareholders in connection with such transaction. If a change in control occurs prior to the establishment of the Performance Modifier with respect to a PRSU award, the Performance Modifier shall be 100%.</w:t>
      </w:r>
    </w:p>
    <w:p>
      <w:pPr>
        <w:spacing w:after="0" w:line="2"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i w:val="1"/>
          <w:iCs w:val="1"/>
          <w:color w:val="auto"/>
        </w:rPr>
        <w:t xml:space="preserve">Treatment upon Termination. </w:t>
      </w:r>
      <w:r>
        <w:rPr>
          <w:rFonts w:ascii="Arial" w:cs="Arial" w:eastAsia="Arial" w:hAnsi="Arial"/>
          <w:sz w:val="18"/>
          <w:szCs w:val="18"/>
          <w:color w:val="auto"/>
        </w:rPr>
        <w:t>In the event an NEO is terminated (i) without Cause within 180 days prior to the relevant vesting date, or (ii)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death or disability (as defined in the applicable plan), the NEO will be entitled to retain a pro-rated number of the PRSUs, based on days worked for the vesting period (with the first date of the vesting period being January 1 of the year of grant), which will remain eligible to vest. In the event of the NEO’s retirement (as defined in the applicable plan document), the PRSUs granted in 2019 and 2020 will fully vest and continue to be paid out in accordance with the PRSU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1F5B"/>
        </w:rPr>
        <w:t>RSUs</w:t>
      </w:r>
    </w:p>
    <w:p>
      <w:pPr>
        <w:spacing w:after="0" w:line="23"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Each of our NEOs has been granted RSUs under the Equity Plan (as described above under the section titled “Fiscal 2020 Compensation Program in Detail — Long-Term Equity Incentives”). In connection with certain transactions or termination events, the RSUs will be treated as described below.</w:t>
      </w:r>
    </w:p>
    <w:p>
      <w:pPr>
        <w:spacing w:after="0" w:line="1" w:lineRule="exact"/>
        <w:rPr>
          <w:sz w:val="20"/>
          <w:szCs w:val="20"/>
          <w:color w:val="auto"/>
        </w:rPr>
      </w:pPr>
    </w:p>
    <w:p>
      <w:pPr>
        <w:jc w:val="both"/>
        <w:ind w:right="40" w:firstLine="440"/>
        <w:spacing w:after="0" w:line="281" w:lineRule="auto"/>
        <w:rPr>
          <w:sz w:val="20"/>
          <w:szCs w:val="20"/>
          <w:color w:val="auto"/>
        </w:rPr>
      </w:pPr>
      <w:r>
        <w:rPr>
          <w:rFonts w:ascii="Arial" w:cs="Arial" w:eastAsia="Arial" w:hAnsi="Arial"/>
          <w:sz w:val="16"/>
          <w:szCs w:val="16"/>
          <w:i w:val="1"/>
          <w:iCs w:val="1"/>
          <w:color w:val="auto"/>
        </w:rPr>
        <w:t xml:space="preserve">Treatment in connection with a Change of Control. </w:t>
      </w:r>
      <w:r>
        <w:rPr>
          <w:rFonts w:ascii="Arial" w:cs="Arial" w:eastAsia="Arial" w:hAnsi="Arial"/>
          <w:sz w:val="16"/>
          <w:szCs w:val="16"/>
          <w:color w:val="auto"/>
        </w:rPr>
        <w:t>In the event of a change of control, any outstanding RSUs will vest and continue to be paid out</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 plan; provided, however, that if the change of control constitutes a Qualified Change of Control, payment applicable to the RSUs will be made at the time and in the same form of consideration delivered to the Company’s shareholders in connection with such transaction.</w:t>
      </w:r>
    </w:p>
    <w:p>
      <w:pPr>
        <w:spacing w:after="0" w:line="2"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i w:val="1"/>
          <w:iCs w:val="1"/>
          <w:color w:val="auto"/>
        </w:rPr>
        <w:t xml:space="preserve">Treatment upon Termination. </w:t>
      </w:r>
      <w:r>
        <w:rPr>
          <w:rFonts w:ascii="Arial" w:cs="Arial" w:eastAsia="Arial" w:hAnsi="Arial"/>
          <w:sz w:val="18"/>
          <w:szCs w:val="18"/>
          <w:color w:val="auto"/>
        </w:rPr>
        <w:t>In the event an NEO is terminated (i) without Cause, (ii) due to the participant’s death or disability, or (iii)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(each as defined in the applicable plan), the NEO will be entitled to retain his RSUs and the award will remain eligible to vest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51</w:t>
            </w:r>
          </w:p>
        </w:tc>
      </w:tr>
    </w:tbl>
    <w:p>
      <w:pPr>
        <w:sectPr>
          <w:pgSz w:w="11900" w:h="16838" w:orient="portrait"/>
          <w:cols w:equalWidth="0" w:num="1">
            <w:col w:w="11020"/>
          </w:cols>
          <w:pgMar w:left="440" w:top="1138" w:right="439" w:bottom="1440" w:gutter="0" w:footer="0" w:header="0"/>
        </w:sectPr>
      </w:pPr>
    </w:p>
    <w:bookmarkStart w:id="54" w:name="page55"/>
    <w:bookmarkEnd w:id="54"/>
    <w:p>
      <w:pPr>
        <w:ind w:left="4"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The table below estimates the dollar value of the additional payments and benefits that the NEOs would have been entitled to receive under the plans and arrangements described above, assuming the applicable triggering event occurred on December 31, 2020. For this purpose, we have assumed a value of $62.45 per share of our common stock, the closing price of our common stock on December 31, 2020.</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3380" w:type="dxa"/>
            <w:vAlign w:val="bottom"/>
            <w:shd w:val="clear" w:color="auto" w:fill="CCEEF7"/>
          </w:tcPr>
          <w:p>
            <w:pPr>
              <w:spacing w:after="0"/>
              <w:rPr>
                <w:sz w:val="15"/>
                <w:szCs w:val="15"/>
                <w:color w:val="auto"/>
              </w:rPr>
            </w:pPr>
          </w:p>
        </w:tc>
        <w:tc>
          <w:tcPr>
            <w:tcW w:w="2060" w:type="dxa"/>
            <w:vAlign w:val="bottom"/>
            <w:shd w:val="clear" w:color="auto" w:fill="CCEEF7"/>
          </w:tcPr>
          <w:p>
            <w:pPr>
              <w:jc w:val="right"/>
              <w:ind w:right="397"/>
              <w:spacing w:after="0"/>
              <w:rPr>
                <w:sz w:val="20"/>
                <w:szCs w:val="20"/>
                <w:color w:val="auto"/>
              </w:rPr>
            </w:pPr>
            <w:r>
              <w:rPr>
                <w:rFonts w:ascii="Arial" w:cs="Arial" w:eastAsia="Arial" w:hAnsi="Arial"/>
                <w:sz w:val="13"/>
                <w:szCs w:val="13"/>
                <w:color w:val="auto"/>
              </w:rPr>
              <w:t>Termination</w:t>
            </w:r>
          </w:p>
        </w:tc>
        <w:tc>
          <w:tcPr>
            <w:tcW w:w="1900" w:type="dxa"/>
            <w:vAlign w:val="bottom"/>
            <w:shd w:val="clear" w:color="auto" w:fill="CCEEF7"/>
          </w:tcPr>
          <w:p>
            <w:pPr>
              <w:jc w:val="right"/>
              <w:ind w:right="417"/>
              <w:spacing w:after="0"/>
              <w:rPr>
                <w:sz w:val="20"/>
                <w:szCs w:val="20"/>
                <w:color w:val="auto"/>
              </w:rPr>
            </w:pPr>
            <w:r>
              <w:rPr>
                <w:rFonts w:ascii="Arial" w:cs="Arial" w:eastAsia="Arial" w:hAnsi="Arial"/>
                <w:sz w:val="13"/>
                <w:szCs w:val="13"/>
                <w:color w:val="auto"/>
              </w:rPr>
              <w:t>Termination due to</w:t>
            </w:r>
          </w:p>
        </w:tc>
        <w:tc>
          <w:tcPr>
            <w:tcW w:w="1920" w:type="dxa"/>
            <w:vAlign w:val="bottom"/>
            <w:shd w:val="clear" w:color="auto" w:fill="CCEEF7"/>
          </w:tcPr>
          <w:p>
            <w:pPr>
              <w:jc w:val="right"/>
              <w:ind w:right="417"/>
              <w:spacing w:after="0"/>
              <w:rPr>
                <w:sz w:val="20"/>
                <w:szCs w:val="20"/>
                <w:color w:val="auto"/>
              </w:rPr>
            </w:pPr>
            <w:r>
              <w:rPr>
                <w:rFonts w:ascii="Arial" w:cs="Arial" w:eastAsia="Arial" w:hAnsi="Arial"/>
                <w:sz w:val="13"/>
                <w:szCs w:val="13"/>
                <w:color w:val="auto"/>
              </w:rPr>
              <w:t>Termination due to</w:t>
            </w:r>
          </w:p>
        </w:tc>
        <w:tc>
          <w:tcPr>
            <w:tcW w:w="1760" w:type="dxa"/>
            <w:vAlign w:val="bottom"/>
            <w:shd w:val="clear" w:color="auto" w:fill="CCEEF7"/>
          </w:tcPr>
          <w:p>
            <w:pPr>
              <w:spacing w:after="0"/>
              <w:rPr>
                <w:sz w:val="15"/>
                <w:szCs w:val="15"/>
                <w:color w:val="auto"/>
              </w:rPr>
            </w:pPr>
          </w:p>
        </w:tc>
      </w:tr>
      <w:tr>
        <w:trPr>
          <w:trHeight w:val="175"/>
        </w:trPr>
        <w:tc>
          <w:tcPr>
            <w:tcW w:w="3380" w:type="dxa"/>
            <w:vAlign w:val="bottom"/>
            <w:tcBorders>
              <w:bottom w:val="single" w:sz="8" w:color="00ADD8"/>
            </w:tcBorders>
            <w:shd w:val="clear" w:color="auto" w:fill="CCEEF7"/>
          </w:tcPr>
          <w:p>
            <w:pPr>
              <w:ind w:left="60"/>
              <w:spacing w:after="0"/>
              <w:rPr>
                <w:sz w:val="20"/>
                <w:szCs w:val="20"/>
                <w:color w:val="auto"/>
              </w:rPr>
            </w:pPr>
            <w:r>
              <w:rPr>
                <w:rFonts w:ascii="Arial" w:cs="Arial" w:eastAsia="Arial" w:hAnsi="Arial"/>
                <w:sz w:val="13"/>
                <w:szCs w:val="13"/>
                <w:color w:val="auto"/>
              </w:rPr>
              <w:t>Executive</w:t>
            </w:r>
          </w:p>
        </w:tc>
        <w:tc>
          <w:tcPr>
            <w:tcW w:w="2060" w:type="dxa"/>
            <w:vAlign w:val="bottom"/>
            <w:tcBorders>
              <w:bottom w:val="single" w:sz="8" w:color="00ADD8"/>
            </w:tcBorders>
            <w:shd w:val="clear" w:color="auto" w:fill="CCEEF7"/>
          </w:tcPr>
          <w:p>
            <w:pPr>
              <w:jc w:val="right"/>
              <w:ind w:right="397"/>
              <w:spacing w:after="0"/>
              <w:rPr>
                <w:sz w:val="20"/>
                <w:szCs w:val="20"/>
                <w:color w:val="auto"/>
              </w:rPr>
            </w:pPr>
            <w:r>
              <w:rPr>
                <w:rFonts w:ascii="Arial" w:cs="Arial" w:eastAsia="Arial" w:hAnsi="Arial"/>
                <w:sz w:val="13"/>
                <w:szCs w:val="13"/>
                <w:color w:val="auto"/>
              </w:rPr>
              <w:t>without Cause</w:t>
            </w:r>
          </w:p>
        </w:tc>
        <w:tc>
          <w:tcPr>
            <w:tcW w:w="1900" w:type="dxa"/>
            <w:vAlign w:val="bottom"/>
            <w:tcBorders>
              <w:bottom w:val="single" w:sz="8" w:color="00ADD8"/>
            </w:tcBorders>
            <w:shd w:val="clear" w:color="auto" w:fill="CCEEF7"/>
          </w:tcPr>
          <w:p>
            <w:pPr>
              <w:jc w:val="right"/>
              <w:ind w:right="417"/>
              <w:spacing w:after="0"/>
              <w:rPr>
                <w:sz w:val="20"/>
                <w:szCs w:val="20"/>
                <w:color w:val="auto"/>
              </w:rPr>
            </w:pPr>
            <w:r>
              <w:rPr>
                <w:rFonts w:ascii="Arial" w:cs="Arial" w:eastAsia="Arial" w:hAnsi="Arial"/>
                <w:sz w:val="13"/>
                <w:szCs w:val="13"/>
                <w:color w:val="auto"/>
              </w:rPr>
              <w:t>death or Disability</w:t>
            </w:r>
          </w:p>
        </w:tc>
        <w:tc>
          <w:tcPr>
            <w:tcW w:w="1920" w:type="dxa"/>
            <w:vAlign w:val="bottom"/>
            <w:tcBorders>
              <w:bottom w:val="single" w:sz="8" w:color="00ADD8"/>
            </w:tcBorders>
            <w:shd w:val="clear" w:color="auto" w:fill="CCEEF7"/>
          </w:tcPr>
          <w:p>
            <w:pPr>
              <w:jc w:val="right"/>
              <w:ind w:right="417"/>
              <w:spacing w:after="0"/>
              <w:rPr>
                <w:sz w:val="20"/>
                <w:szCs w:val="20"/>
                <w:color w:val="auto"/>
              </w:rPr>
            </w:pPr>
            <w:r>
              <w:rPr>
                <w:rFonts w:ascii="Arial" w:cs="Arial" w:eastAsia="Arial" w:hAnsi="Arial"/>
                <w:sz w:val="13"/>
                <w:szCs w:val="13"/>
                <w:color w:val="auto"/>
              </w:rPr>
              <w:t xml:space="preserve">Retirement </w:t>
            </w:r>
            <w:r>
              <w:rPr>
                <w:rFonts w:ascii="Arial" w:cs="Arial" w:eastAsia="Arial" w:hAnsi="Arial"/>
                <w:sz w:val="10"/>
                <w:szCs w:val="10"/>
                <w:color w:val="auto"/>
              </w:rPr>
              <w:t>(1)</w:t>
            </w:r>
          </w:p>
        </w:tc>
        <w:tc>
          <w:tcPr>
            <w:tcW w:w="1760" w:type="dxa"/>
            <w:vAlign w:val="bottom"/>
            <w:tcBorders>
              <w:bottom w:val="single" w:sz="8" w:color="00ADD8"/>
            </w:tcBorders>
            <w:shd w:val="clear" w:color="auto" w:fill="CCEEF7"/>
          </w:tcPr>
          <w:p>
            <w:pPr>
              <w:ind w:left="500"/>
              <w:spacing w:after="0"/>
              <w:rPr>
                <w:sz w:val="20"/>
                <w:szCs w:val="20"/>
                <w:color w:val="auto"/>
              </w:rPr>
            </w:pPr>
            <w:r>
              <w:rPr>
                <w:rFonts w:ascii="Arial" w:cs="Arial" w:eastAsia="Arial" w:hAnsi="Arial"/>
                <w:sz w:val="13"/>
                <w:szCs w:val="13"/>
                <w:color w:val="auto"/>
              </w:rPr>
              <w:t>Change in Control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9516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3" w:lineRule="exact"/>
        <w:rPr>
          <w:sz w:val="20"/>
          <w:szCs w:val="20"/>
          <w:color w:val="auto"/>
        </w:rPr>
      </w:pPr>
    </w:p>
    <w:tbl>
      <w:tblPr>
        <w:tblLayout w:type="fixed"/>
        <w:tblInd w:w="4" w:type="dxa"/>
        <w:tblCellMar>
          <w:top w:w="0" w:type="dxa"/>
          <w:left w:w="0" w:type="dxa"/>
          <w:bottom w:w="0" w:type="dxa"/>
          <w:right w:w="0" w:type="dxa"/>
        </w:tblCellMar>
      </w:tblPr>
      <w:tr>
        <w:trPr>
          <w:trHeight w:val="183"/>
        </w:trPr>
        <w:tc>
          <w:tcPr>
            <w:tcW w:w="3380" w:type="dxa"/>
            <w:vAlign w:val="bottom"/>
          </w:tcPr>
          <w:p>
            <w:pPr>
              <w:ind w:left="60"/>
              <w:spacing w:after="0"/>
              <w:rPr>
                <w:sz w:val="20"/>
                <w:szCs w:val="20"/>
                <w:color w:val="auto"/>
              </w:rPr>
            </w:pPr>
            <w:r>
              <w:rPr>
                <w:rFonts w:ascii="Arial" w:cs="Arial" w:eastAsia="Arial" w:hAnsi="Arial"/>
                <w:sz w:val="15"/>
                <w:szCs w:val="15"/>
                <w:b w:val="1"/>
                <w:bCs w:val="1"/>
                <w:color w:val="auto"/>
              </w:rPr>
              <w:t>Lee Olesky</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Salary Continuation</w:t>
            </w: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380" w:type="dxa"/>
            <w:vAlign w:val="bottom"/>
            <w:vMerge w:val="continue"/>
            <w:shd w:val="clear" w:color="auto" w:fill="EDEDED"/>
          </w:tcPr>
          <w:p>
            <w:pPr>
              <w:spacing w:after="0"/>
              <w:rPr>
                <w:sz w:val="10"/>
                <w:szCs w:val="10"/>
                <w:color w:val="auto"/>
              </w:rPr>
            </w:pPr>
          </w:p>
        </w:tc>
        <w:tc>
          <w:tcPr>
            <w:tcW w:w="16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w:t>
            </w:r>
          </w:p>
        </w:tc>
        <w:tc>
          <w:tcPr>
            <w:tcW w:w="144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1,155,000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w:t>
            </w:r>
          </w:p>
        </w:tc>
        <w:tc>
          <w:tcPr>
            <w:tcW w:w="140" w:type="dxa"/>
            <w:vAlign w:val="bottom"/>
            <w:shd w:val="clear" w:color="auto" w:fill="EDEDED"/>
          </w:tcPr>
          <w:p>
            <w:pPr>
              <w:spacing w:after="0"/>
              <w:rPr>
                <w:sz w:val="10"/>
                <w:szCs w:val="10"/>
                <w:color w:val="auto"/>
              </w:rPr>
            </w:pPr>
          </w:p>
        </w:tc>
        <w:tc>
          <w:tcPr>
            <w:tcW w:w="146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w:t>
            </w:r>
          </w:p>
        </w:tc>
        <w:tc>
          <w:tcPr>
            <w:tcW w:w="400" w:type="dxa"/>
            <w:vAlign w:val="bottom"/>
            <w:shd w:val="clear" w:color="auto" w:fill="EDEDED"/>
          </w:tcPr>
          <w:p>
            <w:pPr>
              <w:spacing w:after="0"/>
              <w:rPr>
                <w:sz w:val="10"/>
                <w:szCs w:val="10"/>
                <w:color w:val="auto"/>
              </w:rPr>
            </w:pPr>
          </w:p>
        </w:tc>
        <w:tc>
          <w:tcPr>
            <w:tcW w:w="152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w:t>
            </w:r>
          </w:p>
        </w:tc>
        <w:tc>
          <w:tcPr>
            <w:tcW w:w="400" w:type="dxa"/>
            <w:vAlign w:val="bottom"/>
            <w:shd w:val="clear" w:color="auto" w:fill="EDEDED"/>
          </w:tcPr>
          <w:p>
            <w:pPr>
              <w:spacing w:after="0"/>
              <w:rPr>
                <w:sz w:val="10"/>
                <w:szCs w:val="10"/>
                <w:color w:val="auto"/>
              </w:rPr>
            </w:pPr>
          </w:p>
        </w:tc>
        <w:tc>
          <w:tcPr>
            <w:tcW w:w="150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Benefits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242,062</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(3)</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242,062</w:t>
            </w: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(3)</w:t>
            </w: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Payment in respect of Bonus</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14,200,000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(4)</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14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$35,388,904</w:t>
            </w: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(8)</w:t>
            </w: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$70,777,809</w:t>
            </w: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38"/>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Value of Equity Awards</w:t>
            </w: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$3,213,240</w:t>
            </w:r>
          </w:p>
        </w:tc>
        <w:tc>
          <w:tcPr>
            <w:tcW w:w="280" w:type="dxa"/>
            <w:vAlign w:val="bottom"/>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$3,213,240</w:t>
            </w:r>
          </w:p>
        </w:tc>
        <w:tc>
          <w:tcPr>
            <w:tcW w:w="400" w:type="dxa"/>
            <w:vAlign w:val="bottom"/>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$3,213,240</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$3,213,240</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(5)</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(5)</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$12,971,677</w:t>
            </w: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$27,542,469</w:t>
            </w:r>
          </w:p>
        </w:tc>
        <w:tc>
          <w:tcPr>
            <w:tcW w:w="400" w:type="dxa"/>
            <w:vAlign w:val="bottom"/>
            <w:vMerge w:val="continue"/>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$38,041,105</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$38,041,105</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(7)</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(9)</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3"/>
        </w:trPr>
        <w:tc>
          <w:tcPr>
            <w:tcW w:w="3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31,781,979</w:t>
            </w:r>
          </w:p>
        </w:tc>
        <w:tc>
          <w:tcPr>
            <w:tcW w:w="280" w:type="dxa"/>
            <w:vAlign w:val="bottom"/>
            <w:tcBorders>
              <w:bottom w:val="single" w:sz="8" w:color="EDEDED"/>
            </w:tcBorders>
            <w:shd w:val="clear" w:color="auto" w:fill="EDEDED"/>
          </w:tcPr>
          <w:p>
            <w:pPr>
              <w:spacing w:after="0"/>
              <w:rPr>
                <w:sz w:val="24"/>
                <w:szCs w:val="24"/>
                <w:color w:val="auto"/>
              </w:rPr>
            </w:pPr>
          </w:p>
        </w:tc>
        <w:tc>
          <w:tcPr>
            <w:tcW w:w="1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30,755,709</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76,885,311</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112,032,154</w:t>
            </w:r>
          </w:p>
        </w:tc>
        <w:tc>
          <w:tcPr>
            <w:tcW w:w="3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00ADD8"/>
            </w:tcBorders>
          </w:tcPr>
          <w:p>
            <w:pPr>
              <w:spacing w:after="0"/>
              <w:rPr>
                <w:sz w:val="14"/>
                <w:szCs w:val="14"/>
                <w:color w:val="auto"/>
              </w:rPr>
            </w:pPr>
          </w:p>
        </w:tc>
        <w:tc>
          <w:tcPr>
            <w:tcW w:w="160" w:type="dxa"/>
            <w:vAlign w:val="bottom"/>
            <w:tcBorders>
              <w:bottom w:val="single" w:sz="8" w:color="00ADD8"/>
            </w:tcBorders>
          </w:tcPr>
          <w:p>
            <w:pPr>
              <w:spacing w:after="0"/>
              <w:rPr>
                <w:sz w:val="14"/>
                <w:szCs w:val="14"/>
                <w:color w:val="auto"/>
              </w:rPr>
            </w:pPr>
          </w:p>
        </w:tc>
        <w:tc>
          <w:tcPr>
            <w:tcW w:w="1440" w:type="dxa"/>
            <w:vAlign w:val="bottom"/>
            <w:tcBorders>
              <w:bottom w:val="single" w:sz="8" w:color="00ADD8"/>
            </w:tcBorders>
          </w:tcPr>
          <w:p>
            <w:pPr>
              <w:spacing w:after="0"/>
              <w:rPr>
                <w:sz w:val="14"/>
                <w:szCs w:val="14"/>
                <w:color w:val="auto"/>
              </w:rPr>
            </w:pPr>
          </w:p>
        </w:tc>
        <w:tc>
          <w:tcPr>
            <w:tcW w:w="280" w:type="dxa"/>
            <w:vAlign w:val="bottom"/>
            <w:tcBorders>
              <w:bottom w:val="single" w:sz="8" w:color="00ADD8"/>
            </w:tcBorders>
          </w:tcPr>
          <w:p>
            <w:pPr>
              <w:spacing w:after="0"/>
              <w:rPr>
                <w:sz w:val="14"/>
                <w:szCs w:val="14"/>
                <w:color w:val="auto"/>
              </w:rPr>
            </w:pPr>
          </w:p>
        </w:tc>
        <w:tc>
          <w:tcPr>
            <w:tcW w:w="140" w:type="dxa"/>
            <w:vAlign w:val="bottom"/>
            <w:tcBorders>
              <w:bottom w:val="single" w:sz="8" w:color="00ADD8"/>
            </w:tcBorders>
          </w:tcPr>
          <w:p>
            <w:pPr>
              <w:spacing w:after="0"/>
              <w:rPr>
                <w:sz w:val="14"/>
                <w:szCs w:val="14"/>
                <w:color w:val="auto"/>
              </w:rPr>
            </w:pPr>
          </w:p>
        </w:tc>
        <w:tc>
          <w:tcPr>
            <w:tcW w:w="146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2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00" w:type="dxa"/>
            <w:vAlign w:val="bottom"/>
            <w:tcBorders>
              <w:bottom w:val="single" w:sz="8" w:color="00ADD8"/>
            </w:tcBorders>
          </w:tcPr>
          <w:p>
            <w:pPr>
              <w:spacing w:after="0"/>
              <w:rPr>
                <w:sz w:val="14"/>
                <w:szCs w:val="14"/>
                <w:color w:val="auto"/>
              </w:rPr>
            </w:pPr>
          </w:p>
        </w:tc>
        <w:tc>
          <w:tcPr>
            <w:tcW w:w="340" w:type="dxa"/>
            <w:vAlign w:val="bottom"/>
            <w:tcBorders>
              <w:bottom w:val="single" w:sz="8" w:color="00ADD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b w:val="1"/>
                <w:bCs w:val="1"/>
                <w:color w:val="auto"/>
              </w:rPr>
              <w:t>Robert Warshaw</w:t>
            </w:r>
          </w:p>
        </w:tc>
        <w:tc>
          <w:tcPr>
            <w:tcW w:w="160" w:type="dxa"/>
            <w:vAlign w:val="bottom"/>
            <w:shd w:val="clear" w:color="auto" w:fill="EDEDED"/>
          </w:tcPr>
          <w:p>
            <w:pPr>
              <w:spacing w:after="0"/>
              <w:rPr>
                <w:sz w:val="18"/>
                <w:szCs w:val="18"/>
                <w:color w:val="auto"/>
              </w:rPr>
            </w:pPr>
          </w:p>
        </w:tc>
        <w:tc>
          <w:tcPr>
            <w:tcW w:w="144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146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2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0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Salary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400,000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(13)</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Benefits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19,811</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(14)</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Payment in respect of Bonus</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2,400,000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(15)</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14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$2,780,551</w:t>
            </w: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(8)</w:t>
            </w: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$5,561,101</w:t>
            </w: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38"/>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Value of Equity Awards</w:t>
            </w: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$654,663</w:t>
            </w:r>
          </w:p>
        </w:tc>
        <w:tc>
          <w:tcPr>
            <w:tcW w:w="280" w:type="dxa"/>
            <w:vAlign w:val="bottom"/>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$654,663</w:t>
            </w:r>
          </w:p>
        </w:tc>
        <w:tc>
          <w:tcPr>
            <w:tcW w:w="400" w:type="dxa"/>
            <w:vAlign w:val="bottom"/>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$654,663</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$654,663</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(5)</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(5)</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$1,538,019</w:t>
            </w: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$2,890,561</w:t>
            </w:r>
          </w:p>
        </w:tc>
        <w:tc>
          <w:tcPr>
            <w:tcW w:w="400" w:type="dxa"/>
            <w:vAlign w:val="bottom"/>
            <w:vMerge w:val="continue"/>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$4,221,495</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$4,221,495</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(7)</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(9)</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3"/>
        </w:trPr>
        <w:tc>
          <w:tcPr>
            <w:tcW w:w="3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5,012,493</w:t>
            </w:r>
          </w:p>
        </w:tc>
        <w:tc>
          <w:tcPr>
            <w:tcW w:w="280" w:type="dxa"/>
            <w:vAlign w:val="bottom"/>
            <w:tcBorders>
              <w:bottom w:val="single" w:sz="8" w:color="EDEDED"/>
            </w:tcBorders>
            <w:shd w:val="clear" w:color="auto" w:fill="EDEDED"/>
          </w:tcPr>
          <w:p>
            <w:pPr>
              <w:spacing w:after="0"/>
              <w:rPr>
                <w:sz w:val="24"/>
                <w:szCs w:val="24"/>
                <w:color w:val="auto"/>
              </w:rPr>
            </w:pPr>
          </w:p>
        </w:tc>
        <w:tc>
          <w:tcPr>
            <w:tcW w:w="1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3,545,224</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7,656,709</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10,437,259</w:t>
            </w:r>
          </w:p>
        </w:tc>
        <w:tc>
          <w:tcPr>
            <w:tcW w:w="3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00ADD8"/>
            </w:tcBorders>
          </w:tcPr>
          <w:p>
            <w:pPr>
              <w:spacing w:after="0"/>
              <w:rPr>
                <w:sz w:val="14"/>
                <w:szCs w:val="14"/>
                <w:color w:val="auto"/>
              </w:rPr>
            </w:pPr>
          </w:p>
        </w:tc>
        <w:tc>
          <w:tcPr>
            <w:tcW w:w="160" w:type="dxa"/>
            <w:vAlign w:val="bottom"/>
            <w:tcBorders>
              <w:bottom w:val="single" w:sz="8" w:color="00ADD8"/>
            </w:tcBorders>
          </w:tcPr>
          <w:p>
            <w:pPr>
              <w:spacing w:after="0"/>
              <w:rPr>
                <w:sz w:val="14"/>
                <w:szCs w:val="14"/>
                <w:color w:val="auto"/>
              </w:rPr>
            </w:pPr>
          </w:p>
        </w:tc>
        <w:tc>
          <w:tcPr>
            <w:tcW w:w="1440" w:type="dxa"/>
            <w:vAlign w:val="bottom"/>
            <w:tcBorders>
              <w:bottom w:val="single" w:sz="8" w:color="00ADD8"/>
            </w:tcBorders>
          </w:tcPr>
          <w:p>
            <w:pPr>
              <w:spacing w:after="0"/>
              <w:rPr>
                <w:sz w:val="14"/>
                <w:szCs w:val="14"/>
                <w:color w:val="auto"/>
              </w:rPr>
            </w:pPr>
          </w:p>
        </w:tc>
        <w:tc>
          <w:tcPr>
            <w:tcW w:w="280" w:type="dxa"/>
            <w:vAlign w:val="bottom"/>
            <w:tcBorders>
              <w:bottom w:val="single" w:sz="8" w:color="00ADD8"/>
            </w:tcBorders>
          </w:tcPr>
          <w:p>
            <w:pPr>
              <w:spacing w:after="0"/>
              <w:rPr>
                <w:sz w:val="14"/>
                <w:szCs w:val="14"/>
                <w:color w:val="auto"/>
              </w:rPr>
            </w:pPr>
          </w:p>
        </w:tc>
        <w:tc>
          <w:tcPr>
            <w:tcW w:w="140" w:type="dxa"/>
            <w:vAlign w:val="bottom"/>
            <w:tcBorders>
              <w:bottom w:val="single" w:sz="8" w:color="00ADD8"/>
            </w:tcBorders>
          </w:tcPr>
          <w:p>
            <w:pPr>
              <w:spacing w:after="0"/>
              <w:rPr>
                <w:sz w:val="14"/>
                <w:szCs w:val="14"/>
                <w:color w:val="auto"/>
              </w:rPr>
            </w:pPr>
          </w:p>
        </w:tc>
        <w:tc>
          <w:tcPr>
            <w:tcW w:w="146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2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00" w:type="dxa"/>
            <w:vAlign w:val="bottom"/>
            <w:tcBorders>
              <w:bottom w:val="single" w:sz="8" w:color="00ADD8"/>
            </w:tcBorders>
          </w:tcPr>
          <w:p>
            <w:pPr>
              <w:spacing w:after="0"/>
              <w:rPr>
                <w:sz w:val="14"/>
                <w:szCs w:val="14"/>
                <w:color w:val="auto"/>
              </w:rPr>
            </w:pPr>
          </w:p>
        </w:tc>
        <w:tc>
          <w:tcPr>
            <w:tcW w:w="340" w:type="dxa"/>
            <w:vAlign w:val="bottom"/>
            <w:tcBorders>
              <w:bottom w:val="single" w:sz="8" w:color="00ADD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b w:val="1"/>
                <w:bCs w:val="1"/>
                <w:color w:val="auto"/>
              </w:rPr>
              <w:t>William Hult</w:t>
            </w:r>
          </w:p>
        </w:tc>
        <w:tc>
          <w:tcPr>
            <w:tcW w:w="160" w:type="dxa"/>
            <w:vAlign w:val="bottom"/>
            <w:shd w:val="clear" w:color="auto" w:fill="EDEDED"/>
          </w:tcPr>
          <w:p>
            <w:pPr>
              <w:spacing w:after="0"/>
              <w:rPr>
                <w:sz w:val="18"/>
                <w:szCs w:val="18"/>
                <w:color w:val="auto"/>
              </w:rPr>
            </w:pPr>
          </w:p>
        </w:tc>
        <w:tc>
          <w:tcPr>
            <w:tcW w:w="144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146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2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0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Salary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990,000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Benefits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61,813</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(16)</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Payment in respect of Bonus</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12,667,000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(4)</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Value of Equity Awards</w:t>
            </w:r>
          </w:p>
        </w:tc>
        <w:tc>
          <w:tcPr>
            <w:tcW w:w="160" w:type="dxa"/>
            <w:vAlign w:val="bottom"/>
            <w:shd w:val="clear" w:color="auto" w:fill="EDEDED"/>
          </w:tcPr>
          <w:p>
            <w:pPr>
              <w:spacing w:after="0"/>
              <w:rPr>
                <w:sz w:val="21"/>
                <w:szCs w:val="21"/>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$2,691,095</w:t>
            </w:r>
          </w:p>
        </w:tc>
        <w:tc>
          <w:tcPr>
            <w:tcW w:w="280" w:type="dxa"/>
            <w:vAlign w:val="bottom"/>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$2,691,095</w:t>
            </w:r>
          </w:p>
        </w:tc>
        <w:tc>
          <w:tcPr>
            <w:tcW w:w="400" w:type="dxa"/>
            <w:vAlign w:val="bottom"/>
            <w:shd w:val="clear" w:color="auto" w:fill="EDEDED"/>
          </w:tcPr>
          <w:p>
            <w:pPr>
              <w:spacing w:after="0"/>
              <w:rPr>
                <w:sz w:val="21"/>
                <w:szCs w:val="21"/>
                <w:color w:val="auto"/>
              </w:rPr>
            </w:pPr>
          </w:p>
        </w:tc>
        <w:tc>
          <w:tcPr>
            <w:tcW w:w="1520" w:type="dxa"/>
            <w:vAlign w:val="bottom"/>
            <w:shd w:val="clear" w:color="auto" w:fill="EDEDED"/>
          </w:tcPr>
          <w:p>
            <w:pPr>
              <w:spacing w:after="0"/>
              <w:rPr>
                <w:sz w:val="21"/>
                <w:szCs w:val="21"/>
                <w:color w:val="auto"/>
              </w:rPr>
            </w:pPr>
          </w:p>
        </w:tc>
        <w:tc>
          <w:tcPr>
            <w:tcW w:w="400" w:type="dxa"/>
            <w:vAlign w:val="bottom"/>
            <w:shd w:val="clear" w:color="auto" w:fill="EDEDED"/>
          </w:tcPr>
          <w:p>
            <w:pPr>
              <w:spacing w:after="0"/>
              <w:rPr>
                <w:sz w:val="21"/>
                <w:szCs w:val="21"/>
                <w:color w:val="auto"/>
              </w:rPr>
            </w:pPr>
          </w:p>
        </w:tc>
        <w:tc>
          <w:tcPr>
            <w:tcW w:w="1840" w:type="dxa"/>
            <w:vAlign w:val="bottom"/>
            <w:gridSpan w:val="2"/>
            <w:shd w:val="clear" w:color="auto" w:fill="EDEDED"/>
          </w:tcPr>
          <w:p>
            <w:pPr>
              <w:jc w:val="right"/>
              <w:ind w:right="35"/>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 $37,916,704</w:t>
            </w: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3380" w:type="dxa"/>
            <w:vAlign w:val="bottom"/>
            <w:vMerge w:val="continue"/>
            <w:shd w:val="clear" w:color="auto" w:fill="EDEDED"/>
          </w:tcPr>
          <w:p>
            <w:pPr>
              <w:spacing w:after="0"/>
              <w:rPr>
                <w:sz w:val="15"/>
                <w:szCs w:val="15"/>
                <w:color w:val="auto"/>
              </w:rPr>
            </w:pPr>
          </w:p>
        </w:tc>
        <w:tc>
          <w:tcPr>
            <w:tcW w:w="160" w:type="dxa"/>
            <w:vAlign w:val="bottom"/>
            <w:shd w:val="clear" w:color="auto" w:fill="EDEDED"/>
          </w:tcPr>
          <w:p>
            <w:pPr>
              <w:spacing w:after="0"/>
              <w:rPr>
                <w:sz w:val="15"/>
                <w:szCs w:val="15"/>
                <w:color w:val="auto"/>
              </w:rPr>
            </w:pPr>
          </w:p>
        </w:tc>
        <w:tc>
          <w:tcPr>
            <w:tcW w:w="1440" w:type="dxa"/>
            <w:vAlign w:val="bottom"/>
            <w:vMerge w:val="continue"/>
            <w:shd w:val="clear" w:color="auto" w:fill="EDEDED"/>
          </w:tcPr>
          <w:p>
            <w:pPr>
              <w:spacing w:after="0"/>
              <w:rPr>
                <w:sz w:val="15"/>
                <w:szCs w:val="15"/>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140" w:type="dxa"/>
            <w:vAlign w:val="bottom"/>
            <w:shd w:val="clear" w:color="auto" w:fill="EDEDED"/>
          </w:tcPr>
          <w:p>
            <w:pPr>
              <w:spacing w:after="0"/>
              <w:rPr>
                <w:sz w:val="15"/>
                <w:szCs w:val="15"/>
                <w:color w:val="auto"/>
              </w:rPr>
            </w:pPr>
          </w:p>
        </w:tc>
        <w:tc>
          <w:tcPr>
            <w:tcW w:w="1460" w:type="dxa"/>
            <w:vAlign w:val="bottom"/>
            <w:vMerge w:val="continue"/>
            <w:shd w:val="clear" w:color="auto" w:fill="EDEDED"/>
          </w:tcPr>
          <w:p>
            <w:pPr>
              <w:spacing w:after="0"/>
              <w:rPr>
                <w:sz w:val="15"/>
                <w:szCs w:val="15"/>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(5)</w:t>
            </w:r>
          </w:p>
        </w:tc>
        <w:tc>
          <w:tcPr>
            <w:tcW w:w="1520" w:type="dxa"/>
            <w:vAlign w:val="bottom"/>
            <w:shd w:val="clear" w:color="auto" w:fill="EDEDED"/>
          </w:tcPr>
          <w:p>
            <w:pPr>
              <w:spacing w:after="0"/>
              <w:rPr>
                <w:sz w:val="15"/>
                <w:szCs w:val="15"/>
                <w:color w:val="auto"/>
              </w:rPr>
            </w:pPr>
          </w:p>
        </w:tc>
        <w:tc>
          <w:tcPr>
            <w:tcW w:w="400" w:type="dxa"/>
            <w:vAlign w:val="bottom"/>
            <w:shd w:val="clear" w:color="auto" w:fill="EDEDED"/>
          </w:tcPr>
          <w:p>
            <w:pPr>
              <w:spacing w:after="0"/>
              <w:rPr>
                <w:sz w:val="15"/>
                <w:szCs w:val="15"/>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$2,691,095</w:t>
            </w: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$10,815,153</w:t>
            </w: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$22,980,164</w:t>
            </w:r>
          </w:p>
        </w:tc>
        <w:tc>
          <w:tcPr>
            <w:tcW w:w="400" w:type="dxa"/>
            <w:vAlign w:val="bottom"/>
            <w:vMerge w:val="continue"/>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$31,753,764</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(7)</w:t>
            </w:r>
          </w:p>
        </w:tc>
        <w:tc>
          <w:tcPr>
            <w:tcW w:w="1520" w:type="dxa"/>
            <w:vAlign w:val="bottom"/>
            <w:vMerge w:val="continue"/>
            <w:shd w:val="clear" w:color="auto" w:fill="EDEDED"/>
          </w:tcPr>
          <w:p>
            <w:pPr>
              <w:spacing w:after="0"/>
              <w:rPr>
                <w:sz w:val="17"/>
                <w:szCs w:val="17"/>
                <w:color w:val="auto"/>
              </w:rPr>
            </w:pPr>
          </w:p>
        </w:tc>
        <w:tc>
          <w:tcPr>
            <w:tcW w:w="400" w:type="dxa"/>
            <w:vAlign w:val="bottom"/>
            <w:shd w:val="clear" w:color="auto" w:fill="EDEDED"/>
          </w:tcPr>
          <w:p>
            <w:pPr>
              <w:spacing w:after="0"/>
              <w:rPr>
                <w:sz w:val="17"/>
                <w:szCs w:val="17"/>
                <w:color w:val="auto"/>
              </w:rPr>
            </w:pP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3"/>
        </w:trPr>
        <w:tc>
          <w:tcPr>
            <w:tcW w:w="3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27,225,061</w:t>
            </w:r>
          </w:p>
        </w:tc>
        <w:tc>
          <w:tcPr>
            <w:tcW w:w="280" w:type="dxa"/>
            <w:vAlign w:val="bottom"/>
            <w:tcBorders>
              <w:bottom w:val="single" w:sz="8" w:color="EDEDED"/>
            </w:tcBorders>
            <w:shd w:val="clear" w:color="auto" w:fill="EDEDED"/>
          </w:tcPr>
          <w:p>
            <w:pPr>
              <w:spacing w:after="0"/>
              <w:rPr>
                <w:sz w:val="24"/>
                <w:szCs w:val="24"/>
                <w:color w:val="auto"/>
              </w:rPr>
            </w:pPr>
          </w:p>
        </w:tc>
        <w:tc>
          <w:tcPr>
            <w:tcW w:w="1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25,671,259</w:t>
            </w:r>
          </w:p>
        </w:tc>
        <w:tc>
          <w:tcPr>
            <w:tcW w:w="400" w:type="dxa"/>
            <w:vAlign w:val="bottom"/>
            <w:tcBorders>
              <w:bottom w:val="single" w:sz="8" w:color="EDEDED"/>
            </w:tcBorders>
            <w:shd w:val="clear" w:color="auto" w:fill="EDEDED"/>
          </w:tcPr>
          <w:p>
            <w:pPr>
              <w:spacing w:after="0"/>
              <w:rPr>
                <w:sz w:val="24"/>
                <w:szCs w:val="24"/>
                <w:color w:val="auto"/>
              </w:rPr>
            </w:pPr>
          </w:p>
        </w:tc>
        <w:tc>
          <w:tcPr>
            <w:tcW w:w="15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72,361,563</w:t>
            </w:r>
          </w:p>
        </w:tc>
        <w:tc>
          <w:tcPr>
            <w:tcW w:w="3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00ADD8"/>
            </w:tcBorders>
          </w:tcPr>
          <w:p>
            <w:pPr>
              <w:spacing w:after="0"/>
              <w:rPr>
                <w:sz w:val="14"/>
                <w:szCs w:val="14"/>
                <w:color w:val="auto"/>
              </w:rPr>
            </w:pPr>
          </w:p>
        </w:tc>
        <w:tc>
          <w:tcPr>
            <w:tcW w:w="160" w:type="dxa"/>
            <w:vAlign w:val="bottom"/>
            <w:tcBorders>
              <w:bottom w:val="single" w:sz="8" w:color="00ADD8"/>
            </w:tcBorders>
          </w:tcPr>
          <w:p>
            <w:pPr>
              <w:spacing w:after="0"/>
              <w:rPr>
                <w:sz w:val="14"/>
                <w:szCs w:val="14"/>
                <w:color w:val="auto"/>
              </w:rPr>
            </w:pPr>
          </w:p>
        </w:tc>
        <w:tc>
          <w:tcPr>
            <w:tcW w:w="1440" w:type="dxa"/>
            <w:vAlign w:val="bottom"/>
            <w:tcBorders>
              <w:bottom w:val="single" w:sz="8" w:color="00ADD8"/>
            </w:tcBorders>
          </w:tcPr>
          <w:p>
            <w:pPr>
              <w:spacing w:after="0"/>
              <w:rPr>
                <w:sz w:val="14"/>
                <w:szCs w:val="14"/>
                <w:color w:val="auto"/>
              </w:rPr>
            </w:pPr>
          </w:p>
        </w:tc>
        <w:tc>
          <w:tcPr>
            <w:tcW w:w="280" w:type="dxa"/>
            <w:vAlign w:val="bottom"/>
            <w:tcBorders>
              <w:bottom w:val="single" w:sz="8" w:color="00ADD8"/>
            </w:tcBorders>
          </w:tcPr>
          <w:p>
            <w:pPr>
              <w:spacing w:after="0"/>
              <w:rPr>
                <w:sz w:val="14"/>
                <w:szCs w:val="14"/>
                <w:color w:val="auto"/>
              </w:rPr>
            </w:pPr>
          </w:p>
        </w:tc>
        <w:tc>
          <w:tcPr>
            <w:tcW w:w="140" w:type="dxa"/>
            <w:vAlign w:val="bottom"/>
            <w:tcBorders>
              <w:bottom w:val="single" w:sz="8" w:color="00ADD8"/>
            </w:tcBorders>
          </w:tcPr>
          <w:p>
            <w:pPr>
              <w:spacing w:after="0"/>
              <w:rPr>
                <w:sz w:val="14"/>
                <w:szCs w:val="14"/>
                <w:color w:val="auto"/>
              </w:rPr>
            </w:pPr>
          </w:p>
        </w:tc>
        <w:tc>
          <w:tcPr>
            <w:tcW w:w="146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2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00" w:type="dxa"/>
            <w:vAlign w:val="bottom"/>
            <w:tcBorders>
              <w:bottom w:val="single" w:sz="8" w:color="00ADD8"/>
            </w:tcBorders>
          </w:tcPr>
          <w:p>
            <w:pPr>
              <w:spacing w:after="0"/>
              <w:rPr>
                <w:sz w:val="14"/>
                <w:szCs w:val="14"/>
                <w:color w:val="auto"/>
              </w:rPr>
            </w:pPr>
          </w:p>
        </w:tc>
        <w:tc>
          <w:tcPr>
            <w:tcW w:w="340" w:type="dxa"/>
            <w:vAlign w:val="bottom"/>
            <w:tcBorders>
              <w:bottom w:val="single" w:sz="8" w:color="00ADD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b w:val="1"/>
                <w:bCs w:val="1"/>
                <w:color w:val="auto"/>
              </w:rPr>
              <w:t>Enrico Bruni</w:t>
            </w:r>
          </w:p>
        </w:tc>
        <w:tc>
          <w:tcPr>
            <w:tcW w:w="160" w:type="dxa"/>
            <w:vAlign w:val="bottom"/>
            <w:shd w:val="clear" w:color="auto" w:fill="EDEDED"/>
          </w:tcPr>
          <w:p>
            <w:pPr>
              <w:spacing w:after="0"/>
              <w:rPr>
                <w:sz w:val="18"/>
                <w:szCs w:val="18"/>
                <w:color w:val="auto"/>
              </w:rPr>
            </w:pPr>
          </w:p>
        </w:tc>
        <w:tc>
          <w:tcPr>
            <w:tcW w:w="144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146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2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0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Salary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382,890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(13)</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Benefits Continuation</w:t>
            </w:r>
          </w:p>
        </w:tc>
        <w:tc>
          <w:tcPr>
            <w:tcW w:w="160" w:type="dxa"/>
            <w:vAlign w:val="bottom"/>
            <w:shd w:val="clear" w:color="auto" w:fill="EDEDED"/>
          </w:tcPr>
          <w:p>
            <w:pPr>
              <w:spacing w:after="0"/>
              <w:rPr>
                <w:sz w:val="20"/>
                <w:szCs w:val="20"/>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EDEDED"/>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20"/>
                <w:szCs w:val="20"/>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20"/>
                <w:szCs w:val="20"/>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Payment in respect of Bonus</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3,438,364</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(15)</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14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 $6,825,022</w:t>
            </w: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38"/>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Value of Equity Awards</w:t>
            </w: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$1,004,134</w:t>
            </w:r>
          </w:p>
        </w:tc>
        <w:tc>
          <w:tcPr>
            <w:tcW w:w="280" w:type="dxa"/>
            <w:vAlign w:val="bottom"/>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$1,004,134</w:t>
            </w: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RSUs: $1,004,134</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(5)</w:t>
            </w:r>
          </w:p>
        </w:tc>
        <w:tc>
          <w:tcPr>
            <w:tcW w:w="1520" w:type="dxa"/>
            <w:vAlign w:val="bottom"/>
            <w:shd w:val="clear" w:color="auto" w:fill="EDEDED"/>
          </w:tcPr>
          <w:p>
            <w:pPr>
              <w:spacing w:after="0"/>
              <w:rPr>
                <w:sz w:val="17"/>
                <w:szCs w:val="17"/>
                <w:color w:val="auto"/>
              </w:rPr>
            </w:pPr>
          </w:p>
        </w:tc>
        <w:tc>
          <w:tcPr>
            <w:tcW w:w="400" w:type="dxa"/>
            <w:vAlign w:val="bottom"/>
            <w:shd w:val="clear" w:color="auto" w:fill="EDEDED"/>
          </w:tcPr>
          <w:p>
            <w:pPr>
              <w:spacing w:after="0"/>
              <w:rPr>
                <w:sz w:val="17"/>
                <w:szCs w:val="17"/>
                <w:color w:val="auto"/>
              </w:rPr>
            </w:pP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$2,636,514</w:t>
            </w: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$5,137,970</w:t>
            </w:r>
          </w:p>
        </w:tc>
        <w:tc>
          <w:tcPr>
            <w:tcW w:w="400" w:type="dxa"/>
            <w:vAlign w:val="bottom"/>
            <w:vMerge w:val="continue"/>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PRSUs: $7,392,831</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(7)</w:t>
            </w:r>
          </w:p>
        </w:tc>
        <w:tc>
          <w:tcPr>
            <w:tcW w:w="1520" w:type="dxa"/>
            <w:vAlign w:val="bottom"/>
            <w:vMerge w:val="continue"/>
            <w:shd w:val="clear" w:color="auto" w:fill="EDEDED"/>
          </w:tcPr>
          <w:p>
            <w:pPr>
              <w:spacing w:after="0"/>
              <w:rPr>
                <w:sz w:val="17"/>
                <w:szCs w:val="17"/>
                <w:color w:val="auto"/>
              </w:rPr>
            </w:pPr>
          </w:p>
        </w:tc>
        <w:tc>
          <w:tcPr>
            <w:tcW w:w="400" w:type="dxa"/>
            <w:vAlign w:val="bottom"/>
            <w:shd w:val="clear" w:color="auto" w:fill="EDEDED"/>
          </w:tcPr>
          <w:p>
            <w:pPr>
              <w:spacing w:after="0"/>
              <w:rPr>
                <w:sz w:val="17"/>
                <w:szCs w:val="17"/>
                <w:color w:val="auto"/>
              </w:rPr>
            </w:pP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3"/>
        </w:trPr>
        <w:tc>
          <w:tcPr>
            <w:tcW w:w="3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7,461,902</w:t>
            </w:r>
          </w:p>
        </w:tc>
        <w:tc>
          <w:tcPr>
            <w:tcW w:w="280" w:type="dxa"/>
            <w:vAlign w:val="bottom"/>
            <w:tcBorders>
              <w:bottom w:val="single" w:sz="8" w:color="EDEDED"/>
            </w:tcBorders>
            <w:shd w:val="clear" w:color="auto" w:fill="EDEDED"/>
          </w:tcPr>
          <w:p>
            <w:pPr>
              <w:spacing w:after="0"/>
              <w:rPr>
                <w:sz w:val="24"/>
                <w:szCs w:val="24"/>
                <w:color w:val="auto"/>
              </w:rPr>
            </w:pPr>
          </w:p>
        </w:tc>
        <w:tc>
          <w:tcPr>
            <w:tcW w:w="1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6,142,104</w:t>
            </w:r>
          </w:p>
        </w:tc>
        <w:tc>
          <w:tcPr>
            <w:tcW w:w="400" w:type="dxa"/>
            <w:vAlign w:val="bottom"/>
            <w:tcBorders>
              <w:bottom w:val="single" w:sz="8" w:color="EDEDED"/>
            </w:tcBorders>
            <w:shd w:val="clear" w:color="auto" w:fill="EDEDED"/>
          </w:tcPr>
          <w:p>
            <w:pPr>
              <w:spacing w:after="0"/>
              <w:rPr>
                <w:sz w:val="24"/>
                <w:szCs w:val="24"/>
                <w:color w:val="auto"/>
              </w:rPr>
            </w:pPr>
          </w:p>
        </w:tc>
        <w:tc>
          <w:tcPr>
            <w:tcW w:w="15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b w:val="1"/>
                <w:bCs w:val="1"/>
                <w:color w:val="auto"/>
              </w:rPr>
              <w:t>15,221,987</w:t>
            </w:r>
          </w:p>
        </w:tc>
        <w:tc>
          <w:tcPr>
            <w:tcW w:w="3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00ADD8"/>
            </w:tcBorders>
          </w:tcPr>
          <w:p>
            <w:pPr>
              <w:spacing w:after="0"/>
              <w:rPr>
                <w:sz w:val="14"/>
                <w:szCs w:val="14"/>
                <w:color w:val="auto"/>
              </w:rPr>
            </w:pPr>
          </w:p>
        </w:tc>
        <w:tc>
          <w:tcPr>
            <w:tcW w:w="160" w:type="dxa"/>
            <w:vAlign w:val="bottom"/>
            <w:tcBorders>
              <w:bottom w:val="single" w:sz="8" w:color="00ADD8"/>
            </w:tcBorders>
          </w:tcPr>
          <w:p>
            <w:pPr>
              <w:spacing w:after="0"/>
              <w:rPr>
                <w:sz w:val="14"/>
                <w:szCs w:val="14"/>
                <w:color w:val="auto"/>
              </w:rPr>
            </w:pPr>
          </w:p>
        </w:tc>
        <w:tc>
          <w:tcPr>
            <w:tcW w:w="1440" w:type="dxa"/>
            <w:vAlign w:val="bottom"/>
            <w:tcBorders>
              <w:bottom w:val="single" w:sz="8" w:color="00ADD8"/>
            </w:tcBorders>
          </w:tcPr>
          <w:p>
            <w:pPr>
              <w:spacing w:after="0"/>
              <w:rPr>
                <w:sz w:val="14"/>
                <w:szCs w:val="14"/>
                <w:color w:val="auto"/>
              </w:rPr>
            </w:pPr>
          </w:p>
        </w:tc>
        <w:tc>
          <w:tcPr>
            <w:tcW w:w="280" w:type="dxa"/>
            <w:vAlign w:val="bottom"/>
            <w:tcBorders>
              <w:bottom w:val="single" w:sz="8" w:color="00ADD8"/>
            </w:tcBorders>
          </w:tcPr>
          <w:p>
            <w:pPr>
              <w:spacing w:after="0"/>
              <w:rPr>
                <w:sz w:val="14"/>
                <w:szCs w:val="14"/>
                <w:color w:val="auto"/>
              </w:rPr>
            </w:pPr>
          </w:p>
        </w:tc>
        <w:tc>
          <w:tcPr>
            <w:tcW w:w="140" w:type="dxa"/>
            <w:vAlign w:val="bottom"/>
            <w:tcBorders>
              <w:bottom w:val="single" w:sz="8" w:color="00ADD8"/>
            </w:tcBorders>
          </w:tcPr>
          <w:p>
            <w:pPr>
              <w:spacing w:after="0"/>
              <w:rPr>
                <w:sz w:val="14"/>
                <w:szCs w:val="14"/>
                <w:color w:val="auto"/>
              </w:rPr>
            </w:pPr>
          </w:p>
        </w:tc>
        <w:tc>
          <w:tcPr>
            <w:tcW w:w="146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20" w:type="dxa"/>
            <w:vAlign w:val="bottom"/>
            <w:tcBorders>
              <w:bottom w:val="single" w:sz="8" w:color="00ADD8"/>
            </w:tcBorders>
          </w:tcPr>
          <w:p>
            <w:pPr>
              <w:spacing w:after="0"/>
              <w:rPr>
                <w:sz w:val="14"/>
                <w:szCs w:val="14"/>
                <w:color w:val="auto"/>
              </w:rPr>
            </w:pPr>
          </w:p>
        </w:tc>
        <w:tc>
          <w:tcPr>
            <w:tcW w:w="400" w:type="dxa"/>
            <w:vAlign w:val="bottom"/>
            <w:tcBorders>
              <w:bottom w:val="single" w:sz="8" w:color="00ADD8"/>
            </w:tcBorders>
          </w:tcPr>
          <w:p>
            <w:pPr>
              <w:spacing w:after="0"/>
              <w:rPr>
                <w:sz w:val="14"/>
                <w:szCs w:val="14"/>
                <w:color w:val="auto"/>
              </w:rPr>
            </w:pPr>
          </w:p>
        </w:tc>
        <w:tc>
          <w:tcPr>
            <w:tcW w:w="1500" w:type="dxa"/>
            <w:vAlign w:val="bottom"/>
            <w:tcBorders>
              <w:bottom w:val="single" w:sz="8" w:color="00ADD8"/>
            </w:tcBorders>
          </w:tcPr>
          <w:p>
            <w:pPr>
              <w:spacing w:after="0"/>
              <w:rPr>
                <w:sz w:val="14"/>
                <w:szCs w:val="14"/>
                <w:color w:val="auto"/>
              </w:rPr>
            </w:pPr>
          </w:p>
        </w:tc>
        <w:tc>
          <w:tcPr>
            <w:tcW w:w="340" w:type="dxa"/>
            <w:vAlign w:val="bottom"/>
            <w:tcBorders>
              <w:bottom w:val="single" w:sz="8" w:color="00ADD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b w:val="1"/>
                <w:bCs w:val="1"/>
                <w:color w:val="auto"/>
              </w:rPr>
              <w:t>Justin Peterson</w:t>
            </w:r>
          </w:p>
        </w:tc>
        <w:tc>
          <w:tcPr>
            <w:tcW w:w="160" w:type="dxa"/>
            <w:vAlign w:val="bottom"/>
            <w:shd w:val="clear" w:color="auto" w:fill="EDEDED"/>
          </w:tcPr>
          <w:p>
            <w:pPr>
              <w:spacing w:after="0"/>
              <w:rPr>
                <w:sz w:val="18"/>
                <w:szCs w:val="18"/>
                <w:color w:val="auto"/>
              </w:rPr>
            </w:pPr>
          </w:p>
        </w:tc>
        <w:tc>
          <w:tcPr>
            <w:tcW w:w="144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146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2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150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Salary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300,000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(13)</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Benefits Continuation</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30,831</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(14)</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i w:val="1"/>
                <w:iCs w:val="1"/>
                <w:color w:val="auto"/>
              </w:rPr>
              <w:t>Payment in respect of Bonus</w:t>
            </w:r>
          </w:p>
        </w:tc>
        <w:tc>
          <w:tcPr>
            <w:tcW w:w="1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2,300,000</w:t>
            </w: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(15)</w:t>
            </w: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6"/>
                <w:szCs w:val="16"/>
                <w:color w:val="auto"/>
              </w:rPr>
            </w:pP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14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4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152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$2,780,551</w:t>
            </w: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(8)</w:t>
            </w:r>
          </w:p>
        </w:tc>
        <w:tc>
          <w:tcPr>
            <w:tcW w:w="1500" w:type="dxa"/>
            <w:vAlign w:val="bottom"/>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 $5,561,101</w:t>
            </w: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38"/>
        </w:trPr>
        <w:tc>
          <w:tcPr>
            <w:tcW w:w="3380" w:type="dxa"/>
            <w:vAlign w:val="bottom"/>
            <w:vMerge w:val="restart"/>
            <w:shd w:val="clear" w:color="auto" w:fill="EDEDED"/>
          </w:tcPr>
          <w:p>
            <w:pPr>
              <w:ind w:left="60"/>
              <w:spacing w:after="0"/>
              <w:rPr>
                <w:sz w:val="20"/>
                <w:szCs w:val="20"/>
                <w:color w:val="auto"/>
              </w:rPr>
            </w:pPr>
            <w:r>
              <w:rPr>
                <w:rFonts w:ascii="Arial" w:cs="Arial" w:eastAsia="Arial" w:hAnsi="Arial"/>
                <w:sz w:val="15"/>
                <w:szCs w:val="15"/>
                <w:i w:val="1"/>
                <w:iCs w:val="1"/>
                <w:color w:val="auto"/>
              </w:rPr>
              <w:t>Value of Equity Awards</w:t>
            </w: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$803,294</w:t>
            </w:r>
          </w:p>
        </w:tc>
        <w:tc>
          <w:tcPr>
            <w:tcW w:w="280" w:type="dxa"/>
            <w:vAlign w:val="bottom"/>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 $803,294</w:t>
            </w:r>
          </w:p>
        </w:tc>
        <w:tc>
          <w:tcPr>
            <w:tcW w:w="400" w:type="dxa"/>
            <w:vAlign w:val="bottom"/>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$803,294</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$803,294</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(5)</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(5)</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$2,636,514</w:t>
            </w: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$4,637,704</w:t>
            </w:r>
          </w:p>
        </w:tc>
        <w:tc>
          <w:tcPr>
            <w:tcW w:w="400" w:type="dxa"/>
            <w:vAlign w:val="bottom"/>
            <w:vMerge w:val="continue"/>
            <w:shd w:val="clear" w:color="auto" w:fill="EDEDED"/>
          </w:tcPr>
          <w:p>
            <w:pPr>
              <w:spacing w:after="0"/>
              <w:rPr>
                <w:sz w:val="3"/>
                <w:szCs w:val="3"/>
                <w:color w:val="auto"/>
              </w:rPr>
            </w:pPr>
          </w:p>
        </w:tc>
        <w:tc>
          <w:tcPr>
            <w:tcW w:w="152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$6,441,593</w:t>
            </w:r>
          </w:p>
        </w:tc>
        <w:tc>
          <w:tcPr>
            <w:tcW w:w="400" w:type="dxa"/>
            <w:vAlign w:val="bottom"/>
            <w:vMerge w:val="continue"/>
            <w:shd w:val="clear" w:color="auto" w:fill="EDEDED"/>
          </w:tcPr>
          <w:p>
            <w:pPr>
              <w:spacing w:after="0"/>
              <w:rPr>
                <w:sz w:val="3"/>
                <w:szCs w:val="3"/>
                <w:color w:val="auto"/>
              </w:rPr>
            </w:pPr>
          </w:p>
        </w:tc>
        <w:tc>
          <w:tcPr>
            <w:tcW w:w="1500" w:type="dxa"/>
            <w:vAlign w:val="bottom"/>
            <w:vMerge w:val="restart"/>
            <w:shd w:val="clear" w:color="auto" w:fill="EDEDED"/>
          </w:tcPr>
          <w:p>
            <w:pPr>
              <w:jc w:val="right"/>
              <w:spacing w:after="0"/>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$6,441,593</w:t>
            </w: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40" w:type="dxa"/>
            <w:vAlign w:val="bottom"/>
            <w:vMerge w:val="continue"/>
            <w:shd w:val="clear" w:color="auto" w:fill="EDEDED"/>
          </w:tcPr>
          <w:p>
            <w:pPr>
              <w:spacing w:after="0"/>
              <w:rPr>
                <w:sz w:val="17"/>
                <w:szCs w:val="17"/>
                <w:color w:val="auto"/>
              </w:rPr>
            </w:pPr>
          </w:p>
        </w:tc>
        <w:tc>
          <w:tcPr>
            <w:tcW w:w="2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140" w:type="dxa"/>
            <w:vAlign w:val="bottom"/>
            <w:shd w:val="clear" w:color="auto" w:fill="EDEDED"/>
          </w:tcPr>
          <w:p>
            <w:pPr>
              <w:spacing w:after="0"/>
              <w:rPr>
                <w:sz w:val="17"/>
                <w:szCs w:val="17"/>
                <w:color w:val="auto"/>
              </w:rPr>
            </w:pPr>
          </w:p>
        </w:tc>
        <w:tc>
          <w:tcPr>
            <w:tcW w:w="146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72"/>
              <w:spacing w:after="0"/>
              <w:rPr>
                <w:sz w:val="20"/>
                <w:szCs w:val="20"/>
                <w:color w:val="auto"/>
              </w:rPr>
            </w:pPr>
            <w:r>
              <w:rPr>
                <w:rFonts w:ascii="Arial" w:cs="Arial" w:eastAsia="Arial" w:hAnsi="Arial"/>
                <w:sz w:val="13"/>
                <w:szCs w:val="13"/>
                <w:color w:val="auto"/>
                <w:w w:val="87"/>
              </w:rPr>
              <w:t>(7)</w:t>
            </w:r>
          </w:p>
        </w:tc>
        <w:tc>
          <w:tcPr>
            <w:tcW w:w="1520" w:type="dxa"/>
            <w:vAlign w:val="bottom"/>
            <w:vMerge w:val="continue"/>
            <w:shd w:val="clear" w:color="auto" w:fill="EDEDED"/>
          </w:tcPr>
          <w:p>
            <w:pPr>
              <w:spacing w:after="0"/>
              <w:rPr>
                <w:sz w:val="17"/>
                <w:szCs w:val="17"/>
                <w:color w:val="auto"/>
              </w:rPr>
            </w:pPr>
          </w:p>
        </w:tc>
        <w:tc>
          <w:tcPr>
            <w:tcW w:w="400" w:type="dxa"/>
            <w:vAlign w:val="bottom"/>
            <w:vMerge w:val="restart"/>
            <w:shd w:val="clear" w:color="auto" w:fill="EDEDED"/>
          </w:tcPr>
          <w:p>
            <w:pPr>
              <w:jc w:val="right"/>
              <w:ind w:right="191"/>
              <w:spacing w:after="0"/>
              <w:rPr>
                <w:sz w:val="20"/>
                <w:szCs w:val="20"/>
                <w:color w:val="auto"/>
              </w:rPr>
            </w:pPr>
            <w:r>
              <w:rPr>
                <w:rFonts w:ascii="Arial" w:cs="Arial" w:eastAsia="Arial" w:hAnsi="Arial"/>
                <w:sz w:val="13"/>
                <w:szCs w:val="13"/>
                <w:color w:val="auto"/>
                <w:w w:val="75"/>
              </w:rPr>
              <w:t>(9)</w:t>
            </w:r>
          </w:p>
        </w:tc>
        <w:tc>
          <w:tcPr>
            <w:tcW w:w="1500" w:type="dxa"/>
            <w:vAlign w:val="bottom"/>
            <w:vMerge w:val="continue"/>
            <w:shd w:val="clear" w:color="auto" w:fill="EDEDED"/>
          </w:tcPr>
          <w:p>
            <w:pPr>
              <w:spacing w:after="0"/>
              <w:rPr>
                <w:sz w:val="17"/>
                <w:szCs w:val="17"/>
                <w:color w:val="auto"/>
              </w:rPr>
            </w:pPr>
          </w:p>
        </w:tc>
        <w:tc>
          <w:tcPr>
            <w:tcW w:w="340" w:type="dxa"/>
            <w:vAlign w:val="bottom"/>
            <w:vMerge w:val="restart"/>
            <w:shd w:val="clear" w:color="auto" w:fill="EDEDED"/>
          </w:tcPr>
          <w:p>
            <w:pPr>
              <w:jc w:val="right"/>
              <w:ind w:right="35"/>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38"/>
        </w:trPr>
        <w:tc>
          <w:tcPr>
            <w:tcW w:w="3380" w:type="dxa"/>
            <w:vAlign w:val="bottom"/>
            <w:shd w:val="clear" w:color="auto" w:fill="EDEDED"/>
          </w:tcPr>
          <w:p>
            <w:pPr>
              <w:spacing w:after="0"/>
              <w:rPr>
                <w:sz w:val="3"/>
                <w:szCs w:val="3"/>
                <w:color w:val="auto"/>
              </w:rPr>
            </w:pPr>
          </w:p>
        </w:tc>
        <w:tc>
          <w:tcPr>
            <w:tcW w:w="160" w:type="dxa"/>
            <w:vAlign w:val="bottom"/>
            <w:shd w:val="clear" w:color="auto" w:fill="EDEDED"/>
          </w:tcPr>
          <w:p>
            <w:pPr>
              <w:spacing w:after="0"/>
              <w:rPr>
                <w:sz w:val="3"/>
                <w:szCs w:val="3"/>
                <w:color w:val="auto"/>
              </w:rPr>
            </w:pPr>
          </w:p>
        </w:tc>
        <w:tc>
          <w:tcPr>
            <w:tcW w:w="1440" w:type="dxa"/>
            <w:vAlign w:val="bottom"/>
            <w:shd w:val="clear" w:color="auto" w:fill="EDEDED"/>
          </w:tcPr>
          <w:p>
            <w:pPr>
              <w:spacing w:after="0"/>
              <w:rPr>
                <w:sz w:val="3"/>
                <w:szCs w:val="3"/>
                <w:color w:val="auto"/>
              </w:rPr>
            </w:pPr>
          </w:p>
        </w:tc>
        <w:tc>
          <w:tcPr>
            <w:tcW w:w="280" w:type="dxa"/>
            <w:vAlign w:val="bottom"/>
            <w:vMerge w:val="continue"/>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146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2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1500" w:type="dxa"/>
            <w:vAlign w:val="bottom"/>
            <w:shd w:val="clear" w:color="auto" w:fill="EDEDED"/>
          </w:tcPr>
          <w:p>
            <w:pPr>
              <w:spacing w:after="0"/>
              <w:rPr>
                <w:sz w:val="3"/>
                <w:szCs w:val="3"/>
                <w:color w:val="auto"/>
              </w:rPr>
            </w:pPr>
          </w:p>
        </w:tc>
        <w:tc>
          <w:tcPr>
            <w:tcW w:w="3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shd w:val="clear" w:color="auto" w:fill="EDEDED"/>
          </w:tcPr>
          <w:p>
            <w:pPr>
              <w:ind w:left="60"/>
              <w:spacing w:after="0"/>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6,070,639</w:t>
            </w:r>
          </w:p>
        </w:tc>
        <w:tc>
          <w:tcPr>
            <w:tcW w:w="280" w:type="dxa"/>
            <w:vAlign w:val="bottom"/>
            <w:shd w:val="clear" w:color="auto" w:fill="EDEDED"/>
          </w:tcPr>
          <w:p>
            <w:pPr>
              <w:spacing w:after="0"/>
              <w:rPr>
                <w:sz w:val="23"/>
                <w:szCs w:val="23"/>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5,440,998</w:t>
            </w:r>
          </w:p>
        </w:tc>
        <w:tc>
          <w:tcPr>
            <w:tcW w:w="40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10,025,438</w:t>
            </w:r>
          </w:p>
        </w:tc>
        <w:tc>
          <w:tcPr>
            <w:tcW w:w="40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12,805,988</w:t>
            </w:r>
          </w:p>
        </w:tc>
        <w:tc>
          <w:tcPr>
            <w:tcW w:w="34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80" w:type="dxa"/>
            <w:vAlign w:val="bottom"/>
            <w:shd w:val="clear" w:color="auto" w:fill="EDEDED"/>
          </w:tcPr>
          <w:p>
            <w:pPr>
              <w:spacing w:after="0"/>
              <w:rPr>
                <w:sz w:val="4"/>
                <w:szCs w:val="4"/>
                <w:color w:val="auto"/>
              </w:rPr>
            </w:pPr>
          </w:p>
        </w:tc>
        <w:tc>
          <w:tcPr>
            <w:tcW w:w="160" w:type="dxa"/>
            <w:vAlign w:val="bottom"/>
            <w:shd w:val="clear" w:color="auto" w:fill="EDEDED"/>
          </w:tcPr>
          <w:p>
            <w:pPr>
              <w:spacing w:after="0"/>
              <w:rPr>
                <w:sz w:val="4"/>
                <w:szCs w:val="4"/>
                <w:color w:val="auto"/>
              </w:rPr>
            </w:pPr>
          </w:p>
        </w:tc>
        <w:tc>
          <w:tcPr>
            <w:tcW w:w="144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140" w:type="dxa"/>
            <w:vAlign w:val="bottom"/>
            <w:shd w:val="clear" w:color="auto" w:fill="EDEDED"/>
          </w:tcPr>
          <w:p>
            <w:pPr>
              <w:spacing w:after="0"/>
              <w:rPr>
                <w:sz w:val="4"/>
                <w:szCs w:val="4"/>
                <w:color w:val="auto"/>
              </w:rPr>
            </w:pPr>
          </w:p>
        </w:tc>
        <w:tc>
          <w:tcPr>
            <w:tcW w:w="1460" w:type="dxa"/>
            <w:vAlign w:val="bottom"/>
            <w:shd w:val="clear" w:color="auto" w:fill="EDEDED"/>
          </w:tcPr>
          <w:p>
            <w:pPr>
              <w:spacing w:after="0"/>
              <w:rPr>
                <w:sz w:val="4"/>
                <w:szCs w:val="4"/>
                <w:color w:val="auto"/>
              </w:rPr>
            </w:pPr>
          </w:p>
        </w:tc>
        <w:tc>
          <w:tcPr>
            <w:tcW w:w="400" w:type="dxa"/>
            <w:vAlign w:val="bottom"/>
            <w:shd w:val="clear" w:color="auto" w:fill="EDEDED"/>
          </w:tcPr>
          <w:p>
            <w:pPr>
              <w:spacing w:after="0"/>
              <w:rPr>
                <w:sz w:val="4"/>
                <w:szCs w:val="4"/>
                <w:color w:val="auto"/>
              </w:rPr>
            </w:pPr>
          </w:p>
        </w:tc>
        <w:tc>
          <w:tcPr>
            <w:tcW w:w="1520" w:type="dxa"/>
            <w:vAlign w:val="bottom"/>
            <w:shd w:val="clear" w:color="auto" w:fill="EDEDED"/>
          </w:tcPr>
          <w:p>
            <w:pPr>
              <w:spacing w:after="0"/>
              <w:rPr>
                <w:sz w:val="4"/>
                <w:szCs w:val="4"/>
                <w:color w:val="auto"/>
              </w:rPr>
            </w:pPr>
          </w:p>
        </w:tc>
        <w:tc>
          <w:tcPr>
            <w:tcW w:w="400" w:type="dxa"/>
            <w:vAlign w:val="bottom"/>
            <w:shd w:val="clear" w:color="auto" w:fill="EDEDED"/>
          </w:tcPr>
          <w:p>
            <w:pPr>
              <w:spacing w:after="0"/>
              <w:rPr>
                <w:sz w:val="4"/>
                <w:szCs w:val="4"/>
                <w:color w:val="auto"/>
              </w:rPr>
            </w:pPr>
          </w:p>
        </w:tc>
        <w:tc>
          <w:tcPr>
            <w:tcW w:w="150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Messrs. Hult and Bruni were not eligible for retirement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0"/>
          <w:szCs w:val="20"/>
          <w:color w:val="auto"/>
        </w:rPr>
      </w:pPr>
    </w:p>
    <w:p>
      <w:pPr>
        <w:ind w:left="4"/>
        <w:spacing w:after="0"/>
        <w:tabs>
          <w:tab w:leader="none" w:pos="10424"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4"/>
          </w:cols>
          <w:pgMar w:left="436" w:top="1138" w:right="439" w:bottom="1440" w:gutter="0" w:footer="0" w:header="0"/>
        </w:sectPr>
      </w:pPr>
    </w:p>
    <w:bookmarkStart w:id="55" w:name="page56"/>
    <w:bookmarkEnd w:id="55"/>
    <w:p>
      <w:pPr>
        <w:ind w:left="424" w:right="300" w:hanging="424"/>
        <w:spacing w:after="0" w:line="25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Reflects 18 months base salary continuation. This payment will also become due upon the executive’s resignation for good reason or Company nonrenewal of the executive’s employment agreement.</w:t>
      </w:r>
    </w:p>
    <w:p>
      <w:pPr>
        <w:spacing w:after="0" w:line="58" w:lineRule="exact"/>
        <w:rPr>
          <w:rFonts w:ascii="Arial" w:cs="Arial" w:eastAsia="Arial" w:hAnsi="Arial"/>
          <w:sz w:val="14"/>
          <w:szCs w:val="14"/>
          <w:color w:val="auto"/>
        </w:rPr>
      </w:pPr>
    </w:p>
    <w:p>
      <w:pPr>
        <w:ind w:left="424" w:right="440" w:hanging="424"/>
        <w:spacing w:after="0" w:line="25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continuation of healthcare benefits, including employee contributions, until Mr. Olesky reaches age 65. This payment will also become due upon the executive’s resignation for good reason or Company nonrenewal of the executive’s employment agreement.</w:t>
      </w:r>
    </w:p>
    <w:p>
      <w:pPr>
        <w:spacing w:after="0" w:line="58" w:lineRule="exact"/>
        <w:rPr>
          <w:rFonts w:ascii="Arial" w:cs="Arial" w:eastAsia="Arial" w:hAnsi="Arial"/>
          <w:sz w:val="14"/>
          <w:szCs w:val="14"/>
          <w:color w:val="auto"/>
        </w:rPr>
      </w:pPr>
    </w:p>
    <w:p>
      <w:pPr>
        <w:ind w:left="424" w:right="40" w:hanging="424"/>
        <w:spacing w:after="0" w:line="247"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 the executive’s average annual bonus earned for the two calendar years ending immediately prior to the year of termination (for purposes of this table, 2018 and 2019), plus (B) a pro rata bonus for the year of termination based on performance for the year of termination (for purposes of this table, we have included the value of a full year’s bonus). This payment will also become due upon the executive’s resignation for good reason or Company nonrenewal of the executive’s employment agreement.</w:t>
      </w:r>
    </w:p>
    <w:p>
      <w:pPr>
        <w:spacing w:after="0" w:line="66"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outstanding RSUs, which would remain eligible to vest. One-third of the RSUs are fully vested as of the date hereof.</w:t>
      </w:r>
    </w:p>
    <w:p>
      <w:pPr>
        <w:spacing w:after="0" w:line="82" w:lineRule="exact"/>
        <w:rPr>
          <w:rFonts w:ascii="Arial" w:cs="Arial" w:eastAsia="Arial" w:hAnsi="Arial"/>
          <w:sz w:val="14"/>
          <w:szCs w:val="14"/>
          <w:color w:val="auto"/>
        </w:rPr>
      </w:pPr>
    </w:p>
    <w:p>
      <w:pPr>
        <w:ind w:left="424" w:right="40" w:hanging="424"/>
        <w:spacing w:after="0" w:line="222"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PRSUs granted in 2018 which the executive would be entitled to retain following termination based on days worked in the vesting period (with the first date of the vesting period being January 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of the year of grant). These PRSUs are fully settled as of the date hereof.</w:t>
      </w:r>
    </w:p>
    <w:p>
      <w:pPr>
        <w:ind w:left="424" w:right="180" w:hanging="424"/>
        <w:spacing w:after="0" w:line="222"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a pro-rated portion of outstanding PRSUs which the executive would be entitled to retain, based on days worked for the vesting period (with the first date of the vesting period being January 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of the year of grant), following termination. PRSUs granted in 2018 are fully settled as of the date hereof.</w:t>
      </w:r>
    </w:p>
    <w:p>
      <w:pPr>
        <w:ind w:left="424" w:right="180" w:hanging="424"/>
        <w:spacing w:after="0" w:line="247"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the Performance-Based Portion of any Options (as described above in the section titled “Fiscal 2020 Compensation Program in Detail — Long-Term Equity Incentives”) that were scheduled to vest in respect of calendar year 2020, which the executive would have been entitled to retain on a pro-rata basis based on days worked in 2020, and which would remain eligible to vest on the applicable performance-vesting date to the extent the EBITDA target and/or revenue target (as applicable) with respect to 2020 (the presumed year of retirement) was achieved. These options are fully vested as of the date hereof.</w:t>
      </w:r>
    </w:p>
    <w:p>
      <w:pPr>
        <w:spacing w:after="0" w:line="66" w:lineRule="exact"/>
        <w:rPr>
          <w:rFonts w:ascii="Arial" w:cs="Arial" w:eastAsia="Arial" w:hAnsi="Arial"/>
          <w:sz w:val="14"/>
          <w:szCs w:val="14"/>
          <w:color w:val="auto"/>
        </w:rPr>
      </w:pPr>
    </w:p>
    <w:p>
      <w:pPr>
        <w:ind w:left="424" w:right="60" w:hanging="424"/>
        <w:spacing w:after="0" w:line="25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(i) outstanding PRSUs granted in 2018 which would remain eligible to vest and (ii) all outstanding PRSUs granted in 2019 and 2020, which would become fully vested, in each case, on retirement. The PRSUs granted in 2018 are fully settled as of the date hereof.</w:t>
      </w:r>
    </w:p>
    <w:p>
      <w:pPr>
        <w:spacing w:after="0" w:line="58" w:lineRule="exact"/>
        <w:rPr>
          <w:rFonts w:ascii="Arial" w:cs="Arial" w:eastAsia="Arial" w:hAnsi="Arial"/>
          <w:sz w:val="14"/>
          <w:szCs w:val="14"/>
          <w:color w:val="auto"/>
        </w:rPr>
      </w:pPr>
    </w:p>
    <w:p>
      <w:pPr>
        <w:ind w:left="424" w:right="520" w:hanging="424"/>
        <w:spacing w:after="0" w:line="25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value of unvested options that would become fully vested on a change in control, assuming the applicable remaining EBITDA and revenue targets are deemed satisfied by the change in control. Half of these options are fully vested as of the date hereof.</w:t>
      </w:r>
    </w:p>
    <w:p>
      <w:pPr>
        <w:spacing w:after="0" w:line="58"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outstanding RSUs which would become fully vested on a change in control. One-third of the RSUs are fully vested as of the date hereof.</w:t>
      </w:r>
    </w:p>
    <w:p>
      <w:pPr>
        <w:spacing w:after="0" w:line="82" w:lineRule="exact"/>
        <w:rPr>
          <w:rFonts w:ascii="Arial" w:cs="Arial" w:eastAsia="Arial" w:hAnsi="Arial"/>
          <w:sz w:val="14"/>
          <w:szCs w:val="14"/>
          <w:color w:val="auto"/>
        </w:rPr>
      </w:pPr>
    </w:p>
    <w:p>
      <w:pPr>
        <w:jc w:val="both"/>
        <w:ind w:left="424" w:right="140" w:hanging="424"/>
        <w:spacing w:after="0" w:line="249"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(A) PRSUs granted in 2018 which would become fully vested in the event of a termination without cause within 6 months of a change in control, and (B) PRSUs granted in 2019 and 2020 which would become fully vested on a change in control. For purposes of this calculation, we have assumed the executive is terminated without cause in connection with a change in control on December 31, 2020 triggering vesting of all PRSUs outstanding on such date.</w:t>
      </w:r>
    </w:p>
    <w:p>
      <w:pPr>
        <w:spacing w:after="0" w:line="65"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12 months base salary continuation.</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excess costs of continued health benefits for the executive and the executive’s covered dependents under COBRA for one year following termination.</w:t>
      </w:r>
    </w:p>
    <w:p>
      <w:pPr>
        <w:spacing w:after="0" w:line="82" w:lineRule="exact"/>
        <w:rPr>
          <w:rFonts w:ascii="Arial" w:cs="Arial" w:eastAsia="Arial" w:hAnsi="Arial"/>
          <w:sz w:val="14"/>
          <w:szCs w:val="14"/>
          <w:color w:val="auto"/>
        </w:rPr>
      </w:pPr>
    </w:p>
    <w:p>
      <w:pPr>
        <w:ind w:left="424" w:right="20" w:hanging="424"/>
        <w:spacing w:after="0" w:line="249"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 the executive’s highest annual bonus earned for the two calendar years ending immediately prior to the year of termination (for purposes of this table, 2018 and 2019),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65" w:lineRule="exact"/>
        <w:rPr>
          <w:rFonts w:ascii="Arial" w:cs="Arial" w:eastAsia="Arial" w:hAnsi="Arial"/>
          <w:sz w:val="14"/>
          <w:szCs w:val="14"/>
          <w:color w:val="auto"/>
        </w:rPr>
      </w:pPr>
    </w:p>
    <w:p>
      <w:pPr>
        <w:ind w:left="424" w:right="340" w:hanging="424"/>
        <w:spacing w:after="0" w:line="25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continuation of healthcare benefits for eighteen months following termination. This payment will also become due upon the executive’s resignation for good reason or Company nonrenewal of the executive’s employment agreement.</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25"/>
          <w:szCs w:val="25"/>
          <w:color w:val="00ADD8"/>
        </w:rPr>
        <w:t>Pay Ratio Disclosure</w:t>
      </w:r>
    </w:p>
    <w:p>
      <w:pPr>
        <w:spacing w:after="0" w:line="102" w:lineRule="exact"/>
        <w:rPr>
          <w:sz w:val="20"/>
          <w:szCs w:val="20"/>
          <w:color w:val="auto"/>
        </w:rPr>
      </w:pPr>
    </w:p>
    <w:p>
      <w:pPr>
        <w:ind w:left="4" w:right="360"/>
        <w:spacing w:after="0" w:line="254" w:lineRule="auto"/>
        <w:rPr>
          <w:sz w:val="20"/>
          <w:szCs w:val="20"/>
          <w:color w:val="auto"/>
        </w:rPr>
      </w:pPr>
      <w:r>
        <w:rPr>
          <w:rFonts w:ascii="Arial" w:cs="Arial" w:eastAsia="Arial" w:hAnsi="Arial"/>
          <w:sz w:val="18"/>
          <w:szCs w:val="18"/>
          <w:color w:val="auto"/>
        </w:rPr>
        <w:t xml:space="preserve">In accordance with SEC rules and applying the methodology described below, we calculated the annual total compensation of our median employee (other than our CEO) for fiscal 2020 to be $203,964. As reported in the Summary Compensation Table in this Proxy Statement, the annual total compensation of our CEO for fiscal 2020 was $12,312,994. Based on this information, the ratio of the annual total compensation of our CEO to the annual total compensation of our median employee for fiscal 2020 was </w:t>
      </w:r>
      <w:r>
        <w:rPr>
          <w:rFonts w:ascii="Arial" w:cs="Arial" w:eastAsia="Arial" w:hAnsi="Arial"/>
          <w:sz w:val="18"/>
          <w:szCs w:val="18"/>
          <w:b w:val="1"/>
          <w:bCs w:val="1"/>
          <w:color w:val="auto"/>
        </w:rPr>
        <w:t>60:1</w:t>
      </w:r>
      <w:r>
        <w:rPr>
          <w:rFonts w:ascii="Arial" w:cs="Arial" w:eastAsia="Arial" w:hAnsi="Arial"/>
          <w:sz w:val="18"/>
          <w:szCs w:val="18"/>
          <w:color w:val="auto"/>
        </w:rPr>
        <w:t>.</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identify our median employee, we used the following methodology:</w:t>
      </w:r>
    </w:p>
    <w:p>
      <w:pPr>
        <w:spacing w:after="0" w:line="116" w:lineRule="exact"/>
        <w:rPr>
          <w:sz w:val="20"/>
          <w:szCs w:val="20"/>
          <w:color w:val="auto"/>
        </w:rPr>
      </w:pPr>
    </w:p>
    <w:p>
      <w:pPr>
        <w:ind w:left="424" w:hanging="208"/>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determined our median employee based on our entire employee population as of December 31, 2020.</w:t>
      </w:r>
    </w:p>
    <w:p>
      <w:pPr>
        <w:spacing w:after="0" w:line="23" w:lineRule="exact"/>
        <w:rPr>
          <w:rFonts w:ascii="Arial" w:cs="Arial" w:eastAsia="Arial" w:hAnsi="Arial"/>
          <w:sz w:val="18"/>
          <w:szCs w:val="18"/>
          <w:color w:val="auto"/>
        </w:rPr>
      </w:pPr>
    </w:p>
    <w:p>
      <w:pPr>
        <w:ind w:left="424" w:right="140" w:hanging="208"/>
        <w:spacing w:after="0" w:line="250"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used a consistently applied compensation measure that included the sum of each employee’s base salary (including overtime earned in 2020), bonuses and commissions earned in 2020, and the grant date fair value of all equity granted in 2020.</w:t>
      </w:r>
    </w:p>
    <w:p>
      <w:pPr>
        <w:ind w:left="424" w:hanging="208"/>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annualized the base salaries for employees who were employed by us for less than the entire calendar year.</w:t>
      </w:r>
    </w:p>
    <w:p>
      <w:pPr>
        <w:spacing w:after="0" w:line="9" w:lineRule="exact"/>
        <w:rPr>
          <w:rFonts w:ascii="Arial" w:cs="Arial" w:eastAsia="Arial" w:hAnsi="Arial"/>
          <w:sz w:val="18"/>
          <w:szCs w:val="18"/>
          <w:color w:val="auto"/>
        </w:rPr>
      </w:pPr>
    </w:p>
    <w:p>
      <w:pPr>
        <w:ind w:left="424" w:hanging="208"/>
        <w:spacing w:after="0"/>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 paid in foreign currencies was converted to U.S. dollars based on the annual plan rate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0"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53</w:t>
            </w:r>
          </w:p>
        </w:tc>
      </w:tr>
    </w:tbl>
    <w:p>
      <w:pPr>
        <w:sectPr>
          <w:pgSz w:w="11900" w:h="16838" w:orient="portrait"/>
          <w:cols w:equalWidth="0" w:num="1">
            <w:col w:w="11024"/>
          </w:cols>
          <w:pgMar w:left="436" w:top="1157" w:right="439" w:bottom="1440" w:gutter="0" w:footer="0" w:header="0"/>
        </w:sectPr>
      </w:pPr>
    </w:p>
    <w:bookmarkStart w:id="56" w:name="page57"/>
    <w:bookmarkEnd w:id="56"/>
    <w:p>
      <w:pPr>
        <w:ind w:right="78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Using this approach, we identified our median employee and then calculated the annual total compensation of this employee for 2020 in accordance with the requirements of the Summary Compensation Table.</w:t>
      </w:r>
    </w:p>
    <w:p>
      <w:pPr>
        <w:spacing w:after="0" w:line="1" w:lineRule="exact"/>
        <w:rPr>
          <w:sz w:val="20"/>
          <w:szCs w:val="20"/>
          <w:color w:val="auto"/>
        </w:rPr>
      </w:pPr>
    </w:p>
    <w:p>
      <w:pPr>
        <w:ind w:right="240" w:firstLine="440"/>
        <w:spacing w:after="0" w:line="265"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 w:lineRule="exact"/>
        <w:rPr>
          <w:sz w:val="20"/>
          <w:szCs w:val="20"/>
          <w:color w:val="auto"/>
        </w:rPr>
      </w:pPr>
    </w:p>
    <w:p>
      <w:pPr>
        <w:ind w:right="80" w:firstLine="440"/>
        <w:spacing w:after="0" w:line="260" w:lineRule="auto"/>
        <w:rPr>
          <w:sz w:val="20"/>
          <w:szCs w:val="20"/>
          <w:color w:val="auto"/>
        </w:rPr>
      </w:pPr>
      <w:r>
        <w:rPr>
          <w:rFonts w:ascii="Arial" w:cs="Arial" w:eastAsia="Arial" w:hAnsi="Arial"/>
          <w:sz w:val="18"/>
          <w:szCs w:val="18"/>
          <w:i w:val="1"/>
          <w:iCs w:val="1"/>
          <w:color w:val="auto"/>
        </w:rPr>
        <w:t>This information is being provided for compliance purposes. Neither the Compensation Committee nor management of the Company used the pay ratio measure in making compensation decisions.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ADD8"/>
        </w:rPr>
        <w:t>Compensation of Directors</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Company’s Non-Employee Director Compensation Policy, each of Messrs. Pluta, Ganeles, Berns, and Hughes and Ms. Madoff is entitled to an annual retainer of $100,000 and an annual grant of restricted stock units of the Company with a value of $100,000 at the time of grant. For 2020, each of Messrs. Pluta and Ganeles and Ms. Madoff received a grant of 2,546 restricted stock units under the Equity Plan, which vested on the first anniversary of the date of grant. Mr. Berns received a grant of 2,188 restricted stock units in connection with his appointment to the Board in 2020, and Mr. Hughes received a grant of 1,373 restricted stock units in connection with his appointment to the Board in 2021. Murray Roos also joined the Board in March 2021 and does not receive any compensation for his services.</w:t>
      </w:r>
    </w:p>
    <w:p>
      <w:pPr>
        <w:spacing w:after="0" w:line="1" w:lineRule="exact"/>
        <w:rPr>
          <w:sz w:val="20"/>
          <w:szCs w:val="20"/>
          <w:color w:val="auto"/>
        </w:rPr>
      </w:pPr>
    </w:p>
    <w:p>
      <w:pPr>
        <w:ind w:right="200" w:firstLine="440"/>
        <w:spacing w:after="0" w:line="265" w:lineRule="auto"/>
        <w:rPr>
          <w:sz w:val="20"/>
          <w:szCs w:val="20"/>
          <w:color w:val="auto"/>
        </w:rPr>
      </w:pPr>
      <w:r>
        <w:rPr>
          <w:rFonts w:ascii="Arial" w:cs="Arial" w:eastAsia="Arial" w:hAnsi="Arial"/>
          <w:sz w:val="17"/>
          <w:szCs w:val="17"/>
          <w:color w:val="auto"/>
        </w:rPr>
        <w:t>In addition to the above,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Pursuant to the Company’s Non-Employee Director Compensation Policy, the non-employee committee chair for each of the audit, compensation and nominating and governance committees are entitled to additional annual retainers of $20,000, $15,000 and $10,000, respectively. Non-employee members of the audit, compensation and nominating and governance committees are entitled to additional annual retainers of $7,500, $5,000 and $4,000, respectively.</w:t>
      </w:r>
    </w:p>
    <w:p>
      <w:pPr>
        <w:spacing w:after="0" w:line="1" w:lineRule="exact"/>
        <w:rPr>
          <w:sz w:val="20"/>
          <w:szCs w:val="20"/>
          <w:color w:val="auto"/>
        </w:rPr>
      </w:pPr>
    </w:p>
    <w:p>
      <w:pPr>
        <w:ind w:right="500" w:firstLine="440"/>
        <w:spacing w:after="0" w:line="260" w:lineRule="auto"/>
        <w:rPr>
          <w:sz w:val="20"/>
          <w:szCs w:val="20"/>
          <w:color w:val="auto"/>
        </w:rPr>
      </w:pPr>
      <w:r>
        <w:rPr>
          <w:rFonts w:ascii="Arial" w:cs="Arial" w:eastAsia="Arial" w:hAnsi="Arial"/>
          <w:sz w:val="18"/>
          <w:szCs w:val="18"/>
          <w:color w:val="auto"/>
        </w:rPr>
        <w:t>The following table summarizes the compensation of the directors for the fiscal year ended December 31, 2020, except for Messrs. Hult and Olesky, whose compensation is summarized above in the table entitled “Summary Compensation Table.”</w:t>
      </w:r>
    </w:p>
    <w:p>
      <w:pPr>
        <w:sectPr>
          <w:pgSz w:w="11900" w:h="16838" w:orient="portrait"/>
          <w:cols w:equalWidth="0" w:num="1">
            <w:col w:w="11020"/>
          </w:cols>
          <w:pgMar w:left="440" w:top="1138" w:right="4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ADD8"/>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3"/>
          <w:szCs w:val="13"/>
          <w:color w:val="auto"/>
        </w:rPr>
        <w:t>Name</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Martin Brand</w:t>
      </w:r>
      <w:r>
        <w:rPr>
          <w:rFonts w:ascii="Arial" w:cs="Arial" w:eastAsia="Arial" w:hAnsi="Arial"/>
          <w:sz w:val="27"/>
          <w:szCs w:val="27"/>
          <w:color w:val="auto"/>
          <w:vertAlign w:val="superscript"/>
        </w:rPr>
        <w:t>(3)</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John Finley</w:t>
      </w:r>
      <w:r>
        <w:rPr>
          <w:rFonts w:ascii="Arial" w:cs="Arial" w:eastAsia="Arial" w:hAnsi="Arial"/>
          <w:sz w:val="27"/>
          <w:szCs w:val="2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485203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52035" cy="2057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Scott Ganeles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Paula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4852035"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52035"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Thomas Pluta</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Debra Walton</w:t>
      </w:r>
      <w:r>
        <w:rPr>
          <w:rFonts w:ascii="Arial" w:cs="Arial" w:eastAsia="Arial" w:hAnsi="Arial"/>
          <w:sz w:val="27"/>
          <w:szCs w:val="2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4852035"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52035" cy="2057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Brian West</w:t>
      </w:r>
      <w:r>
        <w:rPr>
          <w:rFonts w:ascii="Arial" w:cs="Arial" w:eastAsia="Arial" w:hAnsi="Arial"/>
          <w:sz w:val="27"/>
          <w:szCs w:val="27"/>
          <w:color w:val="auto"/>
          <w:vertAlign w:val="superscript"/>
        </w:rPr>
        <w:t>(3)</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Steven Berns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jc w:val="right"/>
              <w:ind w:right="165"/>
              <w:spacing w:after="0"/>
              <w:rPr>
                <w:sz w:val="20"/>
                <w:szCs w:val="20"/>
                <w:color w:val="auto"/>
              </w:rPr>
            </w:pPr>
            <w:r>
              <w:rPr>
                <w:rFonts w:ascii="Arial" w:cs="Arial" w:eastAsia="Arial" w:hAnsi="Arial"/>
                <w:sz w:val="13"/>
                <w:szCs w:val="13"/>
                <w:color w:val="auto"/>
              </w:rPr>
              <w:t>Fees Earned</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300" w:type="dxa"/>
            <w:vAlign w:val="bottom"/>
          </w:tcPr>
          <w:p>
            <w:pPr>
              <w:jc w:val="right"/>
              <w:ind w:right="165"/>
              <w:spacing w:after="0" w:line="135" w:lineRule="exact"/>
              <w:rPr>
                <w:sz w:val="20"/>
                <w:szCs w:val="20"/>
                <w:color w:val="auto"/>
              </w:rPr>
            </w:pPr>
            <w:r>
              <w:rPr>
                <w:rFonts w:ascii="Arial" w:cs="Arial" w:eastAsia="Arial" w:hAnsi="Arial"/>
                <w:sz w:val="13"/>
                <w:szCs w:val="13"/>
                <w:color w:val="auto"/>
              </w:rPr>
              <w:t>or Paid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300" w:type="dxa"/>
            <w:vAlign w:val="bottom"/>
          </w:tcPr>
          <w:p>
            <w:pPr>
              <w:jc w:val="right"/>
              <w:ind w:right="165"/>
              <w:spacing w:after="0" w:line="135" w:lineRule="exact"/>
              <w:rPr>
                <w:sz w:val="20"/>
                <w:szCs w:val="20"/>
                <w:color w:val="auto"/>
              </w:rPr>
            </w:pPr>
            <w:r>
              <w:rPr>
                <w:rFonts w:ascii="Arial" w:cs="Arial" w:eastAsia="Arial" w:hAnsi="Arial"/>
                <w:sz w:val="13"/>
                <w:szCs w:val="13"/>
                <w:color w:val="auto"/>
              </w:rPr>
              <w:t>in Cash</w:t>
            </w:r>
          </w:p>
        </w:tc>
        <w:tc>
          <w:tcPr>
            <w:tcW w:w="1100" w:type="dxa"/>
            <w:vAlign w:val="bottom"/>
          </w:tcPr>
          <w:p>
            <w:pPr>
              <w:jc w:val="right"/>
              <w:ind w:right="83"/>
              <w:spacing w:after="0" w:line="135" w:lineRule="exact"/>
              <w:rPr>
                <w:sz w:val="20"/>
                <w:szCs w:val="20"/>
                <w:color w:val="auto"/>
              </w:rPr>
            </w:pPr>
            <w:r>
              <w:rPr>
                <w:rFonts w:ascii="Arial" w:cs="Arial" w:eastAsia="Arial" w:hAnsi="Arial"/>
                <w:sz w:val="13"/>
                <w:szCs w:val="13"/>
                <w:color w:val="auto"/>
              </w:rPr>
              <w:t>Stock Awards</w:t>
            </w:r>
          </w:p>
        </w:tc>
        <w:tc>
          <w:tcPr>
            <w:tcW w:w="980" w:type="dxa"/>
            <w:vAlign w:val="bottom"/>
          </w:tcPr>
          <w:p>
            <w:pPr>
              <w:jc w:val="right"/>
              <w:ind w:right="143"/>
              <w:spacing w:after="0" w:line="135" w:lineRule="exact"/>
              <w:rPr>
                <w:sz w:val="20"/>
                <w:szCs w:val="20"/>
                <w:color w:val="auto"/>
              </w:rPr>
            </w:pPr>
            <w:r>
              <w:rPr>
                <w:rFonts w:ascii="Arial" w:cs="Arial" w:eastAsia="Arial" w:hAnsi="Arial"/>
                <w:sz w:val="13"/>
                <w:szCs w:val="13"/>
                <w:color w:val="auto"/>
              </w:rPr>
              <w:t>Total</w:t>
            </w:r>
          </w:p>
        </w:tc>
      </w:tr>
      <w:tr>
        <w:trPr>
          <w:trHeight w:val="161"/>
        </w:trPr>
        <w:tc>
          <w:tcPr>
            <w:tcW w:w="1300" w:type="dxa"/>
            <w:vAlign w:val="bottom"/>
          </w:tcPr>
          <w:p>
            <w:pPr>
              <w:jc w:val="right"/>
              <w:ind w:right="165"/>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(1)</w:t>
            </w:r>
          </w:p>
        </w:tc>
        <w:tc>
          <w:tcPr>
            <w:tcW w:w="1100" w:type="dxa"/>
            <w:vAlign w:val="bottom"/>
          </w:tcPr>
          <w:p>
            <w:pPr>
              <w:jc w:val="right"/>
              <w:ind w:right="83"/>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(2)</w:t>
            </w:r>
          </w:p>
        </w:tc>
        <w:tc>
          <w:tcPr>
            <w:tcW w:w="980" w:type="dxa"/>
            <w:vAlign w:val="bottom"/>
          </w:tcPr>
          <w:p>
            <w:pPr>
              <w:jc w:val="right"/>
              <w:ind w:right="143"/>
              <w:spacing w:after="0"/>
              <w:rPr>
                <w:sz w:val="20"/>
                <w:szCs w:val="20"/>
                <w:color w:val="auto"/>
              </w:rPr>
            </w:pPr>
            <w:r>
              <w:rPr>
                <w:rFonts w:ascii="Arial" w:cs="Arial" w:eastAsia="Arial" w:hAnsi="Arial"/>
                <w:sz w:val="13"/>
                <w:szCs w:val="13"/>
                <w:color w:val="auto"/>
              </w:rPr>
              <w:t>($)</w:t>
            </w:r>
          </w:p>
        </w:tc>
      </w:tr>
      <w:tr>
        <w:trPr>
          <w:trHeight w:val="305"/>
        </w:trPr>
        <w:tc>
          <w:tcPr>
            <w:tcW w:w="1300" w:type="dxa"/>
            <w:vAlign w:val="bottom"/>
            <w:tcBorders>
              <w:bottom w:val="single" w:sz="8" w:color="CCEEF7"/>
            </w:tcBorders>
            <w:shd w:val="clear" w:color="auto" w:fill="CCEEF7"/>
          </w:tcPr>
          <w:p>
            <w:pPr>
              <w:jc w:val="right"/>
              <w:ind w:right="16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7"/>
            </w:tcBorders>
            <w:shd w:val="clear" w:color="auto" w:fill="CCEEF7"/>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7"/>
            </w:tcBorders>
            <w:shd w:val="clear" w:color="auto" w:fill="CCEEF7"/>
          </w:tcPr>
          <w:p>
            <w:pPr>
              <w:jc w:val="right"/>
              <w:ind w:right="143"/>
              <w:spacing w:after="0"/>
              <w:rPr>
                <w:sz w:val="20"/>
                <w:szCs w:val="20"/>
                <w:color w:val="auto"/>
              </w:rPr>
            </w:pPr>
            <w:r>
              <w:rPr>
                <w:rFonts w:ascii="Arial" w:cs="Arial" w:eastAsia="Arial" w:hAnsi="Arial"/>
                <w:sz w:val="16"/>
                <w:szCs w:val="16"/>
                <w:color w:val="auto"/>
              </w:rPr>
              <w:t>—</w:t>
            </w:r>
          </w:p>
        </w:tc>
      </w:tr>
      <w:tr>
        <w:trPr>
          <w:trHeight w:val="264"/>
        </w:trPr>
        <w:tc>
          <w:tcPr>
            <w:tcW w:w="1300" w:type="dxa"/>
            <w:vAlign w:val="bottom"/>
          </w:tcPr>
          <w:p>
            <w:pPr>
              <w:jc w:val="right"/>
              <w:ind w:right="165"/>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w:t>
            </w:r>
          </w:p>
        </w:tc>
      </w:tr>
      <w:tr>
        <w:trPr>
          <w:trHeight w:val="60"/>
        </w:trPr>
        <w:tc>
          <w:tcPr>
            <w:tcW w:w="1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304"/>
        </w:trPr>
        <w:tc>
          <w:tcPr>
            <w:tcW w:w="1300" w:type="dxa"/>
            <w:vAlign w:val="bottom"/>
            <w:tcBorders>
              <w:bottom w:val="single" w:sz="8" w:color="CCEEF7"/>
            </w:tcBorders>
            <w:shd w:val="clear" w:color="auto" w:fill="CCEEF7"/>
          </w:tcPr>
          <w:p>
            <w:pPr>
              <w:jc w:val="right"/>
              <w:ind w:right="165"/>
              <w:spacing w:after="0"/>
              <w:rPr>
                <w:sz w:val="20"/>
                <w:szCs w:val="20"/>
                <w:color w:val="auto"/>
              </w:rPr>
            </w:pPr>
            <w:r>
              <w:rPr>
                <w:rFonts w:ascii="Arial" w:cs="Arial" w:eastAsia="Arial" w:hAnsi="Arial"/>
                <w:sz w:val="16"/>
                <w:szCs w:val="16"/>
                <w:color w:val="auto"/>
              </w:rPr>
              <w:t>112,500</w:t>
            </w:r>
          </w:p>
        </w:tc>
        <w:tc>
          <w:tcPr>
            <w:tcW w:w="1100" w:type="dxa"/>
            <w:vAlign w:val="bottom"/>
            <w:tcBorders>
              <w:bottom w:val="single" w:sz="8" w:color="CCEEF7"/>
            </w:tcBorders>
            <w:shd w:val="clear" w:color="auto" w:fill="CCEEF7"/>
          </w:tcPr>
          <w:p>
            <w:pPr>
              <w:jc w:val="right"/>
              <w:ind w:right="83"/>
              <w:spacing w:after="0"/>
              <w:rPr>
                <w:sz w:val="20"/>
                <w:szCs w:val="20"/>
                <w:color w:val="auto"/>
              </w:rPr>
            </w:pPr>
            <w:r>
              <w:rPr>
                <w:rFonts w:ascii="Arial" w:cs="Arial" w:eastAsia="Arial" w:hAnsi="Arial"/>
                <w:sz w:val="16"/>
                <w:szCs w:val="16"/>
                <w:color w:val="auto"/>
              </w:rPr>
              <w:t>100,000</w:t>
            </w:r>
          </w:p>
        </w:tc>
        <w:tc>
          <w:tcPr>
            <w:tcW w:w="980" w:type="dxa"/>
            <w:vAlign w:val="bottom"/>
            <w:tcBorders>
              <w:bottom w:val="single" w:sz="8" w:color="CCEEF7"/>
            </w:tcBorders>
            <w:shd w:val="clear" w:color="auto" w:fill="CCEEF7"/>
          </w:tcPr>
          <w:p>
            <w:pPr>
              <w:jc w:val="right"/>
              <w:ind w:right="143"/>
              <w:spacing w:after="0"/>
              <w:rPr>
                <w:sz w:val="20"/>
                <w:szCs w:val="20"/>
                <w:color w:val="auto"/>
              </w:rPr>
            </w:pPr>
            <w:r>
              <w:rPr>
                <w:rFonts w:ascii="Arial" w:cs="Arial" w:eastAsia="Arial" w:hAnsi="Arial"/>
                <w:sz w:val="16"/>
                <w:szCs w:val="16"/>
                <w:color w:val="auto"/>
              </w:rPr>
              <w:t>212,500</w:t>
            </w:r>
          </w:p>
        </w:tc>
      </w:tr>
      <w:tr>
        <w:trPr>
          <w:trHeight w:val="264"/>
        </w:trPr>
        <w:tc>
          <w:tcPr>
            <w:tcW w:w="1300" w:type="dxa"/>
            <w:vAlign w:val="bottom"/>
          </w:tcPr>
          <w:p>
            <w:pPr>
              <w:jc w:val="right"/>
              <w:ind w:right="165"/>
              <w:spacing w:after="0"/>
              <w:rPr>
                <w:sz w:val="20"/>
                <w:szCs w:val="20"/>
                <w:color w:val="auto"/>
              </w:rPr>
            </w:pPr>
            <w:r>
              <w:rPr>
                <w:rFonts w:ascii="Arial" w:cs="Arial" w:eastAsia="Arial" w:hAnsi="Arial"/>
                <w:sz w:val="16"/>
                <w:szCs w:val="16"/>
                <w:color w:val="auto"/>
              </w:rPr>
              <w:t>116,500</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100,000</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216,500</w:t>
            </w:r>
          </w:p>
        </w:tc>
      </w:tr>
      <w:tr>
        <w:trPr>
          <w:trHeight w:val="60"/>
        </w:trPr>
        <w:tc>
          <w:tcPr>
            <w:tcW w:w="1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304"/>
        </w:trPr>
        <w:tc>
          <w:tcPr>
            <w:tcW w:w="1300" w:type="dxa"/>
            <w:vAlign w:val="bottom"/>
            <w:tcBorders>
              <w:bottom w:val="single" w:sz="8" w:color="CCEEF7"/>
            </w:tcBorders>
            <w:shd w:val="clear" w:color="auto" w:fill="CCEEF7"/>
          </w:tcPr>
          <w:p>
            <w:pPr>
              <w:jc w:val="right"/>
              <w:ind w:right="165"/>
              <w:spacing w:after="0"/>
              <w:rPr>
                <w:sz w:val="20"/>
                <w:szCs w:val="20"/>
                <w:color w:val="auto"/>
              </w:rPr>
            </w:pPr>
            <w:r>
              <w:rPr>
                <w:rFonts w:ascii="Arial" w:cs="Arial" w:eastAsia="Arial" w:hAnsi="Arial"/>
                <w:sz w:val="16"/>
                <w:szCs w:val="16"/>
                <w:color w:val="auto"/>
              </w:rPr>
              <w:t>100,000</w:t>
            </w:r>
          </w:p>
        </w:tc>
        <w:tc>
          <w:tcPr>
            <w:tcW w:w="1100" w:type="dxa"/>
            <w:vAlign w:val="bottom"/>
            <w:tcBorders>
              <w:bottom w:val="single" w:sz="8" w:color="CCEEF7"/>
            </w:tcBorders>
            <w:shd w:val="clear" w:color="auto" w:fill="CCEEF7"/>
          </w:tcPr>
          <w:p>
            <w:pPr>
              <w:jc w:val="right"/>
              <w:ind w:right="83"/>
              <w:spacing w:after="0"/>
              <w:rPr>
                <w:sz w:val="20"/>
                <w:szCs w:val="20"/>
                <w:color w:val="auto"/>
              </w:rPr>
            </w:pPr>
            <w:r>
              <w:rPr>
                <w:rFonts w:ascii="Arial" w:cs="Arial" w:eastAsia="Arial" w:hAnsi="Arial"/>
                <w:sz w:val="16"/>
                <w:szCs w:val="16"/>
                <w:color w:val="auto"/>
              </w:rPr>
              <w:t>100,000</w:t>
            </w:r>
          </w:p>
        </w:tc>
        <w:tc>
          <w:tcPr>
            <w:tcW w:w="980" w:type="dxa"/>
            <w:vAlign w:val="bottom"/>
            <w:tcBorders>
              <w:bottom w:val="single" w:sz="8" w:color="CCEEF7"/>
            </w:tcBorders>
            <w:shd w:val="clear" w:color="auto" w:fill="CCEEF7"/>
          </w:tcPr>
          <w:p>
            <w:pPr>
              <w:jc w:val="right"/>
              <w:ind w:right="143"/>
              <w:spacing w:after="0"/>
              <w:rPr>
                <w:sz w:val="20"/>
                <w:szCs w:val="20"/>
                <w:color w:val="auto"/>
              </w:rPr>
            </w:pPr>
            <w:r>
              <w:rPr>
                <w:rFonts w:ascii="Arial" w:cs="Arial" w:eastAsia="Arial" w:hAnsi="Arial"/>
                <w:sz w:val="16"/>
                <w:szCs w:val="16"/>
                <w:color w:val="auto"/>
              </w:rPr>
              <w:t>200,000</w:t>
            </w:r>
          </w:p>
        </w:tc>
      </w:tr>
      <w:tr>
        <w:trPr>
          <w:trHeight w:val="264"/>
        </w:trPr>
        <w:tc>
          <w:tcPr>
            <w:tcW w:w="1300" w:type="dxa"/>
            <w:vAlign w:val="bottom"/>
          </w:tcPr>
          <w:p>
            <w:pPr>
              <w:jc w:val="right"/>
              <w:ind w:right="165"/>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w:t>
            </w:r>
          </w:p>
        </w:tc>
      </w:tr>
      <w:tr>
        <w:trPr>
          <w:trHeight w:val="60"/>
        </w:trPr>
        <w:tc>
          <w:tcPr>
            <w:tcW w:w="1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64"/>
        </w:trPr>
        <w:tc>
          <w:tcPr>
            <w:tcW w:w="1300" w:type="dxa"/>
            <w:vAlign w:val="bottom"/>
            <w:shd w:val="clear" w:color="auto" w:fill="CCEEF7"/>
          </w:tcPr>
          <w:p>
            <w:pPr>
              <w:jc w:val="right"/>
              <w:ind w:right="16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7"/>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7"/>
          </w:tcPr>
          <w:p>
            <w:pPr>
              <w:jc w:val="right"/>
              <w:ind w:right="143"/>
              <w:spacing w:after="0"/>
              <w:rPr>
                <w:sz w:val="20"/>
                <w:szCs w:val="20"/>
                <w:color w:val="auto"/>
              </w:rPr>
            </w:pPr>
            <w:r>
              <w:rPr>
                <w:rFonts w:ascii="Arial" w:cs="Arial" w:eastAsia="Arial" w:hAnsi="Arial"/>
                <w:sz w:val="16"/>
                <w:szCs w:val="16"/>
                <w:color w:val="auto"/>
              </w:rPr>
              <w:t>—</w:t>
            </w:r>
          </w:p>
        </w:tc>
      </w:tr>
      <w:tr>
        <w:trPr>
          <w:trHeight w:val="60"/>
        </w:trPr>
        <w:tc>
          <w:tcPr>
            <w:tcW w:w="1300" w:type="dxa"/>
            <w:vAlign w:val="bottom"/>
            <w:shd w:val="clear" w:color="auto" w:fill="CCEEF7"/>
          </w:tcPr>
          <w:p>
            <w:pPr>
              <w:spacing w:after="0"/>
              <w:rPr>
                <w:sz w:val="5"/>
                <w:szCs w:val="5"/>
                <w:color w:val="auto"/>
              </w:rPr>
            </w:pPr>
          </w:p>
        </w:tc>
        <w:tc>
          <w:tcPr>
            <w:tcW w:w="1100" w:type="dxa"/>
            <w:vAlign w:val="bottom"/>
            <w:shd w:val="clear" w:color="auto" w:fill="CCEEF7"/>
          </w:tcPr>
          <w:p>
            <w:pPr>
              <w:spacing w:after="0"/>
              <w:rPr>
                <w:sz w:val="5"/>
                <w:szCs w:val="5"/>
                <w:color w:val="auto"/>
              </w:rPr>
            </w:pPr>
          </w:p>
        </w:tc>
        <w:tc>
          <w:tcPr>
            <w:tcW w:w="980" w:type="dxa"/>
            <w:vAlign w:val="bottom"/>
            <w:shd w:val="clear" w:color="auto" w:fill="CCEEF7"/>
          </w:tcPr>
          <w:p>
            <w:pPr>
              <w:spacing w:after="0"/>
              <w:rPr>
                <w:sz w:val="5"/>
                <w:szCs w:val="5"/>
                <w:color w:val="auto"/>
              </w:rPr>
            </w:pPr>
          </w:p>
        </w:tc>
      </w:tr>
      <w:tr>
        <w:trPr>
          <w:trHeight w:val="264"/>
        </w:trPr>
        <w:tc>
          <w:tcPr>
            <w:tcW w:w="1300" w:type="dxa"/>
            <w:vAlign w:val="bottom"/>
          </w:tcPr>
          <w:p>
            <w:pPr>
              <w:jc w:val="right"/>
              <w:ind w:right="165"/>
              <w:spacing w:after="0"/>
              <w:rPr>
                <w:sz w:val="20"/>
                <w:szCs w:val="20"/>
                <w:color w:val="auto"/>
              </w:rPr>
            </w:pPr>
            <w:r>
              <w:rPr>
                <w:rFonts w:ascii="Arial" w:cs="Arial" w:eastAsia="Arial" w:hAnsi="Arial"/>
                <w:sz w:val="16"/>
                <w:szCs w:val="16"/>
                <w:color w:val="auto"/>
              </w:rPr>
              <w:t>89,341</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100,000</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189,341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-4445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-1607185</wp:posOffset>
            </wp:positionV>
            <wp:extent cx="6995160"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115570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380"/>
          </w:cols>
          <w:pgMar w:left="440" w:top="1138" w:right="439" w:bottom="1440" w:gutter="0" w:footer="0" w:header="0"/>
          <w:type w:val="continuous"/>
        </w:sectPr>
      </w:pPr>
    </w:p>
    <w:p>
      <w:pPr>
        <w:spacing w:after="0" w:line="57"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type w:val="continuous"/>
        </w:sectPr>
      </w:pPr>
    </w:p>
    <w:bookmarkStart w:id="57" w:name="page58"/>
    <w:bookmarkEnd w:id="57"/>
    <w:p>
      <w:pPr>
        <w:ind w:left="424" w:hanging="424"/>
        <w:spacing w:after="0"/>
        <w:tabs>
          <w:tab w:leader="none" w:pos="424" w:val="left"/>
        </w:tabs>
        <w:numPr>
          <w:ilvl w:val="0"/>
          <w:numId w:val="4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183515</wp:posOffset>
            </wp:positionV>
            <wp:extent cx="106299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45415"/>
                    </a:xfrm>
                    <a:prstGeom prst="rect">
                      <a:avLst/>
                    </a:prstGeom>
                    <a:noFill/>
                  </pic:spPr>
                </pic:pic>
              </a:graphicData>
            </a:graphic>
          </wp:anchor>
        </w:drawing>
        <w:t>Fees reflect the director’s service for a partial calendar year for Steven Berns.</w:t>
      </w:r>
    </w:p>
    <w:p>
      <w:pPr>
        <w:spacing w:after="0" w:line="82" w:lineRule="exact"/>
        <w:rPr>
          <w:rFonts w:ascii="Arial" w:cs="Arial" w:eastAsia="Arial" w:hAnsi="Arial"/>
          <w:sz w:val="14"/>
          <w:szCs w:val="14"/>
          <w:color w:val="auto"/>
        </w:rPr>
      </w:pPr>
    </w:p>
    <w:p>
      <w:pPr>
        <w:ind w:left="424" w:right="100" w:hanging="424"/>
        <w:spacing w:after="0" w:line="247" w:lineRule="auto"/>
        <w:tabs>
          <w:tab w:leader="none" w:pos="42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restricted stock unit awards computed in accordance with FASB ASC Topic 718. Details and assumptions used in calculating the grant date fair value of the restricted stock unit awards may be found in Note 12 — Stock-Based Compensation Plans to our consolidated financial statements in our Annual Report on Form 10-K for the fiscal year ended December 31, 2020. As of December 31, 2020, each of Messrs. Ganeles and Pluta and Ms. Madoff held 2,546 restricted stock units and Mr. Berns held 2,188 restricted stock units pursuant to the Equity Plan.</w:t>
      </w:r>
    </w:p>
    <w:p>
      <w:pPr>
        <w:spacing w:after="0" w:line="66" w:lineRule="exact"/>
        <w:rPr>
          <w:rFonts w:ascii="Arial" w:cs="Arial" w:eastAsia="Arial" w:hAnsi="Arial"/>
          <w:sz w:val="14"/>
          <w:szCs w:val="14"/>
          <w:color w:val="auto"/>
        </w:rPr>
      </w:pPr>
    </w:p>
    <w:p>
      <w:pPr>
        <w:ind w:left="424" w:hanging="424"/>
        <w:spacing w:after="0"/>
        <w:tabs>
          <w:tab w:leader="none" w:pos="424"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of Messrs. Brand, Finley, and West and Ms. Walton did not receive any individual compensation for their service on the Board or any committees for 2020.</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5"/>
          <w:szCs w:val="25"/>
          <w:color w:val="00ADD8"/>
        </w:rPr>
        <w:t>Securities Authorized for Issuance Under Equity Compensation Plans</w:t>
      </w:r>
    </w:p>
    <w:p>
      <w:pPr>
        <w:spacing w:after="0" w:line="102"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 following table provides information about shares of Class A common stock authorized for issuance under all of our equity compensation plans as of December 31, 2020:</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jc w:val="right"/>
              <w:ind w:right="154"/>
              <w:spacing w:after="0"/>
              <w:rPr>
                <w:sz w:val="20"/>
                <w:szCs w:val="20"/>
                <w:color w:val="auto"/>
              </w:rPr>
            </w:pPr>
            <w:r>
              <w:rPr>
                <w:rFonts w:ascii="Arial" w:cs="Arial" w:eastAsia="Arial" w:hAnsi="Arial"/>
                <w:sz w:val="13"/>
                <w:szCs w:val="13"/>
                <w:color w:val="auto"/>
              </w:rPr>
              <w:t>Number of</w:t>
            </w:r>
          </w:p>
        </w:tc>
      </w:tr>
      <w:tr>
        <w:trPr>
          <w:trHeight w:val="135"/>
        </w:trPr>
        <w:tc>
          <w:tcPr>
            <w:tcW w:w="7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securities</w:t>
            </w:r>
          </w:p>
        </w:tc>
      </w:tr>
      <w:tr>
        <w:trPr>
          <w:trHeight w:val="135"/>
        </w:trPr>
        <w:tc>
          <w:tcPr>
            <w:tcW w:w="7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remaining</w:t>
            </w:r>
          </w:p>
        </w:tc>
      </w:tr>
      <w:tr>
        <w:trPr>
          <w:trHeight w:val="135"/>
        </w:trPr>
        <w:tc>
          <w:tcPr>
            <w:tcW w:w="7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available for</w:t>
            </w:r>
          </w:p>
        </w:tc>
      </w:tr>
      <w:tr>
        <w:trPr>
          <w:trHeight w:val="135"/>
        </w:trPr>
        <w:tc>
          <w:tcPr>
            <w:tcW w:w="7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future</w:t>
            </w:r>
          </w:p>
        </w:tc>
      </w:tr>
      <w:tr>
        <w:trPr>
          <w:trHeight w:val="136"/>
        </w:trPr>
        <w:tc>
          <w:tcPr>
            <w:tcW w:w="7060" w:type="dxa"/>
            <w:vAlign w:val="bottom"/>
          </w:tcPr>
          <w:p>
            <w:pPr>
              <w:spacing w:after="0"/>
              <w:rPr>
                <w:sz w:val="11"/>
                <w:szCs w:val="11"/>
                <w:color w:val="auto"/>
              </w:rPr>
            </w:pPr>
          </w:p>
        </w:tc>
        <w:tc>
          <w:tcPr>
            <w:tcW w:w="1700" w:type="dxa"/>
            <w:vAlign w:val="bottom"/>
          </w:tcPr>
          <w:p>
            <w:pPr>
              <w:jc w:val="right"/>
              <w:ind w:right="333"/>
              <w:spacing w:after="0" w:line="136" w:lineRule="exact"/>
              <w:rPr>
                <w:sz w:val="20"/>
                <w:szCs w:val="20"/>
                <w:color w:val="auto"/>
              </w:rPr>
            </w:pPr>
            <w:r>
              <w:rPr>
                <w:rFonts w:ascii="Arial" w:cs="Arial" w:eastAsia="Arial" w:hAnsi="Arial"/>
                <w:sz w:val="13"/>
                <w:szCs w:val="13"/>
                <w:color w:val="auto"/>
              </w:rPr>
              <w:t>Number of</w:t>
            </w:r>
          </w:p>
        </w:tc>
        <w:tc>
          <w:tcPr>
            <w:tcW w:w="1160" w:type="dxa"/>
            <w:vAlign w:val="bottom"/>
          </w:tcPr>
          <w:p>
            <w:pPr>
              <w:jc w:val="right"/>
              <w:ind w:right="273"/>
              <w:spacing w:after="0" w:line="136" w:lineRule="exact"/>
              <w:rPr>
                <w:sz w:val="20"/>
                <w:szCs w:val="20"/>
                <w:color w:val="auto"/>
              </w:rPr>
            </w:pPr>
            <w:r>
              <w:rPr>
                <w:rFonts w:ascii="Arial" w:cs="Arial" w:eastAsia="Arial" w:hAnsi="Arial"/>
                <w:sz w:val="13"/>
                <w:szCs w:val="13"/>
                <w:color w:val="auto"/>
              </w:rPr>
              <w:t>Weighted-</w:t>
            </w:r>
          </w:p>
        </w:tc>
        <w:tc>
          <w:tcPr>
            <w:tcW w:w="1100" w:type="dxa"/>
            <w:vAlign w:val="bottom"/>
          </w:tcPr>
          <w:p>
            <w:pPr>
              <w:jc w:val="right"/>
              <w:ind w:right="154"/>
              <w:spacing w:after="0" w:line="136" w:lineRule="exact"/>
              <w:rPr>
                <w:sz w:val="20"/>
                <w:szCs w:val="20"/>
                <w:color w:val="auto"/>
              </w:rPr>
            </w:pPr>
            <w:r>
              <w:rPr>
                <w:rFonts w:ascii="Arial" w:cs="Arial" w:eastAsia="Arial" w:hAnsi="Arial"/>
                <w:sz w:val="13"/>
                <w:szCs w:val="13"/>
                <w:color w:val="auto"/>
              </w:rPr>
              <w:t>issuance</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securities to</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average</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under equity</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be issued upon</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exercise</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compensation</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exercise</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price of</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plans</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of outstanding</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outstanding</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(excluding</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options,</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options,</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securities</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warrants and</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warrants</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reflected in</w:t>
            </w:r>
          </w:p>
        </w:tc>
      </w:tr>
      <w:tr>
        <w:trPr>
          <w:trHeight w:val="135"/>
        </w:trPr>
        <w:tc>
          <w:tcPr>
            <w:tcW w:w="7060" w:type="dxa"/>
            <w:vAlign w:val="bottom"/>
          </w:tcPr>
          <w:p>
            <w:pPr>
              <w:spacing w:after="0"/>
              <w:rPr>
                <w:sz w:val="11"/>
                <w:szCs w:val="11"/>
                <w:color w:val="auto"/>
              </w:rPr>
            </w:pPr>
          </w:p>
        </w:tc>
        <w:tc>
          <w:tcPr>
            <w:tcW w:w="170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rights</w:t>
            </w:r>
          </w:p>
        </w:tc>
        <w:tc>
          <w:tcPr>
            <w:tcW w:w="11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and rights</w:t>
            </w:r>
          </w:p>
        </w:tc>
        <w:tc>
          <w:tcPr>
            <w:tcW w:w="1100" w:type="dxa"/>
            <w:vAlign w:val="bottom"/>
          </w:tcPr>
          <w:p>
            <w:pPr>
              <w:jc w:val="right"/>
              <w:ind w:right="154"/>
              <w:spacing w:after="0" w:line="135" w:lineRule="exact"/>
              <w:rPr>
                <w:sz w:val="20"/>
                <w:szCs w:val="20"/>
                <w:color w:val="auto"/>
              </w:rPr>
            </w:pPr>
            <w:r>
              <w:rPr>
                <w:rFonts w:ascii="Arial" w:cs="Arial" w:eastAsia="Arial" w:hAnsi="Arial"/>
                <w:sz w:val="13"/>
                <w:szCs w:val="13"/>
                <w:color w:val="auto"/>
              </w:rPr>
              <w:t>column (a))</w:t>
            </w:r>
          </w:p>
        </w:tc>
      </w:tr>
      <w:tr>
        <w:trPr>
          <w:trHeight w:val="174"/>
        </w:trPr>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Plan Category</w:t>
            </w:r>
          </w:p>
        </w:tc>
        <w:tc>
          <w:tcPr>
            <w:tcW w:w="17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(a)</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(b)</w:t>
            </w: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(c)</w:t>
            </w:r>
          </w:p>
        </w:tc>
      </w:tr>
      <w:tr>
        <w:trPr>
          <w:trHeight w:val="305"/>
        </w:trPr>
        <w:tc>
          <w:tcPr>
            <w:tcW w:w="7060" w:type="dxa"/>
            <w:vAlign w:val="bottom"/>
            <w:shd w:val="clear" w:color="auto" w:fill="CCEEF7"/>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700" w:type="dxa"/>
            <w:vAlign w:val="bottom"/>
            <w:shd w:val="clear" w:color="auto" w:fill="CCEEF7"/>
          </w:tcPr>
          <w:p>
            <w:pPr>
              <w:jc w:val="right"/>
              <w:ind w:right="153"/>
              <w:spacing w:after="0" w:line="305" w:lineRule="exact"/>
              <w:rPr>
                <w:sz w:val="20"/>
                <w:szCs w:val="20"/>
                <w:color w:val="auto"/>
              </w:rPr>
            </w:pPr>
            <w:r>
              <w:rPr>
                <w:rFonts w:ascii="Arial" w:cs="Arial" w:eastAsia="Arial" w:hAnsi="Arial"/>
                <w:sz w:val="16"/>
                <w:szCs w:val="16"/>
                <w:color w:val="auto"/>
              </w:rPr>
              <w:t>12,731,282</w:t>
            </w:r>
            <w:r>
              <w:rPr>
                <w:rFonts w:ascii="Arial" w:cs="Arial" w:eastAsia="Arial" w:hAnsi="Arial"/>
                <w:sz w:val="27"/>
                <w:szCs w:val="27"/>
                <w:color w:val="auto"/>
                <w:vertAlign w:val="superscript"/>
              </w:rPr>
              <w:t>(1)</w:t>
            </w:r>
          </w:p>
        </w:tc>
        <w:tc>
          <w:tcPr>
            <w:tcW w:w="1160" w:type="dxa"/>
            <w:vAlign w:val="bottom"/>
            <w:shd w:val="clear" w:color="auto" w:fill="CCEEF7"/>
          </w:tcPr>
          <w:p>
            <w:pPr>
              <w:jc w:val="right"/>
              <w:ind w:right="113"/>
              <w:spacing w:after="0" w:line="305" w:lineRule="exact"/>
              <w:rPr>
                <w:sz w:val="20"/>
                <w:szCs w:val="20"/>
                <w:color w:val="auto"/>
              </w:rPr>
            </w:pPr>
            <w:r>
              <w:rPr>
                <w:rFonts w:ascii="Arial" w:cs="Arial" w:eastAsia="Arial" w:hAnsi="Arial"/>
                <w:sz w:val="16"/>
                <w:szCs w:val="16"/>
                <w:color w:val="auto"/>
              </w:rPr>
              <w:t>$ 22.56</w:t>
            </w:r>
            <w:r>
              <w:rPr>
                <w:rFonts w:ascii="Arial" w:cs="Arial" w:eastAsia="Arial" w:hAnsi="Arial"/>
                <w:sz w:val="27"/>
                <w:szCs w:val="27"/>
                <w:color w:val="auto"/>
                <w:vertAlign w:val="superscript"/>
              </w:rPr>
              <w:t>(2)</w:t>
            </w:r>
          </w:p>
        </w:tc>
        <w:tc>
          <w:tcPr>
            <w:tcW w:w="1100" w:type="dxa"/>
            <w:vAlign w:val="bottom"/>
            <w:shd w:val="clear" w:color="auto" w:fill="CCEEF7"/>
          </w:tcPr>
          <w:p>
            <w:pPr>
              <w:jc w:val="right"/>
              <w:spacing w:after="0" w:line="305" w:lineRule="exact"/>
              <w:rPr>
                <w:sz w:val="20"/>
                <w:szCs w:val="20"/>
                <w:color w:val="auto"/>
              </w:rPr>
            </w:pPr>
            <w:r>
              <w:rPr>
                <w:rFonts w:ascii="Arial" w:cs="Arial" w:eastAsia="Arial" w:hAnsi="Arial"/>
                <w:sz w:val="16"/>
                <w:szCs w:val="16"/>
                <w:color w:val="auto"/>
              </w:rPr>
              <w:t>8,457,887</w:t>
            </w:r>
            <w:r>
              <w:rPr>
                <w:rFonts w:ascii="Arial" w:cs="Arial" w:eastAsia="Arial" w:hAnsi="Arial"/>
                <w:sz w:val="27"/>
                <w:szCs w:val="27"/>
                <w:color w:val="auto"/>
                <w:vertAlign w:val="superscript"/>
              </w:rPr>
              <w:t>(3)</w:t>
            </w:r>
          </w:p>
        </w:tc>
      </w:tr>
      <w:tr>
        <w:trPr>
          <w:trHeight w:val="264"/>
        </w:trPr>
        <w:tc>
          <w:tcPr>
            <w:tcW w:w="706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security holders</w:t>
            </w:r>
          </w:p>
        </w:tc>
        <w:tc>
          <w:tcPr>
            <w:tcW w:w="1700" w:type="dxa"/>
            <w:vAlign w:val="bottom"/>
          </w:tcPr>
          <w:p>
            <w:pPr>
              <w:jc w:val="right"/>
              <w:ind w:right="33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4"/>
              <w:spacing w:after="0"/>
              <w:rPr>
                <w:sz w:val="20"/>
                <w:szCs w:val="20"/>
                <w:color w:val="auto"/>
              </w:rPr>
            </w:pPr>
            <w:r>
              <w:rPr>
                <w:rFonts w:ascii="Arial" w:cs="Arial" w:eastAsia="Arial" w:hAnsi="Arial"/>
                <w:sz w:val="16"/>
                <w:szCs w:val="16"/>
                <w:color w:val="auto"/>
              </w:rPr>
              <w:t>—</w:t>
            </w:r>
          </w:p>
        </w:tc>
      </w:tr>
      <w:tr>
        <w:trPr>
          <w:trHeight w:val="60"/>
        </w:trPr>
        <w:tc>
          <w:tcPr>
            <w:tcW w:w="7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63"/>
        </w:trPr>
        <w:tc>
          <w:tcPr>
            <w:tcW w:w="706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7"/>
          </w:tcPr>
          <w:p>
            <w:pPr>
              <w:jc w:val="right"/>
              <w:ind w:right="333"/>
              <w:spacing w:after="0"/>
              <w:rPr>
                <w:sz w:val="20"/>
                <w:szCs w:val="20"/>
                <w:color w:val="auto"/>
              </w:rPr>
            </w:pPr>
            <w:r>
              <w:rPr>
                <w:rFonts w:ascii="Arial" w:cs="Arial" w:eastAsia="Arial" w:hAnsi="Arial"/>
                <w:sz w:val="16"/>
                <w:szCs w:val="16"/>
                <w:color w:val="auto"/>
              </w:rPr>
              <w:t>12,731,282</w:t>
            </w:r>
          </w:p>
        </w:tc>
        <w:tc>
          <w:tcPr>
            <w:tcW w:w="1160" w:type="dxa"/>
            <w:vAlign w:val="bottom"/>
            <w:tcBorders>
              <w:bottom w:val="single" w:sz="8" w:color="auto"/>
            </w:tcBorders>
            <w:shd w:val="clear" w:color="auto" w:fill="CCEEF7"/>
          </w:tcPr>
          <w:p>
            <w:pPr>
              <w:jc w:val="right"/>
              <w:ind w:right="273"/>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7"/>
          </w:tcPr>
          <w:p>
            <w:pPr>
              <w:jc w:val="right"/>
              <w:ind w:right="154"/>
              <w:spacing w:after="0"/>
              <w:rPr>
                <w:sz w:val="20"/>
                <w:szCs w:val="20"/>
                <w:color w:val="auto"/>
              </w:rPr>
            </w:pPr>
            <w:r>
              <w:rPr>
                <w:rFonts w:ascii="Arial" w:cs="Arial" w:eastAsia="Arial" w:hAnsi="Arial"/>
                <w:sz w:val="16"/>
                <w:szCs w:val="16"/>
                <w:color w:val="auto"/>
              </w:rPr>
              <w:t>8,457,887</w:t>
            </w:r>
          </w:p>
        </w:tc>
      </w:tr>
    </w:tbl>
    <w:p>
      <w:pPr>
        <w:spacing w:after="0" w:line="248" w:lineRule="exact"/>
        <w:rPr>
          <w:sz w:val="20"/>
          <w:szCs w:val="20"/>
          <w:color w:val="auto"/>
        </w:rPr>
      </w:pPr>
    </w:p>
    <w:p>
      <w:pPr>
        <w:ind w:left="424" w:right="40" w:hanging="424"/>
        <w:spacing w:after="0" w:line="245" w:lineRule="auto"/>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493,878 shares of common stock that may be issued pursuant to outstanding RSUs and 360,609 shares of common stock that may be issued pursuant to outstanding PRSUs under the Equity Plan; 9,241,883 shares of common stock that may be issued pursuant to outstanding stock options under the Option Plan; and 2,634,912 shares of common stock that may be issued pursuant to outstanding PRSUs under the PRSU Plan. The number of PRSUs set forth above includes PRSUs for which performance has already been measured (and achieved based on the highest level of performance) but, as of December 31, 2020, remained subject to time-based vesting.</w:t>
      </w:r>
    </w:p>
    <w:p>
      <w:pPr>
        <w:spacing w:after="0" w:line="69" w:lineRule="exact"/>
        <w:rPr>
          <w:rFonts w:ascii="Arial" w:cs="Arial" w:eastAsia="Arial" w:hAnsi="Arial"/>
          <w:sz w:val="14"/>
          <w:szCs w:val="14"/>
          <w:color w:val="auto"/>
        </w:rPr>
      </w:pPr>
    </w:p>
    <w:p>
      <w:pPr>
        <w:ind w:left="424" w:hanging="424"/>
        <w:spacing w:after="0"/>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RSU or PRSU awards.</w:t>
      </w:r>
    </w:p>
    <w:p>
      <w:pPr>
        <w:spacing w:after="0" w:line="82" w:lineRule="exact"/>
        <w:rPr>
          <w:rFonts w:ascii="Arial" w:cs="Arial" w:eastAsia="Arial" w:hAnsi="Arial"/>
          <w:sz w:val="14"/>
          <w:szCs w:val="14"/>
          <w:color w:val="auto"/>
        </w:rPr>
      </w:pPr>
    </w:p>
    <w:p>
      <w:pPr>
        <w:ind w:left="424" w:right="120" w:hanging="424"/>
        <w:spacing w:after="0" w:line="258" w:lineRule="auto"/>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7,976,265 shares of common stock that remain available for issuance under the Equity Plan; and 481,622 shares of common stock that remain available for issuance under the Option Plan. No additional awards are permitted to be issued under the PRSU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55</w:t>
            </w:r>
          </w:p>
        </w:tc>
      </w:tr>
    </w:tbl>
    <w:p>
      <w:pPr>
        <w:sectPr>
          <w:pgSz w:w="11900" w:h="16838" w:orient="portrait"/>
          <w:cols w:equalWidth="0" w:num="1">
            <w:col w:w="11024"/>
          </w:cols>
          <w:pgMar w:left="436" w:top="1157" w:right="439" w:bottom="1440" w:gutter="0" w:footer="0" w:header="0"/>
        </w:sectPr>
      </w:pPr>
    </w:p>
    <w:bookmarkStart w:id="58" w:name="page59"/>
    <w:bookmarkEnd w:id="5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517390"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4517390" cy="257175"/>
                    </a:xfrm>
                    <a:prstGeom prst="rect">
                      <a:avLst/>
                    </a:prstGeom>
                    <a:noFill/>
                  </pic:spPr>
                </pic:pic>
              </a:graphicData>
            </a:graphic>
          </wp:anchor>
        </w:drawing>
        <w:t>The following is a description of transactions since January 1, 2020 to which we were a party in which the amount involved exceeded or will exceed $120,000, and in which any of our executive officers, directors, certain entities affiliated with the following clients: Barclays Capital Inc., Citigroup Global Markets Inc., Credit Suisse Securities (USA) LLC, Deutsche Bank Securities Inc., Goldman Sachs &amp; Co. LLC, J.P. Morgan Securities LLC, Morgan Stanley &amp; Co. LLC and Wells Fargo Securities, LLC which hold LLC Interests (collectively, the “Bank Stockholders”)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00ADD8"/>
        </w:rPr>
        <w:t>Transactions With Refinitiv/Thomson Reuters</w:t>
      </w:r>
    </w:p>
    <w:p>
      <w:pPr>
        <w:spacing w:after="0" w:line="10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We expect Refinitiv will continue to provide data and some insurance services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year ended December 31, 2020, we incurred fees of $2.4 million relating to this agreement.</w:t>
      </w:r>
    </w:p>
    <w:p>
      <w:pPr>
        <w:spacing w:after="0" w:line="1" w:lineRule="exact"/>
        <w:rPr>
          <w:sz w:val="20"/>
          <w:szCs w:val="20"/>
          <w:color w:val="auto"/>
        </w:rPr>
      </w:pPr>
    </w:p>
    <w:p>
      <w:pPr>
        <w:ind w:right="40" w:firstLine="440"/>
        <w:spacing w:after="0" w:line="250" w:lineRule="auto"/>
        <w:rPr>
          <w:sz w:val="20"/>
          <w:szCs w:val="20"/>
          <w:color w:val="auto"/>
        </w:rPr>
      </w:pPr>
      <w:r>
        <w:rPr>
          <w:rFonts w:ascii="Arial" w:cs="Arial" w:eastAsia="Arial" w:hAnsi="Arial"/>
          <w:sz w:val="18"/>
          <w:szCs w:val="18"/>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 ended December 31, 2020, we earned approximately $59.7 million of revenue under this agreement.</w:t>
      </w:r>
    </w:p>
    <w:p>
      <w:pPr>
        <w:spacing w:after="0" w:line="3" w:lineRule="exact"/>
        <w:rPr>
          <w:sz w:val="20"/>
          <w:szCs w:val="20"/>
          <w:color w:val="auto"/>
        </w:rPr>
      </w:pPr>
    </w:p>
    <w:p>
      <w:pPr>
        <w:ind w:right="200" w:firstLine="440"/>
        <w:spacing w:after="0" w:line="265" w:lineRule="auto"/>
        <w:rPr>
          <w:sz w:val="20"/>
          <w:szCs w:val="20"/>
          <w:color w:val="auto"/>
        </w:rPr>
      </w:pPr>
      <w:r>
        <w:rPr>
          <w:rFonts w:ascii="Arial" w:cs="Arial" w:eastAsia="Arial" w:hAnsi="Arial"/>
          <w:sz w:val="17"/>
          <w:szCs w:val="17"/>
          <w:color w:val="auto"/>
        </w:rPr>
        <w:t>We were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was subject to confidentiality obligations regarding both the nonpublic information of our business and the terms of those definitive agreements, subject to customary disclosure exceptions. In connection with the IPO, we terminated the master agreement and entered into a restrictive covenant agreement with affiliates of Refinitiv pursuant to which the non-compete restrictions of the master agreement, as modified, prohibited Refinitiv from establishing, investing in, or acting as primary business operator or manager of, an electronic trade execution platform for trading in fixed income securities or equity derivatives, subject to certain exceptions. As a result of the closing of the transaction with LSEG, the non-compete period was terminated as of January 29, 2021 in accordance with the terms of the restrictive covenant agreement.</w:t>
      </w:r>
    </w:p>
    <w:p>
      <w:pPr>
        <w:spacing w:after="0" w:line="1" w:lineRule="exact"/>
        <w:rPr>
          <w:sz w:val="20"/>
          <w:szCs w:val="20"/>
          <w:color w:val="auto"/>
        </w:rPr>
      </w:pPr>
    </w:p>
    <w:p>
      <w:pPr>
        <w:ind w:right="820" w:firstLine="440"/>
        <w:spacing w:after="0" w:line="255"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 ended December 31, 2020, we reimbursed such affiliates approximately $2.4 million for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327" w:right="439" w:bottom="1440" w:gutter="0" w:footer="0" w:header="0"/>
        </w:sectPr>
      </w:pPr>
    </w:p>
    <w:bookmarkStart w:id="59" w:name="page60"/>
    <w:bookmarkEnd w:id="59"/>
    <w:p>
      <w:pPr>
        <w:spacing w:after="0"/>
        <w:rPr>
          <w:sz w:val="20"/>
          <w:szCs w:val="20"/>
          <w:color w:val="auto"/>
        </w:rPr>
      </w:pPr>
      <w:r>
        <w:rPr>
          <w:rFonts w:ascii="Arial" w:cs="Arial" w:eastAsia="Arial" w:hAnsi="Arial"/>
          <w:sz w:val="25"/>
          <w:szCs w:val="25"/>
          <w:color w:val="00ADD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183515</wp:posOffset>
            </wp:positionV>
            <wp:extent cx="222885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45415"/>
                    </a:xfrm>
                    <a:prstGeom prst="rect">
                      <a:avLst/>
                    </a:prstGeom>
                    <a:noFill/>
                  </pic:spPr>
                </pic:pic>
              </a:graphicData>
            </a:graphic>
          </wp:anchor>
        </w:drawing>
        <w:t>Transactions With Executive Officers</w:t>
      </w:r>
    </w:p>
    <w:p>
      <w:pPr>
        <w:spacing w:after="0" w:line="1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used a portion of the net proceeds that we received from the April 2020 follow-on offering (the “April 2020 Offering”) to purchase issued and outstanding shares of Class A common stock (which shares of Class A common stock were cancelled) from certain of our executive officers, at a purchase price per share equal to $48.79 (the public offering price per share of our Class A common stock, less the underwriting discounts and commissions payable thereon). The following table sets forth the cash proceeds that such executive officers received from the purchase by us of such shares of Class A common stock with the net proceeds of the April 2020 Offering:</w:t>
      </w:r>
    </w:p>
    <w:p>
      <w:pPr>
        <w:sectPr>
          <w:pgSz w:w="11900" w:h="16838" w:orient="portrait"/>
          <w:cols w:equalWidth="0" w:num="1">
            <w:col w:w="11020"/>
          </w:cols>
          <w:pgMar w:left="440" w:top="115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3"/>
          <w:szCs w:val="13"/>
          <w:color w:val="auto"/>
        </w:rPr>
        <w:t>Name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Enrico Bruni</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657850"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William Hult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Simon Maisey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65785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Lee Olesky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James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657850"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Robert Warshaw</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Scott Zucker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jc w:val="right"/>
              <w:ind w:right="65"/>
              <w:spacing w:after="0"/>
              <w:rPr>
                <w:sz w:val="20"/>
                <w:szCs w:val="20"/>
                <w:color w:val="auto"/>
              </w:rPr>
            </w:pPr>
            <w:r>
              <w:rPr>
                <w:rFonts w:ascii="Arial" w:cs="Arial" w:eastAsia="Arial" w:hAnsi="Arial"/>
                <w:sz w:val="13"/>
                <w:szCs w:val="13"/>
                <w:color w:val="auto"/>
              </w:rPr>
              <w:t>Number of</w:t>
            </w:r>
          </w:p>
        </w:tc>
        <w:tc>
          <w:tcPr>
            <w:tcW w:w="1080" w:type="dxa"/>
            <w:vAlign w:val="bottom"/>
          </w:tcPr>
          <w:p>
            <w:pPr>
              <w:spacing w:after="0"/>
              <w:rPr>
                <w:sz w:val="13"/>
                <w:szCs w:val="13"/>
                <w:color w:val="auto"/>
              </w:rPr>
            </w:pPr>
          </w:p>
        </w:tc>
      </w:tr>
      <w:tr>
        <w:trPr>
          <w:trHeight w:val="135"/>
        </w:trPr>
        <w:tc>
          <w:tcPr>
            <w:tcW w:w="1040" w:type="dxa"/>
            <w:vAlign w:val="bottom"/>
          </w:tcPr>
          <w:p>
            <w:pPr>
              <w:jc w:val="right"/>
              <w:ind w:right="65"/>
              <w:spacing w:after="0" w:line="135" w:lineRule="exact"/>
              <w:rPr>
                <w:sz w:val="20"/>
                <w:szCs w:val="20"/>
                <w:color w:val="auto"/>
              </w:rPr>
            </w:pPr>
            <w:r>
              <w:rPr>
                <w:rFonts w:ascii="Arial" w:cs="Arial" w:eastAsia="Arial" w:hAnsi="Arial"/>
                <w:sz w:val="13"/>
                <w:szCs w:val="13"/>
                <w:color w:val="auto"/>
              </w:rPr>
              <w:t>Class A</w:t>
            </w:r>
          </w:p>
        </w:tc>
        <w:tc>
          <w:tcPr>
            <w:tcW w:w="1080" w:type="dxa"/>
            <w:vAlign w:val="bottom"/>
          </w:tcPr>
          <w:p>
            <w:pPr>
              <w:spacing w:after="0"/>
              <w:rPr>
                <w:sz w:val="11"/>
                <w:szCs w:val="11"/>
                <w:color w:val="auto"/>
              </w:rPr>
            </w:pPr>
          </w:p>
        </w:tc>
      </w:tr>
      <w:tr>
        <w:trPr>
          <w:trHeight w:val="135"/>
        </w:trPr>
        <w:tc>
          <w:tcPr>
            <w:tcW w:w="1040" w:type="dxa"/>
            <w:vAlign w:val="bottom"/>
          </w:tcPr>
          <w:p>
            <w:pPr>
              <w:jc w:val="right"/>
              <w:ind w:right="65"/>
              <w:spacing w:after="0" w:line="135" w:lineRule="exact"/>
              <w:rPr>
                <w:sz w:val="20"/>
                <w:szCs w:val="20"/>
                <w:color w:val="auto"/>
              </w:rPr>
            </w:pPr>
            <w:r>
              <w:rPr>
                <w:rFonts w:ascii="Arial" w:cs="Arial" w:eastAsia="Arial" w:hAnsi="Arial"/>
                <w:sz w:val="13"/>
                <w:szCs w:val="13"/>
                <w:color w:val="auto"/>
              </w:rPr>
              <w:t>shares</w:t>
            </w:r>
          </w:p>
        </w:tc>
        <w:tc>
          <w:tcPr>
            <w:tcW w:w="1080" w:type="dxa"/>
            <w:vAlign w:val="bottom"/>
          </w:tcPr>
          <w:p>
            <w:pPr>
              <w:jc w:val="right"/>
              <w:ind w:right="43"/>
              <w:spacing w:after="0" w:line="135" w:lineRule="exact"/>
              <w:rPr>
                <w:sz w:val="20"/>
                <w:szCs w:val="20"/>
                <w:color w:val="auto"/>
              </w:rPr>
            </w:pPr>
            <w:r>
              <w:rPr>
                <w:rFonts w:ascii="Arial" w:cs="Arial" w:eastAsia="Arial" w:hAnsi="Arial"/>
                <w:sz w:val="13"/>
                <w:szCs w:val="13"/>
                <w:color w:val="auto"/>
              </w:rPr>
              <w:t>Cash Proceeds</w:t>
            </w:r>
          </w:p>
        </w:tc>
      </w:tr>
      <w:tr>
        <w:trPr>
          <w:trHeight w:val="161"/>
        </w:trPr>
        <w:tc>
          <w:tcPr>
            <w:tcW w:w="1040" w:type="dxa"/>
            <w:vAlign w:val="bottom"/>
          </w:tcPr>
          <w:p>
            <w:pPr>
              <w:jc w:val="right"/>
              <w:ind w:right="65"/>
              <w:spacing w:after="0"/>
              <w:rPr>
                <w:sz w:val="20"/>
                <w:szCs w:val="20"/>
                <w:color w:val="auto"/>
              </w:rPr>
            </w:pPr>
            <w:r>
              <w:rPr>
                <w:rFonts w:ascii="Arial" w:cs="Arial" w:eastAsia="Arial" w:hAnsi="Arial"/>
                <w:sz w:val="13"/>
                <w:szCs w:val="13"/>
                <w:color w:val="auto"/>
              </w:rPr>
              <w:t>sold to us</w:t>
            </w:r>
          </w:p>
        </w:tc>
        <w:tc>
          <w:tcPr>
            <w:tcW w:w="1080" w:type="dxa"/>
            <w:vAlign w:val="bottom"/>
          </w:tcPr>
          <w:p>
            <w:pPr>
              <w:jc w:val="right"/>
              <w:ind w:right="43"/>
              <w:spacing w:after="0"/>
              <w:rPr>
                <w:sz w:val="20"/>
                <w:szCs w:val="20"/>
                <w:color w:val="auto"/>
              </w:rPr>
            </w:pPr>
            <w:r>
              <w:rPr>
                <w:rFonts w:ascii="Arial" w:cs="Arial" w:eastAsia="Arial" w:hAnsi="Arial"/>
                <w:sz w:val="13"/>
                <w:szCs w:val="13"/>
                <w:color w:val="auto"/>
              </w:rPr>
              <w:t>($)</w:t>
            </w:r>
          </w:p>
        </w:tc>
      </w:tr>
      <w:tr>
        <w:trPr>
          <w:trHeight w:val="305"/>
        </w:trPr>
        <w:tc>
          <w:tcPr>
            <w:tcW w:w="1040" w:type="dxa"/>
            <w:vAlign w:val="bottom"/>
            <w:tcBorders>
              <w:bottom w:val="single" w:sz="8" w:color="CCEEF7"/>
            </w:tcBorders>
            <w:shd w:val="clear" w:color="auto" w:fill="CCEEF7"/>
          </w:tcPr>
          <w:p>
            <w:pPr>
              <w:jc w:val="right"/>
              <w:ind w:right="65"/>
              <w:spacing w:after="0"/>
              <w:rPr>
                <w:sz w:val="20"/>
                <w:szCs w:val="20"/>
                <w:color w:val="auto"/>
              </w:rPr>
            </w:pPr>
            <w:r>
              <w:rPr>
                <w:rFonts w:ascii="Arial" w:cs="Arial" w:eastAsia="Arial" w:hAnsi="Arial"/>
                <w:sz w:val="16"/>
                <w:szCs w:val="16"/>
                <w:color w:val="auto"/>
              </w:rPr>
              <w:t>15,892</w:t>
            </w:r>
          </w:p>
        </w:tc>
        <w:tc>
          <w:tcPr>
            <w:tcW w:w="108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775,414</w:t>
            </w:r>
          </w:p>
        </w:tc>
      </w:tr>
      <w:tr>
        <w:trPr>
          <w:trHeight w:val="264"/>
        </w:trPr>
        <w:tc>
          <w:tcPr>
            <w:tcW w:w="1040" w:type="dxa"/>
            <w:vAlign w:val="bottom"/>
          </w:tcPr>
          <w:p>
            <w:pPr>
              <w:jc w:val="right"/>
              <w:ind w:right="65"/>
              <w:spacing w:after="0"/>
              <w:rPr>
                <w:sz w:val="20"/>
                <w:szCs w:val="20"/>
                <w:color w:val="auto"/>
              </w:rPr>
            </w:pPr>
            <w:r>
              <w:rPr>
                <w:rFonts w:ascii="Arial" w:cs="Arial" w:eastAsia="Arial" w:hAnsi="Arial"/>
                <w:sz w:val="16"/>
                <w:szCs w:val="16"/>
                <w:color w:val="auto"/>
              </w:rPr>
              <w:t>14,708</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717,644</w:t>
            </w:r>
          </w:p>
        </w:tc>
      </w:tr>
      <w:tr>
        <w:trPr>
          <w:trHeight w:val="60"/>
        </w:trPr>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04"/>
        </w:trPr>
        <w:tc>
          <w:tcPr>
            <w:tcW w:w="1040" w:type="dxa"/>
            <w:vAlign w:val="bottom"/>
            <w:tcBorders>
              <w:bottom w:val="single" w:sz="8" w:color="CCEEF7"/>
            </w:tcBorders>
            <w:shd w:val="clear" w:color="auto" w:fill="CCEEF7"/>
          </w:tcPr>
          <w:p>
            <w:pPr>
              <w:jc w:val="right"/>
              <w:ind w:right="65"/>
              <w:spacing w:after="0"/>
              <w:rPr>
                <w:sz w:val="20"/>
                <w:szCs w:val="20"/>
                <w:color w:val="auto"/>
              </w:rPr>
            </w:pPr>
            <w:r>
              <w:rPr>
                <w:rFonts w:ascii="Arial" w:cs="Arial" w:eastAsia="Arial" w:hAnsi="Arial"/>
                <w:sz w:val="16"/>
                <w:szCs w:val="16"/>
                <w:color w:val="auto"/>
              </w:rPr>
              <w:t>168,331</w:t>
            </w:r>
          </w:p>
        </w:tc>
        <w:tc>
          <w:tcPr>
            <w:tcW w:w="108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8,213,332</w:t>
            </w:r>
          </w:p>
        </w:tc>
      </w:tr>
      <w:tr>
        <w:trPr>
          <w:trHeight w:val="264"/>
        </w:trPr>
        <w:tc>
          <w:tcPr>
            <w:tcW w:w="1040" w:type="dxa"/>
            <w:vAlign w:val="bottom"/>
          </w:tcPr>
          <w:p>
            <w:pPr>
              <w:jc w:val="right"/>
              <w:ind w:right="65"/>
              <w:spacing w:after="0"/>
              <w:rPr>
                <w:sz w:val="20"/>
                <w:szCs w:val="20"/>
                <w:color w:val="auto"/>
              </w:rPr>
            </w:pPr>
            <w:r>
              <w:rPr>
                <w:rFonts w:ascii="Arial" w:cs="Arial" w:eastAsia="Arial" w:hAnsi="Arial"/>
                <w:sz w:val="16"/>
                <w:szCs w:val="16"/>
                <w:color w:val="auto"/>
              </w:rPr>
              <w:t>37,770</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1,842,902</w:t>
            </w:r>
          </w:p>
        </w:tc>
      </w:tr>
      <w:tr>
        <w:trPr>
          <w:trHeight w:val="60"/>
        </w:trPr>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04"/>
        </w:trPr>
        <w:tc>
          <w:tcPr>
            <w:tcW w:w="1040" w:type="dxa"/>
            <w:vAlign w:val="bottom"/>
            <w:tcBorders>
              <w:bottom w:val="single" w:sz="8" w:color="CCEEF7"/>
            </w:tcBorders>
            <w:shd w:val="clear" w:color="auto" w:fill="CCEEF7"/>
          </w:tcPr>
          <w:p>
            <w:pPr>
              <w:jc w:val="right"/>
              <w:ind w:right="65"/>
              <w:spacing w:after="0"/>
              <w:rPr>
                <w:sz w:val="20"/>
                <w:szCs w:val="20"/>
                <w:color w:val="auto"/>
              </w:rPr>
            </w:pPr>
            <w:r>
              <w:rPr>
                <w:rFonts w:ascii="Arial" w:cs="Arial" w:eastAsia="Arial" w:hAnsi="Arial"/>
                <w:sz w:val="16"/>
                <w:szCs w:val="16"/>
                <w:color w:val="auto"/>
              </w:rPr>
              <w:t>280,552</w:t>
            </w:r>
          </w:p>
        </w:tc>
        <w:tc>
          <w:tcPr>
            <w:tcW w:w="108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13,688,904</w:t>
            </w:r>
          </w:p>
        </w:tc>
      </w:tr>
      <w:tr>
        <w:trPr>
          <w:trHeight w:val="264"/>
        </w:trPr>
        <w:tc>
          <w:tcPr>
            <w:tcW w:w="1040" w:type="dxa"/>
            <w:vAlign w:val="bottom"/>
          </w:tcPr>
          <w:p>
            <w:pPr>
              <w:jc w:val="right"/>
              <w:ind w:right="65"/>
              <w:spacing w:after="0"/>
              <w:rPr>
                <w:sz w:val="20"/>
                <w:szCs w:val="20"/>
                <w:color w:val="auto"/>
              </w:rPr>
            </w:pPr>
            <w:r>
              <w:rPr>
                <w:rFonts w:ascii="Arial" w:cs="Arial" w:eastAsia="Arial" w:hAnsi="Arial"/>
                <w:sz w:val="16"/>
                <w:szCs w:val="16"/>
                <w:color w:val="auto"/>
              </w:rPr>
              <w:t>27,986</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1,365,514</w:t>
            </w:r>
          </w:p>
        </w:tc>
      </w:tr>
      <w:tr>
        <w:trPr>
          <w:trHeight w:val="60"/>
        </w:trPr>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04"/>
        </w:trPr>
        <w:tc>
          <w:tcPr>
            <w:tcW w:w="1040" w:type="dxa"/>
            <w:vAlign w:val="bottom"/>
            <w:tcBorders>
              <w:bottom w:val="single" w:sz="8" w:color="CCEEF7"/>
            </w:tcBorders>
            <w:shd w:val="clear" w:color="auto" w:fill="CCEEF7"/>
          </w:tcPr>
          <w:p>
            <w:pPr>
              <w:jc w:val="right"/>
              <w:ind w:right="65"/>
              <w:spacing w:after="0"/>
              <w:rPr>
                <w:sz w:val="20"/>
                <w:szCs w:val="20"/>
                <w:color w:val="auto"/>
              </w:rPr>
            </w:pPr>
            <w:r>
              <w:rPr>
                <w:rFonts w:ascii="Arial" w:cs="Arial" w:eastAsia="Arial" w:hAnsi="Arial"/>
                <w:sz w:val="16"/>
                <w:szCs w:val="16"/>
                <w:color w:val="auto"/>
              </w:rPr>
              <w:t>36,471</w:t>
            </w:r>
          </w:p>
        </w:tc>
        <w:tc>
          <w:tcPr>
            <w:tcW w:w="1080" w:type="dxa"/>
            <w:vAlign w:val="bottom"/>
            <w:tcBorders>
              <w:bottom w:val="single" w:sz="8" w:color="CCEEF7"/>
            </w:tcBorders>
            <w:shd w:val="clear" w:color="auto" w:fill="CCEEF7"/>
          </w:tcPr>
          <w:p>
            <w:pPr>
              <w:jc w:val="right"/>
              <w:ind w:right="43"/>
              <w:spacing w:after="0"/>
              <w:rPr>
                <w:sz w:val="20"/>
                <w:szCs w:val="20"/>
                <w:color w:val="auto"/>
              </w:rPr>
            </w:pPr>
            <w:r>
              <w:rPr>
                <w:rFonts w:ascii="Arial" w:cs="Arial" w:eastAsia="Arial" w:hAnsi="Arial"/>
                <w:sz w:val="16"/>
                <w:szCs w:val="16"/>
                <w:color w:val="auto"/>
              </w:rPr>
              <w:t>1,779,520</w:t>
            </w:r>
          </w:p>
        </w:tc>
      </w:tr>
      <w:tr>
        <w:trPr>
          <w:trHeight w:val="264"/>
        </w:trPr>
        <w:tc>
          <w:tcPr>
            <w:tcW w:w="1040" w:type="dxa"/>
            <w:vAlign w:val="bottom"/>
          </w:tcPr>
          <w:p>
            <w:pPr>
              <w:jc w:val="right"/>
              <w:ind w:right="65"/>
              <w:spacing w:after="0"/>
              <w:rPr>
                <w:sz w:val="20"/>
                <w:szCs w:val="20"/>
                <w:color w:val="auto"/>
              </w:rPr>
            </w:pPr>
            <w:r>
              <w:rPr>
                <w:rFonts w:ascii="Arial" w:cs="Arial" w:eastAsia="Arial" w:hAnsi="Arial"/>
                <w:sz w:val="16"/>
                <w:szCs w:val="16"/>
                <w:color w:val="auto"/>
              </w:rPr>
              <w:t>14,708</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717,644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-5653405</wp:posOffset>
            </wp:positionH>
            <wp:positionV relativeFrom="paragraph">
              <wp:posOffset>-4445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-5653405</wp:posOffset>
            </wp:positionH>
            <wp:positionV relativeFrom="paragraph">
              <wp:posOffset>-1607185</wp:posOffset>
            </wp:positionV>
            <wp:extent cx="6995160"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120"/>
          </w:cols>
          <w:pgMar w:left="440" w:top="1154"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color w:val="00ADD8"/>
        </w:rPr>
        <w:t>Transactions With Blackstone</w:t>
      </w:r>
    </w:p>
    <w:p>
      <w:pPr>
        <w:spacing w:after="0" w:line="1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engaged Blackstone Advisory Partners L.P., an affiliate of Blackstone, to provide certain financial consulting services in connection with the April 2020 Offering for fees of $500,000. The underwriters reimbursed us for such fee.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ADD8"/>
        </w:rPr>
        <w:t>Related Party Transactions Entered Into in Connection With the IPO</w:t>
      </w:r>
    </w:p>
    <w:p>
      <w:pPr>
        <w:spacing w:after="0" w:line="1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TWM LLC Agreement</w:t>
      </w:r>
    </w:p>
    <w:p>
      <w:pPr>
        <w:spacing w:after="0" w:line="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operate our business through TWM LLC and its subsidiaries. In connection with the IPO, we and the owners of TWM LLC prior to the Reorganization Transactions (including the Refinitiv Owners, the Bank Stockholders and members of management, the “Original LLC Owners”) that received LLC Interests entered into TWM LLC’s fifth amended and restated limited liability company agreement, which we refer to as the “TWM LLC Agreement.” The operations of TWM LLC, and the rights and obligations of the holders of LLC Interests, are set forth in the TWM LLC Agreement.</w:t>
      </w:r>
    </w:p>
    <w:p>
      <w:pPr>
        <w:spacing w:after="0" w:line="2"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i w:val="1"/>
          <w:iCs w:val="1"/>
          <w:color w:val="auto"/>
        </w:rPr>
        <w:t xml:space="preserve">Appointment as Manager. </w:t>
      </w:r>
      <w:r>
        <w:rPr>
          <w:rFonts w:ascii="Arial" w:cs="Arial" w:eastAsia="Arial" w:hAnsi="Arial"/>
          <w:sz w:val="17"/>
          <w:szCs w:val="17"/>
          <w:color w:val="auto"/>
        </w:rPr>
        <w:t>Under the TWM LLC Agreement, we are a member and the sole manager of TWM LLC. As the sole manager, we are</w:t>
      </w:r>
      <w:r>
        <w:rPr>
          <w:rFonts w:ascii="Arial" w:cs="Arial" w:eastAsia="Arial" w:hAnsi="Arial"/>
          <w:sz w:val="17"/>
          <w:szCs w:val="17"/>
          <w:i w:val="1"/>
          <w:iCs w:val="1"/>
          <w:color w:val="auto"/>
        </w:rPr>
        <w:t xml:space="preserve"> </w:t>
      </w:r>
      <w:r>
        <w:rPr>
          <w:rFonts w:ascii="Arial" w:cs="Arial" w:eastAsia="Arial" w:hAnsi="Arial"/>
          <w:sz w:val="17"/>
          <w:szCs w:val="17"/>
          <w:color w:val="auto"/>
        </w:rPr>
        <w:t>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57</w:t>
            </w:r>
          </w:p>
        </w:tc>
      </w:tr>
    </w:tbl>
    <w:p>
      <w:pPr>
        <w:sectPr>
          <w:pgSz w:w="11900" w:h="16838" w:orient="portrait"/>
          <w:cols w:equalWidth="0" w:num="1">
            <w:col w:w="11020"/>
          </w:cols>
          <w:pgMar w:left="440" w:top="1154" w:right="439" w:bottom="1440" w:gutter="0" w:footer="0" w:header="0"/>
          <w:type w:val="continuous"/>
        </w:sectPr>
      </w:pPr>
    </w:p>
    <w:bookmarkStart w:id="60" w:name="page61"/>
    <w:bookmarkEnd w:id="60"/>
    <w:p>
      <w:pPr>
        <w:ind w:right="380" w:firstLine="44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1996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2219960" cy="145415"/>
                    </a:xfrm>
                    <a:prstGeom prst="rect">
                      <a:avLst/>
                    </a:prstGeom>
                    <a:noFill/>
                  </pic:spPr>
                </pic:pic>
              </a:graphicData>
            </a:graphic>
          </wp:anchor>
        </w:drawing>
        <w:t xml:space="preserve">Compensation. </w:t>
      </w:r>
      <w:r>
        <w:rPr>
          <w:rFonts w:ascii="Arial" w:cs="Arial" w:eastAsia="Arial" w:hAnsi="Arial"/>
          <w:sz w:val="16"/>
          <w:szCs w:val="16"/>
          <w:color w:val="auto"/>
        </w:rPr>
        <w:t>We are not entitled to compensation for our services as manager. We are entitled to reimbursement by TWM LLC for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incurred on behalf of TWM LLC, including all expenses associated with the IPO and maintaining our existence as a separate legal entity.</w:t>
      </w:r>
    </w:p>
    <w:p>
      <w:pPr>
        <w:ind w:right="100" w:firstLine="440"/>
        <w:spacing w:after="0" w:line="265" w:lineRule="auto"/>
        <w:rPr>
          <w:sz w:val="20"/>
          <w:szCs w:val="20"/>
          <w:color w:val="auto"/>
        </w:rPr>
      </w:pPr>
      <w:r>
        <w:rPr>
          <w:rFonts w:ascii="Arial" w:cs="Arial" w:eastAsia="Arial" w:hAnsi="Arial"/>
          <w:sz w:val="17"/>
          <w:szCs w:val="17"/>
          <w:i w:val="1"/>
          <w:iCs w:val="1"/>
          <w:color w:val="auto"/>
        </w:rPr>
        <w:t xml:space="preserve">Recapitalization. </w:t>
      </w:r>
      <w:r>
        <w:rPr>
          <w:rFonts w:ascii="Arial" w:cs="Arial" w:eastAsia="Arial" w:hAnsi="Arial"/>
          <w:sz w:val="17"/>
          <w:szCs w:val="17"/>
          <w:color w:val="auto"/>
        </w:rPr>
        <w:t>The TWM LLC Agreement recapitalized the units held by the members of TWM LLC at the time of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1" w:lineRule="exact"/>
        <w:rPr>
          <w:sz w:val="20"/>
          <w:szCs w:val="20"/>
          <w:color w:val="auto"/>
        </w:rPr>
      </w:pPr>
    </w:p>
    <w:p>
      <w:pPr>
        <w:ind w:right="40" w:firstLine="440"/>
        <w:spacing w:after="0" w:line="265"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requires TWM LLC to make distributions to its members, on a pro</w:t>
      </w:r>
      <w:r>
        <w:rPr>
          <w:rFonts w:ascii="Arial" w:cs="Arial" w:eastAsia="Arial" w:hAnsi="Arial"/>
          <w:sz w:val="17"/>
          <w:szCs w:val="17"/>
          <w:i w:val="1"/>
          <w:iCs w:val="1"/>
          <w:color w:val="auto"/>
        </w:rPr>
        <w:t xml:space="preserve"> </w:t>
      </w:r>
      <w:r>
        <w:rPr>
          <w:rFonts w:ascii="Arial" w:cs="Arial" w:eastAsia="Arial" w:hAnsi="Arial"/>
          <w:sz w:val="17"/>
          <w:szCs w:val="17"/>
          <w:color w:val="auto"/>
        </w:rPr>
        <w:t>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2" w:lineRule="exact"/>
        <w:rPr>
          <w:sz w:val="20"/>
          <w:szCs w:val="20"/>
          <w:color w:val="auto"/>
        </w:rPr>
      </w:pPr>
    </w:p>
    <w:p>
      <w:pPr>
        <w:ind w:right="20" w:firstLine="440"/>
        <w:spacing w:after="0" w:line="266"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Subject to certain restrictions set forth therein, the TWM LLC Agreement provides a redemption right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61" w:name="page62"/>
    <w:bookmarkEnd w:id="61"/>
    <w:p>
      <w:pPr>
        <w:ind w:left="4" w:right="40" w:firstLine="440"/>
        <w:spacing w:after="0" w:line="26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183515</wp:posOffset>
            </wp:positionV>
            <wp:extent cx="222885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45415"/>
                    </a:xfrm>
                    <a:prstGeom prst="rect">
                      <a:avLst/>
                    </a:prstGeom>
                    <a:noFill/>
                  </pic:spPr>
                </pic:pic>
              </a:graphicData>
            </a:graphic>
          </wp:anchor>
        </w:drawing>
        <w:t xml:space="preserve">Issuance of LLC Interests Upon Exercise of Options or Issuance of Other Equity Compensation. </w:t>
      </w:r>
      <w:r>
        <w:rPr>
          <w:rFonts w:ascii="Arial" w:cs="Arial" w:eastAsia="Arial" w:hAnsi="Arial"/>
          <w:sz w:val="17"/>
          <w:szCs w:val="17"/>
          <w:color w:val="auto"/>
        </w:rPr>
        <w:t>Upon the exercise of options issued by us,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5" w:lineRule="exact"/>
        <w:rPr>
          <w:sz w:val="20"/>
          <w:szCs w:val="20"/>
          <w:color w:val="auto"/>
        </w:rPr>
      </w:pPr>
    </w:p>
    <w:p>
      <w:pPr>
        <w:ind w:left="4" w:right="180" w:firstLine="440"/>
        <w:spacing w:after="0" w:line="250" w:lineRule="auto"/>
        <w:rPr>
          <w:sz w:val="20"/>
          <w:szCs w:val="20"/>
          <w:color w:val="auto"/>
        </w:rPr>
      </w:pPr>
      <w:r>
        <w:rPr>
          <w:rFonts w:ascii="Arial" w:cs="Arial" w:eastAsia="Arial" w:hAnsi="Arial"/>
          <w:sz w:val="18"/>
          <w:szCs w:val="18"/>
          <w:i w:val="1"/>
          <w:iCs w:val="1"/>
          <w:color w:val="auto"/>
        </w:rPr>
        <w:t xml:space="preserve">Maintenance of one-to-one ratio of shares of Class A common stock, Class B common stock and LLC Interests owned by Tradeweb. </w:t>
      </w:r>
      <w:r>
        <w:rPr>
          <w:rFonts w:ascii="Arial" w:cs="Arial" w:eastAsia="Arial" w:hAnsi="Arial"/>
          <w:sz w:val="18"/>
          <w:szCs w:val="18"/>
          <w:color w:val="auto"/>
        </w:rPr>
        <w:t>The TWM</w:t>
      </w:r>
      <w:r>
        <w:rPr>
          <w:rFonts w:ascii="Arial" w:cs="Arial" w:eastAsia="Arial" w:hAnsi="Arial"/>
          <w:sz w:val="18"/>
          <w:szCs w:val="18"/>
          <w:i w:val="1"/>
          <w:iCs w:val="1"/>
          <w:color w:val="auto"/>
        </w:rPr>
        <w:t xml:space="preserve"> </w:t>
      </w:r>
      <w:r>
        <w:rPr>
          <w:rFonts w:ascii="Arial" w:cs="Arial" w:eastAsia="Arial" w:hAnsi="Arial"/>
          <w:sz w:val="18"/>
          <w:szCs w:val="18"/>
          <w:color w:val="auto"/>
        </w:rPr>
        <w:t>LLC Agreement requires that TWM LLC at all times maintain (x) a 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2" w:lineRule="exact"/>
        <w:rPr>
          <w:sz w:val="20"/>
          <w:szCs w:val="20"/>
          <w:color w:val="auto"/>
        </w:rPr>
      </w:pPr>
    </w:p>
    <w:p>
      <w:pPr>
        <w:ind w:left="4" w:right="80" w:firstLine="440"/>
        <w:spacing w:after="0" w:line="250"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 members, subject to limited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Any transferee of LLC Interests must assume, by operation of law or written agreement, all of the obligations of a transferring member with respect to the transferred units, even if the transferee is not admitted as a member of TWM LLC.</w:t>
      </w:r>
    </w:p>
    <w:p>
      <w:pPr>
        <w:spacing w:after="0" w:line="1" w:lineRule="exact"/>
        <w:rPr>
          <w:sz w:val="20"/>
          <w:szCs w:val="20"/>
          <w:color w:val="auto"/>
        </w:rPr>
      </w:pPr>
    </w:p>
    <w:p>
      <w:pPr>
        <w:ind w:left="4" w:right="120" w:firstLine="440"/>
        <w:spacing w:after="0" w:line="250" w:lineRule="auto"/>
        <w:rPr>
          <w:sz w:val="20"/>
          <w:szCs w:val="20"/>
          <w:color w:val="auto"/>
        </w:rPr>
      </w:pPr>
      <w:r>
        <w:rPr>
          <w:rFonts w:ascii="Arial" w:cs="Arial" w:eastAsia="Arial" w:hAnsi="Arial"/>
          <w:sz w:val="18"/>
          <w:szCs w:val="18"/>
          <w:i w:val="1"/>
          <w:iCs w:val="1"/>
          <w:color w:val="auto"/>
        </w:rPr>
        <w:t xml:space="preserve">Dissolution. </w:t>
      </w:r>
      <w:r>
        <w:rPr>
          <w:rFonts w:ascii="Arial" w:cs="Arial" w:eastAsia="Arial" w:hAnsi="Arial"/>
          <w:sz w:val="18"/>
          <w:szCs w:val="18"/>
          <w:color w:val="auto"/>
        </w:rPr>
        <w:t>The TWM LLC Agreement provides that the decision of the manager (pursuant to a unanimous decision of our Board)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agrees to maintain the confidentiality of TWM LLC’s confidential information. This obligation excludes</w:t>
      </w:r>
    </w:p>
    <w:p>
      <w:pPr>
        <w:spacing w:after="0" w:line="9" w:lineRule="exact"/>
        <w:rPr>
          <w:sz w:val="20"/>
          <w:szCs w:val="20"/>
          <w:color w:val="auto"/>
        </w:rPr>
      </w:pPr>
    </w:p>
    <w:p>
      <w:pPr>
        <w:jc w:val="both"/>
        <w:ind w:left="4" w:right="40" w:hanging="4"/>
        <w:spacing w:after="0" w:line="250"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1" w:lineRule="exact"/>
        <w:rPr>
          <w:rFonts w:ascii="Arial" w:cs="Arial" w:eastAsia="Arial" w:hAnsi="Arial"/>
          <w:sz w:val="18"/>
          <w:szCs w:val="18"/>
          <w:color w:val="auto"/>
        </w:rPr>
      </w:pPr>
    </w:p>
    <w:p>
      <w:pPr>
        <w:ind w:left="4" w:right="160" w:firstLine="440"/>
        <w:spacing w:after="0" w:line="292" w:lineRule="auto"/>
        <w:rPr>
          <w:rFonts w:ascii="Arial" w:cs="Arial" w:eastAsia="Arial" w:hAnsi="Arial"/>
          <w:sz w:val="18"/>
          <w:szCs w:val="18"/>
          <w:color w:val="auto"/>
        </w:rPr>
      </w:pPr>
      <w:r>
        <w:rPr>
          <w:rFonts w:ascii="Arial" w:cs="Arial" w:eastAsia="Arial" w:hAnsi="Arial"/>
          <w:sz w:val="16"/>
          <w:szCs w:val="16"/>
          <w:i w:val="1"/>
          <w:iCs w:val="1"/>
          <w:color w:val="auto"/>
        </w:rPr>
        <w:t xml:space="preserve">Indemnification and Exculpation. </w:t>
      </w:r>
      <w:r>
        <w:rPr>
          <w:rFonts w:ascii="Arial" w:cs="Arial" w:eastAsia="Arial" w:hAnsi="Arial"/>
          <w:sz w:val="16"/>
          <w:szCs w:val="16"/>
          <w:color w:val="auto"/>
        </w:rPr>
        <w:t>The TWM LLC Agreement provides for indemnification of the manager and officers of TWM LLC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6995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59</w:t>
            </w:r>
          </w:p>
        </w:tc>
      </w:tr>
    </w:tbl>
    <w:p>
      <w:pPr>
        <w:sectPr>
          <w:pgSz w:w="11900" w:h="16838" w:orient="portrait"/>
          <w:cols w:equalWidth="0" w:num="1">
            <w:col w:w="11024"/>
          </w:cols>
          <w:pgMar w:left="436" w:top="1138" w:right="439" w:bottom="1440" w:gutter="0" w:footer="0" w:header="0"/>
        </w:sectPr>
      </w:pPr>
    </w:p>
    <w:bookmarkStart w:id="62" w:name="page63"/>
    <w:bookmarkEnd w:id="62"/>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1996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2219960" cy="145415"/>
                    </a:xfrm>
                    <a:prstGeom prst="rect">
                      <a:avLst/>
                    </a:prstGeom>
                    <a:noFill/>
                  </pic:spPr>
                </pic:pic>
              </a:graphicData>
            </a:graphic>
          </wp:anchor>
        </w:drawing>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2"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 voting power of the outstanding LLC</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Tax Receivable Agreement</w:t>
      </w:r>
    </w:p>
    <w:p>
      <w:pPr>
        <w:spacing w:after="0" w:line="2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the October 2019 follow-on offering and the April 2020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2" w:lineRule="exact"/>
        <w:rPr>
          <w:sz w:val="20"/>
          <w:szCs w:val="20"/>
          <w:color w:val="auto"/>
        </w:rPr>
      </w:pPr>
    </w:p>
    <w:p>
      <w:pPr>
        <w:ind w:right="20" w:firstLine="440"/>
        <w:spacing w:after="0" w:line="281" w:lineRule="auto"/>
        <w:rPr>
          <w:sz w:val="20"/>
          <w:szCs w:val="20"/>
          <w:color w:val="auto"/>
        </w:rPr>
      </w:pPr>
      <w:r>
        <w:rPr>
          <w:rFonts w:ascii="Arial" w:cs="Arial" w:eastAsia="Arial" w:hAnsi="Arial"/>
          <w:sz w:val="16"/>
          <w:szCs w:val="16"/>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6" w:lineRule="exact"/>
        <w:rPr>
          <w:sz w:val="20"/>
          <w:szCs w:val="20"/>
          <w:color w:val="auto"/>
        </w:rPr>
      </w:pPr>
    </w:p>
    <w:p>
      <w:pPr>
        <w:ind w:right="260" w:firstLine="440"/>
        <w:spacing w:after="0" w:line="260"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91" w:lineRule="exact"/>
        <w:rPr>
          <w:sz w:val="20"/>
          <w:szCs w:val="20"/>
          <w:color w:val="auto"/>
        </w:rPr>
      </w:pPr>
    </w:p>
    <w:p>
      <w:pPr>
        <w:ind w:left="420" w:right="200" w:hanging="208"/>
        <w:spacing w:after="0" w:line="308"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60</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63" w:name="page64"/>
    <w:bookmarkEnd w:id="63"/>
    <w:p>
      <w:pPr>
        <w:ind w:left="420" w:right="40" w:hanging="208"/>
        <w:spacing w:after="0" w:line="291"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183515</wp:posOffset>
            </wp:positionV>
            <wp:extent cx="222885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45415"/>
                    </a:xfrm>
                    <a:prstGeom prst="rect">
                      <a:avLst/>
                    </a:prstGeom>
                    <a:noFill/>
                  </pic:spPr>
                </pic:pic>
              </a:graphicData>
            </a:graphic>
          </wp:anchor>
        </w:drawing>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ind w:left="420" w:right="20" w:hanging="208"/>
        <w:spacing w:after="0" w:line="252"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6"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1" w:lineRule="exact"/>
        <w:rPr>
          <w:sz w:val="20"/>
          <w:szCs w:val="20"/>
          <w:color w:val="auto"/>
        </w:rPr>
      </w:pPr>
    </w:p>
    <w:p>
      <w:pPr>
        <w:ind w:right="20" w:firstLine="440"/>
        <w:spacing w:after="0" w:line="250" w:lineRule="auto"/>
        <w:rPr>
          <w:sz w:val="20"/>
          <w:szCs w:val="20"/>
          <w:color w:val="auto"/>
        </w:rPr>
      </w:pPr>
      <w:r>
        <w:rPr>
          <w:rFonts w:ascii="Arial" w:cs="Arial" w:eastAsia="Arial" w:hAnsi="Arial"/>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Total amounts due to the Continuing LLC Owners as of December 31, 2020 under the Tax Receivable Agreement were $404.3 million, substantially all due over the fifteen years following the purchase of LLC Interests from Continuing LLC Owners or redemption or exchanges by Continuing LLC Owners of LLC Interests.</w:t>
      </w:r>
    </w:p>
    <w:p>
      <w:pPr>
        <w:spacing w:after="0" w:line="3" w:lineRule="exact"/>
        <w:rPr>
          <w:sz w:val="20"/>
          <w:szCs w:val="20"/>
          <w:color w:val="auto"/>
        </w:rPr>
      </w:pPr>
    </w:p>
    <w:p>
      <w:pPr>
        <w:jc w:val="both"/>
        <w:ind w:right="40" w:firstLine="440"/>
        <w:spacing w:after="0" w:line="250"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2" w:lineRule="exact"/>
        <w:rPr>
          <w:sz w:val="20"/>
          <w:szCs w:val="20"/>
          <w:color w:val="auto"/>
        </w:rPr>
      </w:pPr>
    </w:p>
    <w:p>
      <w:pPr>
        <w:ind w:right="20" w:firstLine="440"/>
        <w:spacing w:after="0" w:line="265" w:lineRule="auto"/>
        <w:rPr>
          <w:sz w:val="20"/>
          <w:szCs w:val="20"/>
          <w:color w:val="auto"/>
        </w:rPr>
      </w:pPr>
      <w:r>
        <w:rPr>
          <w:rFonts w:ascii="Arial" w:cs="Arial" w:eastAsia="Arial" w:hAnsi="Arial"/>
          <w:sz w:val="17"/>
          <w:szCs w:val="17"/>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1" w:lineRule="exact"/>
        <w:rPr>
          <w:sz w:val="20"/>
          <w:szCs w:val="20"/>
          <w:color w:val="auto"/>
        </w:rPr>
      </w:pPr>
    </w:p>
    <w:p>
      <w:pPr>
        <w:ind w:right="140" w:firstLine="440"/>
        <w:spacing w:after="0" w:line="250" w:lineRule="auto"/>
        <w:rPr>
          <w:sz w:val="20"/>
          <w:szCs w:val="20"/>
          <w:color w:val="auto"/>
        </w:rPr>
      </w:pPr>
      <w:r>
        <w:rPr>
          <w:rFonts w:ascii="Arial" w:cs="Arial" w:eastAsia="Arial" w:hAnsi="Arial"/>
          <w:sz w:val="18"/>
          <w:szCs w:val="18"/>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2" w:lineRule="exact"/>
        <w:rPr>
          <w:sz w:val="20"/>
          <w:szCs w:val="20"/>
          <w:color w:val="auto"/>
        </w:rPr>
      </w:pPr>
    </w:p>
    <w:p>
      <w:pPr>
        <w:jc w:val="center"/>
        <w:ind w:right="120"/>
        <w:spacing w:after="0" w:line="281" w:lineRule="auto"/>
        <w:rPr>
          <w:sz w:val="20"/>
          <w:szCs w:val="20"/>
          <w:color w:val="auto"/>
        </w:rPr>
      </w:pPr>
      <w:r>
        <w:rPr>
          <w:rFonts w:ascii="Arial" w:cs="Arial" w:eastAsia="Arial" w:hAnsi="Arial"/>
          <w:sz w:val="16"/>
          <w:szCs w:val="16"/>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 Payments under the TRA will be based on the tax reporting positions that we determine. We will not be reimbursed for any cash payments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previously made to any Continuing LLC Owner pursuant to the TRA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61</w:t>
            </w:r>
          </w:p>
        </w:tc>
      </w:tr>
    </w:tbl>
    <w:p>
      <w:pPr>
        <w:sectPr>
          <w:pgSz w:w="11900" w:h="16838" w:orient="portrait"/>
          <w:cols w:equalWidth="0" w:num="1">
            <w:col w:w="11020"/>
          </w:cols>
          <w:pgMar w:left="440" w:top="1138" w:right="439" w:bottom="1440" w:gutter="0" w:footer="0" w:header="0"/>
        </w:sectPr>
      </w:pPr>
    </w:p>
    <w:bookmarkStart w:id="64" w:name="page65"/>
    <w:bookmarkEnd w:id="6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1996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2219960" cy="145415"/>
                    </a:xfrm>
                    <a:prstGeom prst="rect">
                      <a:avLst/>
                    </a:prstGeom>
                    <a:noFill/>
                  </pic:spPr>
                </pic:pic>
              </a:graphicData>
            </a:graphic>
          </wp:anchor>
        </w:drawing>
        <w:t>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Stockholders Agreement</w:t>
      </w:r>
    </w:p>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duly-authorized committee of the Board, as a director of our company, the number of Refinitiv Directors serving as directors of our company will be equal to: (1) if the Refinitiv Owners and their affiliates together continue to hold at least 50% of the combined voting power of our outstanding common stock as of the record date for such meeting, the total number of directors comprising our entire Board;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Registration Rights Agreement</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Demand Rights</w:t>
      </w:r>
    </w:p>
    <w:p>
      <w:pPr>
        <w:spacing w:after="0" w:line="23"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From time to time, the Refinitiv Owners may request that we register all or a portion of their registrable shares for sale under the Securities Act, including pursuant to a shelf registration statement (provided, 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183515</wp:posOffset>
            </wp:positionV>
            <wp:extent cx="222885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45415"/>
                    </a:xfrm>
                    <a:prstGeom prst="rect">
                      <a:avLst/>
                    </a:prstGeom>
                    <a:noFill/>
                  </pic:spPr>
                </pic:pic>
              </a:graphicData>
            </a:graphic>
          </wp:anchor>
        </w:drawing>
        <w:t>cases, the aggregate number of registrable shares that are requested to be included in any such registration equals at least $100.0 million).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when a shelf registration statement is effective, the Refinitiv Owners may request that we facilitate a shelf takedown of all or a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their registrable shares (provided the aggregate number of registrable shares that are requested to be included in any such takedown equals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We will not be required to effect the registration as requested by any of the Refinitiv Owners if in the good faith judgment of our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registration would materially interfere with certain existing or potential material transactions or events involving the company and should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delayed or is reasonably likely to require premature disclosure of information that could have a material adverse effect on us. These demand rights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be subject to cutbacks, priorities and other limitations and exceptions.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Piggyback Registration Rights</w:t>
      </w:r>
    </w:p>
    <w:p>
      <w:pPr>
        <w:spacing w:after="0" w:line="2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each Bank Stockholder, on an individual basis, will fall away when such Bank Stockholder, together with any other holder that is an affiliate of such Bank Stockholder, ceases to own a number of shares of our common stock, in the aggregate, that is more than 2% of the total number of shares of common stock then outstanding.</w:t>
      </w:r>
    </w:p>
    <w:p>
      <w:pPr>
        <w:spacing w:after="0" w:line="1" w:lineRule="exact"/>
        <w:rPr>
          <w:sz w:val="20"/>
          <w:szCs w:val="20"/>
          <w:color w:val="auto"/>
        </w:rPr>
      </w:pPr>
    </w:p>
    <w:p>
      <w:pPr>
        <w:ind w:right="660" w:firstLine="440"/>
        <w:spacing w:after="0" w:line="290" w:lineRule="auto"/>
        <w:rPr>
          <w:sz w:val="20"/>
          <w:szCs w:val="20"/>
          <w:color w:val="auto"/>
        </w:rPr>
      </w:pPr>
      <w:r>
        <w:rPr>
          <w:rFonts w:ascii="Arial" w:cs="Arial" w:eastAsia="Arial" w:hAnsi="Arial"/>
          <w:sz w:val="17"/>
          <w:szCs w:val="17"/>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F5B"/>
        </w:rPr>
        <w:t>Other Provisions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ADD8"/>
        </w:rPr>
        <w:t>Indemnification Agreements</w:t>
      </w:r>
    </w:p>
    <w:p>
      <w:pPr>
        <w:spacing w:after="0" w:line="10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connection with the IPO, we entered into indemnification agreements with our directors and executive officers.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3" w:lineRule="exact"/>
        <w:rPr>
          <w:sz w:val="20"/>
          <w:szCs w:val="20"/>
          <w:color w:val="auto"/>
        </w:rPr>
      </w:pPr>
    </w:p>
    <w:p>
      <w:pPr>
        <w:ind w:right="160" w:firstLine="440"/>
        <w:spacing w:after="0" w:line="260"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ADD8"/>
        </w:rPr>
        <w:t>Policies and Procedures for Related Party Transactions</w:t>
      </w:r>
    </w:p>
    <w:p>
      <w:pPr>
        <w:spacing w:after="0" w:line="1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completion of the IPO, our Board adopted a policy providing that the Audit Committee will review and approve or ratify transactions in excess of $120,000 of value in which we participate and in which a related party (as defined below) has or will have a direct or indirect material interest. Under this policy, the Audit Committee is to obtain all information it believes to be relevant to a review and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63</w:t>
            </w:r>
          </w:p>
        </w:tc>
      </w:tr>
    </w:tbl>
    <w:p>
      <w:pPr>
        <w:sectPr>
          <w:pgSz w:w="11900" w:h="16838" w:orient="portrait"/>
          <w:cols w:equalWidth="0" w:num="1">
            <w:col w:w="11020"/>
          </w:cols>
          <w:pgMar w:left="440" w:top="1138" w:right="439" w:bottom="1440" w:gutter="0" w:footer="0" w:header="0"/>
        </w:sectPr>
      </w:pPr>
    </w:p>
    <w:bookmarkStart w:id="66" w:name="page67"/>
    <w:bookmarkEnd w:id="66"/>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1996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2219960" cy="145415"/>
                    </a:xfrm>
                    <a:prstGeom prst="rect">
                      <a:avLst/>
                    </a:prstGeom>
                    <a:noFill/>
                  </pic:spPr>
                </pic:pic>
              </a:graphicData>
            </a:graphic>
          </wp:anchor>
        </w:drawing>
        <w:t>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In general, a “related party” is any person who is or was one of our executive officers, directors or director nominees or is a holder of more than 5% of our common stock, or an immediate family member of any of the foregoing persons. All of the pre-IPO transactions described above were entered into prior to the adoption of this policy.</w:t>
      </w:r>
    </w:p>
    <w:p>
      <w:pPr>
        <w:spacing w:after="0" w:line="6" w:lineRule="exact"/>
        <w:rPr>
          <w:sz w:val="20"/>
          <w:szCs w:val="20"/>
          <w:color w:val="auto"/>
        </w:rPr>
      </w:pPr>
    </w:p>
    <w:p>
      <w:pPr>
        <w:ind w:right="420" w:firstLine="44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138" w:right="439" w:bottom="1440" w:gutter="0" w:footer="0" w:header="0"/>
        </w:sectPr>
      </w:pPr>
    </w:p>
    <w:bookmarkStart w:id="67" w:name="page68"/>
    <w:bookmarkEnd w:id="6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828925" cy="257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2828925" cy="257175"/>
                    </a:xfrm>
                    <a:prstGeom prst="rect">
                      <a:avLst/>
                    </a:prstGeom>
                    <a:noFill/>
                  </pic:spPr>
                </pic:pic>
              </a:graphicData>
            </a:graphic>
          </wp:anchor>
        </w:drawing>
        <w:t>Section 16(a) of the Exchange Act requires the Company’s executive officers, directors, and persons who beneficially own more than 10% of a registered class of the Company’s equity securities to file with the SEC initial reports of ownership and reports of changes in ownership of the Company’s common stock. Such officers, directors, and persons are required by SEC regulation to furnish the Company with copies of all Section 16(a) forms that they file with the SEC.</w:t>
      </w:r>
    </w:p>
    <w:p>
      <w:pPr>
        <w:spacing w:after="0" w:line="2"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One Form 4 filed for Enrico Bruni in 2020 inadvertently excluded a derivative transaction and was promptly amended once the error was discovered. Otherwise, to our knowledge, based solely on a review of the copies of such reports furnished to us and written representations that no other reports were required, we believe that during the fiscal year ended December 31, 2020, our officers, directors, and greater-than-10% stockholders timely filed all reports required by Section 16(a)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628650</wp:posOffset>
            </wp:positionV>
            <wp:extent cx="2048510" cy="257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485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628650</wp:posOffset>
            </wp:positionV>
            <wp:extent cx="1234440"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65</w:t>
            </w:r>
          </w:p>
        </w:tc>
      </w:tr>
    </w:tbl>
    <w:p>
      <w:pPr>
        <w:sectPr>
          <w:pgSz w:w="11900" w:h="16838" w:orient="portrait"/>
          <w:cols w:equalWidth="0" w:num="1">
            <w:col w:w="11020"/>
          </w:cols>
          <w:pgMar w:left="440" w:top="1327" w:right="439" w:bottom="1440" w:gutter="0" w:footer="0" w:header="0"/>
        </w:sectPr>
      </w:pPr>
    </w:p>
    <w:bookmarkStart w:id="68" w:name="page69"/>
    <w:bookmarkEnd w:id="68"/>
    <w:p>
      <w:pPr>
        <w:ind w:right="3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19960" cy="257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2219960" cy="257175"/>
                    </a:xfrm>
                    <a:prstGeom prst="rect">
                      <a:avLst/>
                    </a:prstGeom>
                    <a:noFill/>
                  </pic:spPr>
                </pic:pic>
              </a:graphicData>
            </a:graphic>
          </wp:anchor>
        </w:drawing>
        <w:t>Proposals of stockholders to be considered for inclusion in the proxy statement and proxy card for the 2022 Annual Meeting pursuant to Rule 14a-8 under the Exchange Act must be submitted in writing to the Secretary of Tradeweb Markets Inc., at Tradeweb Markets Inc., 1177 Avenue of the Americas, New York, New York 10036, and must be received no later than November 29, 2021. The submission of a stockholder proposal does not guarantee that it will be included in our proxy statement.</w:t>
      </w:r>
    </w:p>
    <w:p>
      <w:pPr>
        <w:spacing w:after="0" w:line="2" w:lineRule="exact"/>
        <w:rPr>
          <w:sz w:val="20"/>
          <w:szCs w:val="20"/>
          <w:color w:val="auto"/>
        </w:rPr>
      </w:pPr>
    </w:p>
    <w:p>
      <w:pPr>
        <w:ind w:right="220" w:firstLine="440"/>
        <w:spacing w:after="0" w:line="265" w:lineRule="auto"/>
        <w:rPr>
          <w:sz w:val="20"/>
          <w:szCs w:val="20"/>
          <w:color w:val="auto"/>
        </w:rPr>
      </w:pPr>
      <w:r>
        <w:rPr>
          <w:rFonts w:ascii="Arial" w:cs="Arial" w:eastAsia="Arial" w:hAnsi="Arial"/>
          <w:sz w:val="17"/>
          <w:szCs w:val="17"/>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ind w:right="60" w:firstLine="440"/>
        <w:spacing w:after="0" w:line="281" w:lineRule="auto"/>
        <w:rPr>
          <w:sz w:val="20"/>
          <w:szCs w:val="20"/>
          <w:color w:val="auto"/>
        </w:rPr>
      </w:pPr>
      <w:r>
        <w:rPr>
          <w:rFonts w:ascii="Arial" w:cs="Arial" w:eastAsia="Arial" w:hAnsi="Arial"/>
          <w:sz w:val="16"/>
          <w:szCs w:val="16"/>
          <w:color w:val="auto"/>
        </w:rPr>
        <w:t>The Bylaws’ advance notice provisions require that, among other things, stockholders give timely written notice to the Secretary of the Company regarding such nominations or other business and provide the information and satisfy the other requirements set forth in the Bylaws. To be timely, a stockholder who intends to present nominations or a proposal at the 2022 Annual Meeting of Stockholders other than pursuant to Rule 14a-8 must provide the information set forth in the Bylaws to the Secretary of the Company no earlier than January 11, 2022 and no later than February 10, 2022. However, that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of Stockholders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of Stockholders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6" w:lineRule="exact"/>
        <w:rPr>
          <w:sz w:val="20"/>
          <w:szCs w:val="20"/>
          <w:color w:val="auto"/>
        </w:rPr>
      </w:pPr>
    </w:p>
    <w:p>
      <w:pPr>
        <w:ind w:right="220" w:firstLine="440"/>
        <w:spacing w:after="0" w:line="260"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042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3"/>
          <w:szCs w:val="13"/>
          <w:color w:val="auto"/>
        </w:rPr>
        <w:t>Tradeweb</w:t>
      </w:r>
    </w:p>
    <w:p>
      <w:pPr>
        <w:sectPr>
          <w:pgSz w:w="11900" w:h="16838" w:orient="portrait"/>
          <w:cols w:equalWidth="0" w:num="1">
            <w:col w:w="11020"/>
          </w:cols>
          <w:pgMar w:left="440" w:top="1327" w:right="439" w:bottom="1440" w:gutter="0" w:footer="0" w:header="0"/>
        </w:sectPr>
      </w:pPr>
    </w:p>
    <w:bookmarkStart w:id="69" w:name="page70"/>
    <w:bookmarkEnd w:id="69"/>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894580" cy="4800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4894580" cy="480060"/>
                    </a:xfrm>
                    <a:prstGeom prst="rect">
                      <a:avLst/>
                    </a:prstGeom>
                    <a:noFill/>
                  </pic:spPr>
                </pic:pic>
              </a:graphicData>
            </a:graphic>
          </wp:anchor>
        </w:drawing>
      </w:r>
    </w:p>
    <w:p>
      <w:pPr>
        <w:ind w:right="40"/>
        <w:spacing w:after="0" w:line="267" w:lineRule="auto"/>
        <w:rPr>
          <w:sz w:val="20"/>
          <w:szCs w:val="20"/>
          <w:color w:val="auto"/>
        </w:rPr>
      </w:pPr>
      <w:r>
        <w:rPr>
          <w:rFonts w:ascii="Arial" w:cs="Arial" w:eastAsia="Arial" w:hAnsi="Arial"/>
          <w:sz w:val="17"/>
          <w:szCs w:val="17"/>
          <w:color w:val="auto"/>
        </w:rPr>
        <w:t>A copy of the 2020 Annual Report accompanies this Proxy Statement. If you and others who share your mailing address own common stock in street name, meaning through a bank, brokerage firm, or other nominee, you may have received a notice that your household will receive only one 2020 Annual Report and Proxy Statement, or Notice of Internet Availability of Proxy Materials,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2020 Annual Report (and/or a single copy of our Notice of Internet Availability of Proxy Materials) has been sent to your address. Each street name stockholder receiving this Proxy Statement by mail will continue to receive a separate voting instruction form.</w:t>
      </w:r>
    </w:p>
    <w:p>
      <w:pPr>
        <w:spacing w:after="0" w:line="4" w:lineRule="exact"/>
        <w:rPr>
          <w:sz w:val="20"/>
          <w:szCs w:val="20"/>
          <w:color w:val="auto"/>
        </w:rPr>
      </w:pPr>
    </w:p>
    <w:p>
      <w:pPr>
        <w:ind w:right="20" w:firstLine="440"/>
        <w:spacing w:after="0" w:line="281" w:lineRule="auto"/>
        <w:rPr>
          <w:sz w:val="20"/>
          <w:szCs w:val="20"/>
          <w:color w:val="auto"/>
        </w:rPr>
      </w:pPr>
      <w:r>
        <w:rPr>
          <w:rFonts w:ascii="Arial" w:cs="Arial" w:eastAsia="Arial" w:hAnsi="Arial"/>
          <w:sz w:val="16"/>
          <w:szCs w:val="16"/>
          <w:color w:val="auto"/>
        </w:rPr>
        <w:t>If you would like to revoke your consent to householding and in the future receive your own set of proxy materials (or your own Notice of Internet Availability of Proxy Materials, as applicable), or if your household is currently receiving multiple copies of the same items and you would like in the future to receive only a single copy at your address, please contact the Householding Department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3" w:lineRule="exact"/>
        <w:rPr>
          <w:sz w:val="20"/>
          <w:szCs w:val="20"/>
          <w:color w:val="auto"/>
        </w:rPr>
      </w:pPr>
    </w:p>
    <w:p>
      <w:pPr>
        <w:ind w:right="20" w:firstLine="440"/>
        <w:spacing w:after="0" w:line="265" w:lineRule="auto"/>
        <w:rPr>
          <w:sz w:val="20"/>
          <w:szCs w:val="20"/>
          <w:color w:val="auto"/>
        </w:rPr>
      </w:pPr>
      <w:r>
        <w:rPr>
          <w:rFonts w:ascii="Arial" w:cs="Arial" w:eastAsia="Arial" w:hAnsi="Arial"/>
          <w:sz w:val="17"/>
          <w:szCs w:val="17"/>
          <w:b w:val="1"/>
          <w:bCs w:val="1"/>
          <w:color w:val="auto"/>
        </w:rPr>
        <w:t xml:space="preserve">If you would like an additional copy of the 2020 Annual Report, this Proxy Statement, or the Notice of Internet Availability of Proxy Materials, these documents are available in digital form for download or review by visiting </w:t>
      </w:r>
      <w:r>
        <w:rPr>
          <w:rFonts w:ascii="Arial" w:cs="Arial" w:eastAsia="Arial" w:hAnsi="Arial"/>
          <w:sz w:val="17"/>
          <w:szCs w:val="17"/>
          <w:b w:val="1"/>
          <w:bCs w:val="1"/>
          <w:u w:val="single" w:color="auto"/>
          <w:color w:val="auto"/>
        </w:rPr>
        <w:t>proxyvote.com</w:t>
      </w:r>
      <w:r>
        <w:rPr>
          <w:rFonts w:ascii="Arial" w:cs="Arial" w:eastAsia="Arial" w:hAnsi="Arial"/>
          <w:sz w:val="17"/>
          <w:szCs w:val="17"/>
          <w:b w:val="1"/>
          <w:bCs w:val="1"/>
          <w:color w:val="auto"/>
        </w:rPr>
        <w:t xml:space="preserve">. Alternatively, we will promptly send a copy of these documents to you without charge upon request by email to </w:t>
      </w:r>
      <w:r>
        <w:rPr>
          <w:rFonts w:ascii="Arial" w:cs="Arial" w:eastAsia="Arial" w:hAnsi="Arial"/>
          <w:sz w:val="17"/>
          <w:szCs w:val="17"/>
          <w:b w:val="1"/>
          <w:bCs w:val="1"/>
          <w:u w:val="single" w:color="auto"/>
          <w:color w:val="auto"/>
        </w:rPr>
        <w:t>sendmaterial@proxyvote.com</w:t>
      </w:r>
      <w:r>
        <w:rPr>
          <w:rFonts w:ascii="Arial" w:cs="Arial" w:eastAsia="Arial" w:hAnsi="Arial"/>
          <w:sz w:val="17"/>
          <w:szCs w:val="17"/>
          <w:b w:val="1"/>
          <w:bCs w:val="1"/>
          <w:color w:val="auto"/>
        </w:rPr>
        <w:t>, or by calling 1-800-579-1639. Please note, however, that if you did not receive a printed copy of our proxy materials and you wish to receive a paper proxy card or voting instruction form or other proxy materials for the purposes of the Annual Meeting, you should follow the instructions included in your Notice of Internet Availability of Proxy Materials.</w:t>
      </w:r>
    </w:p>
    <w:p>
      <w:pPr>
        <w:spacing w:after="0" w:line="1"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If you own shares in street name, you can also register to receive all future stockholder communications electronically, instead of in print. This means that links to the 2020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20"/>
                <w:szCs w:val="20"/>
                <w:color w:val="auto"/>
              </w:rPr>
            </w:pPr>
            <w:r>
              <w:rPr>
                <w:rFonts w:ascii="Arial" w:cs="Arial" w:eastAsia="Arial" w:hAnsi="Arial"/>
                <w:sz w:val="14"/>
                <w:szCs w:val="14"/>
                <w:color w:val="00ADD8"/>
              </w:rPr>
              <w:t>2021 Proxy Statement</w:t>
            </w:r>
          </w:p>
        </w:tc>
        <w:tc>
          <w:tcPr>
            <w:tcW w:w="4900" w:type="dxa"/>
            <w:vAlign w:val="bottom"/>
          </w:tcPr>
          <w:p>
            <w:pPr>
              <w:jc w:val="right"/>
              <w:spacing w:after="0"/>
              <w:rPr>
                <w:sz w:val="20"/>
                <w:szCs w:val="20"/>
                <w:color w:val="auto"/>
              </w:rPr>
            </w:pPr>
            <w:r>
              <w:rPr>
                <w:rFonts w:ascii="Arial" w:cs="Arial" w:eastAsia="Arial" w:hAnsi="Arial"/>
                <w:sz w:val="16"/>
                <w:szCs w:val="16"/>
                <w:color w:val="auto"/>
              </w:rPr>
              <w:t>67</w:t>
            </w:r>
          </w:p>
        </w:tc>
      </w:tr>
    </w:tbl>
    <w:p>
      <w:pPr>
        <w:sectPr>
          <w:pgSz w:w="11900" w:h="16838" w:orient="portrait"/>
          <w:cols w:equalWidth="0" w:num="1">
            <w:col w:w="11020"/>
          </w:cols>
          <w:pgMar w:left="440" w:top="1440" w:right="439" w:bottom="1440"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240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9224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6"/>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lowerRoman"/>
      <w:start w:val="2"/>
    </w:lvl>
  </w:abstractNum>
  <w:abstractNum w:abstractNumId="39">
    <w:nsid w:val="4B588F54"/>
    <w:multiLevelType w:val="hybridMultilevel"/>
    <w:lvl w:ilvl="0">
      <w:lvlJc w:val="left"/>
      <w:lvlText w:val="(%1)"/>
      <w:numFmt w:val="decimal"/>
      <w:start w:val="18"/>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1)"/>
      <w:numFmt w:val="decimal"/>
      <w:start w:val="18"/>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Roman"/>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2021-03-30T05:26:24Z</dcterms:created>
  <dcterms:modified xsi:type="dcterms:W3CDTF">2021-03-30T05:26:24Z</dcterms:modified>
</cp:coreProperties>
</file>