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6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621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Spencer James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04/04/2019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1177 AVENUE OF THE AMERICAS</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6"/>
        <w:spacing w:after="0"/>
        <w:rPr>
          <w:sz w:val="20"/>
          <w:szCs w:val="20"/>
          <w:color w:val="auto"/>
        </w:rPr>
      </w:pPr>
      <w:r>
        <w:rPr>
          <w:rFonts w:ascii="Arial" w:cs="Arial" w:eastAsia="Arial" w:hAnsi="Arial"/>
          <w:sz w:val="18"/>
          <w:szCs w:val="18"/>
          <w:color w:val="0000FF"/>
        </w:rPr>
        <w:t>Chief Technology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r>
              <w:rPr>
                <w:rFonts w:ascii="Arial" w:cs="Arial" w:eastAsia="Arial" w:hAnsi="Arial"/>
                <w:sz w:val="22"/>
                <w:szCs w:val="22"/>
                <w:color w:val="008000"/>
                <w:vertAlign w:val="superscript"/>
              </w:rPr>
              <w:t>(1)</w:t>
            </w:r>
          </w:p>
        </w:tc>
        <w:tc>
          <w:tcPr>
            <w:tcW w:w="4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67,374</w:t>
            </w:r>
          </w:p>
        </w:tc>
        <w:tc>
          <w:tcPr>
            <w:tcW w:w="80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820" w:type="dxa"/>
            <w:vAlign w:val="bottom"/>
            <w:gridSpan w:val="6"/>
          </w:tcPr>
          <w:p>
            <w:pPr>
              <w:ind w:left="2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6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tcPr>
          <w:p>
            <w:pPr>
              <w:ind w:left="1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980" w:type="dxa"/>
            <w:vAlign w:val="bottom"/>
          </w:tcPr>
          <w:p>
            <w:pPr>
              <w:spacing w:after="0"/>
              <w:rPr>
                <w:sz w:val="12"/>
                <w:szCs w:val="12"/>
                <w:color w:val="auto"/>
              </w:rPr>
            </w:pPr>
          </w:p>
        </w:tc>
        <w:tc>
          <w:tcPr>
            <w:tcW w:w="8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98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0000FF"/>
              </w:rPr>
              <w:t>Class D common stock</w:t>
            </w:r>
          </w:p>
        </w:tc>
        <w:tc>
          <w:tcPr>
            <w:tcW w:w="1360" w:type="dxa"/>
            <w:vAlign w:val="bottom"/>
            <w:gridSpan w:val="2"/>
          </w:tcPr>
          <w:p>
            <w:pPr>
              <w:jc w:val="center"/>
              <w:ind w:left="396"/>
              <w:spacing w:after="0"/>
              <w:rPr>
                <w:sz w:val="20"/>
                <w:szCs w:val="20"/>
                <w:color w:val="auto"/>
              </w:rPr>
            </w:pPr>
            <w:r>
              <w:rPr>
                <w:rFonts w:ascii="Arial" w:cs="Arial" w:eastAsia="Arial" w:hAnsi="Arial"/>
                <w:sz w:val="11"/>
                <w:szCs w:val="11"/>
                <w:color w:val="008000"/>
                <w:w w:val="96"/>
              </w:rPr>
              <w:t>(2)(3)</w:t>
            </w:r>
          </w:p>
        </w:tc>
        <w:tc>
          <w:tcPr>
            <w:tcW w:w="800" w:type="dxa"/>
            <w:vAlign w:val="bottom"/>
          </w:tcPr>
          <w:p>
            <w:pPr>
              <w:jc w:val="center"/>
              <w:spacing w:after="0"/>
              <w:rPr>
                <w:sz w:val="20"/>
                <w:szCs w:val="20"/>
                <w:color w:val="auto"/>
              </w:rPr>
            </w:pPr>
            <w:r>
              <w:rPr>
                <w:rFonts w:ascii="Arial" w:cs="Arial" w:eastAsia="Arial" w:hAnsi="Arial"/>
                <w:sz w:val="11"/>
                <w:szCs w:val="11"/>
                <w:color w:val="008000"/>
                <w:w w:val="96"/>
              </w:rPr>
              <w:t>(2)(3)</w:t>
            </w:r>
          </w:p>
        </w:tc>
        <w:tc>
          <w:tcPr>
            <w:tcW w:w="1980" w:type="dxa"/>
            <w:vAlign w:val="bottom"/>
          </w:tcPr>
          <w:p>
            <w:pPr>
              <w:ind w:left="220"/>
              <w:spacing w:after="0"/>
              <w:rPr>
                <w:sz w:val="20"/>
                <w:szCs w:val="20"/>
                <w:color w:val="auto"/>
              </w:rPr>
            </w:pPr>
            <w:r>
              <w:rPr>
                <w:rFonts w:ascii="Arial" w:cs="Arial" w:eastAsia="Arial" w:hAnsi="Arial"/>
                <w:sz w:val="18"/>
                <w:szCs w:val="18"/>
                <w:color w:val="0000FF"/>
                <w:w w:val="94"/>
              </w:rPr>
              <w:t>Class C common stock</w:t>
            </w:r>
          </w:p>
        </w:tc>
        <w:tc>
          <w:tcPr>
            <w:tcW w:w="800" w:type="dxa"/>
            <w:vAlign w:val="bottom"/>
          </w:tcPr>
          <w:p>
            <w:pPr>
              <w:jc w:val="center"/>
              <w:ind w:left="3"/>
              <w:spacing w:after="0"/>
              <w:rPr>
                <w:sz w:val="20"/>
                <w:szCs w:val="20"/>
                <w:color w:val="auto"/>
              </w:rPr>
            </w:pPr>
            <w:r>
              <w:rPr>
                <w:rFonts w:ascii="Arial" w:cs="Arial" w:eastAsia="Arial" w:hAnsi="Arial"/>
                <w:sz w:val="18"/>
                <w:szCs w:val="18"/>
                <w:color w:val="0000FF"/>
                <w:w w:val="87"/>
              </w:rPr>
              <w:t>77,133</w:t>
            </w:r>
          </w:p>
        </w:tc>
        <w:tc>
          <w:tcPr>
            <w:tcW w:w="880" w:type="dxa"/>
            <w:vAlign w:val="bottom"/>
          </w:tcPr>
          <w:p>
            <w:pPr>
              <w:jc w:val="center"/>
              <w:spacing w:after="0"/>
              <w:rPr>
                <w:sz w:val="20"/>
                <w:szCs w:val="20"/>
                <w:color w:val="auto"/>
              </w:rPr>
            </w:pPr>
            <w:r>
              <w:rPr>
                <w:rFonts w:ascii="Arial" w:cs="Arial" w:eastAsia="Arial" w:hAnsi="Arial"/>
                <w:sz w:val="11"/>
                <w:szCs w:val="11"/>
                <w:color w:val="008000"/>
                <w:w w:val="96"/>
              </w:rPr>
              <w:t>(2)(3)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0000FF"/>
                <w:w w:val="96"/>
              </w:rPr>
              <w:t>Non-voting common units of Tradeweb</w:t>
            </w:r>
          </w:p>
        </w:tc>
        <w:tc>
          <w:tcPr>
            <w:tcW w:w="1360" w:type="dxa"/>
            <w:vAlign w:val="bottom"/>
            <w:gridSpan w:val="2"/>
            <w:vMerge w:val="restart"/>
          </w:tcPr>
          <w:p>
            <w:pPr>
              <w:jc w:val="center"/>
              <w:ind w:left="396"/>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980" w:type="dxa"/>
            <w:vAlign w:val="bottom"/>
            <w:vMerge w:val="restart"/>
          </w:tcPr>
          <w:p>
            <w:pPr>
              <w:ind w:left="220"/>
              <w:spacing w:after="0"/>
              <w:rPr>
                <w:sz w:val="20"/>
                <w:szCs w:val="20"/>
                <w:color w:val="auto"/>
              </w:rPr>
            </w:pPr>
            <w:r>
              <w:rPr>
                <w:rFonts w:ascii="Arial" w:cs="Arial" w:eastAsia="Arial" w:hAnsi="Arial"/>
                <w:sz w:val="18"/>
                <w:szCs w:val="18"/>
                <w:color w:val="0000FF"/>
                <w:w w:val="95"/>
              </w:rPr>
              <w:t>Class A common stock</w:t>
            </w:r>
          </w:p>
        </w:tc>
        <w:tc>
          <w:tcPr>
            <w:tcW w:w="800" w:type="dxa"/>
            <w:vAlign w:val="bottom"/>
            <w:vMerge w:val="restart"/>
          </w:tcPr>
          <w:p>
            <w:pPr>
              <w:jc w:val="center"/>
              <w:ind w:left="3"/>
              <w:spacing w:after="0"/>
              <w:rPr>
                <w:sz w:val="20"/>
                <w:szCs w:val="20"/>
                <w:color w:val="auto"/>
              </w:rPr>
            </w:pPr>
            <w:r>
              <w:rPr>
                <w:rFonts w:ascii="Arial" w:cs="Arial" w:eastAsia="Arial" w:hAnsi="Arial"/>
                <w:sz w:val="18"/>
                <w:szCs w:val="18"/>
                <w:color w:val="0000FF"/>
                <w:w w:val="87"/>
              </w:rPr>
              <w:t>77,133</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60" w:type="dxa"/>
            <w:vAlign w:val="bottom"/>
            <w:vMerge w:val="restart"/>
          </w:tcPr>
          <w:p>
            <w:pPr>
              <w:ind w:left="60"/>
              <w:spacing w:after="0"/>
              <w:rPr>
                <w:sz w:val="20"/>
                <w:szCs w:val="20"/>
                <w:color w:val="auto"/>
              </w:rPr>
            </w:pPr>
            <w:r>
              <w:rPr>
                <w:rFonts w:ascii="Arial" w:cs="Arial" w:eastAsia="Arial" w:hAnsi="Arial"/>
                <w:sz w:val="18"/>
                <w:szCs w:val="18"/>
                <w:color w:val="0000FF"/>
              </w:rPr>
              <w:t>Markets LLC</w:t>
            </w:r>
          </w:p>
        </w:tc>
        <w:tc>
          <w:tcPr>
            <w:tcW w:w="136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360" w:type="dxa"/>
            <w:vAlign w:val="bottom"/>
            <w:gridSpan w:val="2"/>
          </w:tcPr>
          <w:p>
            <w:pPr>
              <w:jc w:val="center"/>
              <w:ind w:left="396"/>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10/26/2028</w:t>
            </w:r>
          </w:p>
        </w:tc>
        <w:tc>
          <w:tcPr>
            <w:tcW w:w="1980" w:type="dxa"/>
            <w:vAlign w:val="bottom"/>
          </w:tcPr>
          <w:p>
            <w:pPr>
              <w:ind w:left="220"/>
              <w:spacing w:after="0"/>
              <w:rPr>
                <w:sz w:val="20"/>
                <w:szCs w:val="20"/>
                <w:color w:val="auto"/>
              </w:rPr>
            </w:pPr>
            <w:r>
              <w:rPr>
                <w:rFonts w:ascii="Arial" w:cs="Arial" w:eastAsia="Arial" w:hAnsi="Arial"/>
                <w:sz w:val="18"/>
                <w:szCs w:val="18"/>
                <w:color w:val="0000FF"/>
                <w:w w:val="95"/>
              </w:rPr>
              <w:t>Class A common stock</w:t>
            </w:r>
          </w:p>
        </w:tc>
        <w:tc>
          <w:tcPr>
            <w:tcW w:w="800" w:type="dxa"/>
            <w:vAlign w:val="bottom"/>
          </w:tcPr>
          <w:p>
            <w:pPr>
              <w:jc w:val="center"/>
              <w:ind w:left="3"/>
              <w:spacing w:after="0"/>
              <w:rPr>
                <w:sz w:val="20"/>
                <w:szCs w:val="20"/>
                <w:color w:val="auto"/>
              </w:rPr>
            </w:pPr>
            <w:r>
              <w:rPr>
                <w:rFonts w:ascii="Arial" w:cs="Arial" w:eastAsia="Arial" w:hAnsi="Arial"/>
                <w:sz w:val="18"/>
                <w:szCs w:val="18"/>
                <w:color w:val="0000FF"/>
                <w:w w:val="86"/>
              </w:rPr>
              <w:t>422,706</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20.59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was granted two awards of restricted stock units under the terms of the Amended and Restated Tradeweb Markets Inc. PRSU Plan consisting of (i) a grant of 35,711 restricted stock units which will vest on January 1, 2020, and (ii) a grant of 31,663 restricted stock units which will vest on January 1, 2021, each subject to the reporting person's continued employment on such date. Each grant of restricted stock units represents a contingent right to receive one share of Class A common stock of the issuer ("Class A Common Stock").</w:t>
      </w:r>
    </w:p>
    <w:p>
      <w:pPr>
        <w:spacing w:after="0" w:line="2" w:lineRule="exact"/>
        <w:rPr>
          <w:rFonts w:ascii="Arial" w:cs="Arial" w:eastAsia="Arial" w:hAnsi="Arial"/>
          <w:sz w:val="12"/>
          <w:szCs w:val="12"/>
          <w:color w:val="008000"/>
        </w:rPr>
      </w:pPr>
    </w:p>
    <w:p>
      <w:pPr>
        <w:ind w:left="40" w:right="14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Shares of Class D common stock of the issuer ("Class D Common Stock") have ten votes per share but no economic rights (including rights to dividends or, other than their par value, any distribution upon liquidation) and are issued in an equal amount to the number of non-voting common units of Tradeweb Markets LLC, a subsidiary of the issuer ("LLC Units"), held. Shares of Class D Common Stock are exchangeable for shares of the issuer's Class C common stock ("Class C Common Stock"), which have one vote per share but no economic rights (other than their par value upon liquidation), on a one-for-one basis at the discretion of the holder. These exchange rights do not expire.</w:t>
      </w:r>
    </w:p>
    <w:p>
      <w:pPr>
        <w:spacing w:after="0" w:line="31" w:lineRule="exact"/>
        <w:rPr>
          <w:rFonts w:ascii="Arial" w:cs="Arial" w:eastAsia="Arial" w:hAnsi="Arial"/>
          <w:sz w:val="14"/>
          <w:szCs w:val="14"/>
          <w:color w:val="008000"/>
        </w:rPr>
      </w:pPr>
    </w:p>
    <w:p>
      <w:pPr>
        <w:ind w:left="40" w:right="22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Tradeweb Markets LLC, LLC Units may be exchanged for shares of Class A Common Stock or Class B common stock of the issuer, in each case, on a one-for-one basis at the discretion of the holder. Upon such an exchange, a corresponding number of shares of Class D Common Stock (or shares of Class C Common Stock, in the event the reporting person exchanged their shares of Class D Common Stock as described in footnote 2 to this Form 3) will be canceled. These exchange rights do not expire.</w:t>
      </w:r>
    </w:p>
    <w:p>
      <w:pPr>
        <w:spacing w:after="0" w:line="2" w:lineRule="exact"/>
        <w:rPr>
          <w:rFonts w:ascii="Arial" w:cs="Arial" w:eastAsia="Arial" w:hAnsi="Arial"/>
          <w:sz w:val="12"/>
          <w:szCs w:val="12"/>
          <w:color w:val="008000"/>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owns an option to purchase 422,706 shares of Class A Common Stock, which is vested as to 338,165 of the shares subject thereto as of the date hereof. The remainder of the option will vest on January 1, 2020, subject to the reporting person's continued employment on such date.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Scott Zucker, Attorney-in-</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04/04/2019</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James Spencer</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2"/>
          <w:szCs w:val="22"/>
          <w:color w:val="auto"/>
        </w:rPr>
        <w:t>POWER OF ATTORNEY</w:t>
      </w:r>
    </w:p>
    <w:p>
      <w:pPr>
        <w:spacing w:after="0" w:line="24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Douglas Friedman, Scott Zucker and Scott Wells, and each of them, with full power of substitution, the undersigned’s true and lawful attorneys-in-fact to:</w:t>
      </w:r>
    </w:p>
    <w:p>
      <w:pPr>
        <w:spacing w:after="0" w:line="197" w:lineRule="exact"/>
        <w:rPr>
          <w:sz w:val="20"/>
          <w:szCs w:val="20"/>
          <w:color w:val="auto"/>
        </w:rPr>
      </w:pPr>
    </w:p>
    <w:p>
      <w:pPr>
        <w:ind w:left="1300" w:right="40" w:hanging="644"/>
        <w:spacing w:after="0" w:line="297"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execute for and on behalf of the undersigned, in the undersigned’s capacity as executive officer, director and/or beneficial owner of equity securities of Tradeweb Markets Inc. (the “</w:t>
      </w:r>
      <w:r>
        <w:rPr>
          <w:rFonts w:ascii="Arial" w:cs="Arial" w:eastAsia="Arial" w:hAnsi="Arial"/>
          <w:sz w:val="16"/>
          <w:szCs w:val="16"/>
          <w:u w:val="single" w:color="auto"/>
          <w:color w:val="auto"/>
        </w:rPr>
        <w:t>Company</w:t>
      </w:r>
      <w:r>
        <w:rPr>
          <w:rFonts w:ascii="Arial" w:cs="Arial" w:eastAsia="Arial" w:hAnsi="Arial"/>
          <w:sz w:val="16"/>
          <w:szCs w:val="16"/>
          <w:color w:val="auto"/>
        </w:rPr>
        <w:t>”), (i) any forms required to be filed by the undersigned pursuant to Rule 144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(ii) Forms 3, 4, and 5 in accordance with Section 16(a) of the Exchange Act, (iii) Schedules 13D and 13G in accordance with Section 13 of the Exchange Act, and (iv) and any other forms or reports the undersigned may be required to file in connection with the undersigned’s ownership, acquisition, or disposition of securities of the Company;</w:t>
      </w:r>
    </w:p>
    <w:p>
      <w:pPr>
        <w:spacing w:after="0" w:line="104" w:lineRule="exact"/>
        <w:rPr>
          <w:rFonts w:ascii="Arial" w:cs="Arial" w:eastAsia="Arial" w:hAnsi="Arial"/>
          <w:sz w:val="16"/>
          <w:szCs w:val="16"/>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w:t>
      </w:r>
    </w:p>
    <w:p>
      <w:pPr>
        <w:spacing w:after="0" w:line="46" w:lineRule="exact"/>
        <w:rPr>
          <w:rFonts w:ascii="Arial" w:cs="Arial" w:eastAsia="Arial" w:hAnsi="Arial"/>
          <w:sz w:val="16"/>
          <w:szCs w:val="16"/>
          <w:color w:val="auto"/>
        </w:rPr>
      </w:pPr>
    </w:p>
    <w:p>
      <w:pPr>
        <w:ind w:left="1300"/>
        <w:spacing w:after="0" w:line="254" w:lineRule="auto"/>
        <w:rPr>
          <w:rFonts w:ascii="Arial" w:cs="Arial" w:eastAsia="Arial" w:hAnsi="Arial"/>
          <w:sz w:val="16"/>
          <w:szCs w:val="16"/>
          <w:color w:val="auto"/>
        </w:rPr>
      </w:pPr>
      <w:r>
        <w:rPr>
          <w:rFonts w:ascii="Arial" w:cs="Arial" w:eastAsia="Arial" w:hAnsi="Arial"/>
          <w:sz w:val="18"/>
          <w:szCs w:val="18"/>
          <w:color w:val="auto"/>
        </w:rPr>
        <w:t>(i) form required to be filed by the undersigned pursuant to Rule 144 under the Securities Act, (ii) Form 3, 4, or 5 under Section 16(a) of the Exchange Act, (iii) Schedule 13D or 13G under Section 13 of the Exchange Act, or (iv)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spacing w:after="0" w:line="135" w:lineRule="exact"/>
        <w:rPr>
          <w:rFonts w:ascii="Arial" w:cs="Arial" w:eastAsia="Arial" w:hAnsi="Arial"/>
          <w:sz w:val="16"/>
          <w:szCs w:val="16"/>
          <w:color w:val="auto"/>
        </w:rPr>
      </w:pPr>
    </w:p>
    <w:p>
      <w:pPr>
        <w:jc w:val="both"/>
        <w:ind w:left="1300" w:right="20" w:hanging="644"/>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3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Rule 144 under the Securities Act or Sections 13 or 16 of the Exchange Act.</w:t>
      </w:r>
    </w:p>
    <w:p>
      <w:pPr>
        <w:spacing w:after="0" w:line="19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any form required to be filed by the undersigned pursuant to Rule 144 under the Securities Act, any Form 3, 4, or 5 under Section 16(a) of the Exchange Act, or any Schedule 13D or 13G under Section 13 of the Exchange Act with respect to the undersigned’s holdings of and transactions in securities issued by the Company, unless earlier revoked by the undersigned in a signed writing delivered to the foregoing attorneys-in-fact.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2019.</w:t>
      </w:r>
    </w:p>
    <w:p>
      <w:pPr>
        <w:spacing w:after="0" w:line="1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James Spencer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James Spencer</w:t>
      </w:r>
    </w:p>
    <w:sectPr>
      <w:pgSz w:w="11900" w:h="16838" w:orient="portrait"/>
      <w:cols w:equalWidth="0" w:num="1">
        <w:col w:w="11400"/>
      </w:cols>
      <w:pgMar w:left="240" w:top="60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771296" TargetMode="External"/><Relationship Id="rId12"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2019-12-24T08:08:25Z</dcterms:created>
  <dcterms:modified xsi:type="dcterms:W3CDTF">2019-12-24T08:08:25Z</dcterms:modified>
</cp:coreProperties>
</file>