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2021</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October 28, 2021, Tradeweb Markets Inc. (the “Company”) issued a press release, a copy of which is furnished as Exhibit 99.1 hereto and incorporated herein by reference, announcing financial results for the quarter ended September 30, 2021.</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Tradeweb Markets Inc., dated October 28, 2021.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TRADEWEB MARKETS INC.</w:t>
            </w:r>
          </w:p>
        </w:tc>
      </w:tr>
      <w:tr>
        <w:trPr>
          <w:trHeight w:val="500"/>
        </w:trPr>
        <w:tc>
          <w:tcPr>
            <w:tcW w:w="4480" w:type="dxa"/>
            <w:vAlign w:val="bottom"/>
          </w:tcPr>
          <w:p>
            <w:pPr>
              <w:spacing w:after="0"/>
              <w:rPr>
                <w:sz w:val="20"/>
                <w:szCs w:val="20"/>
                <w:color w:val="auto"/>
              </w:rPr>
            </w:pPr>
            <w:r>
              <w:rPr>
                <w:rFonts w:ascii="Arial" w:cs="Arial" w:eastAsia="Arial" w:hAnsi="Arial"/>
                <w:sz w:val="18"/>
                <w:szCs w:val="18"/>
                <w:color w:val="auto"/>
              </w:rPr>
              <w:t>Date: October 28, 2021</w:t>
            </w: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By:   /s/ Douglas Friedman</w:t>
            </w:r>
          </w:p>
        </w:tc>
      </w:tr>
      <w:tr>
        <w:trPr>
          <w:trHeight w:val="222"/>
        </w:trPr>
        <w:tc>
          <w:tcPr>
            <w:tcW w:w="4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THIRD QUARTER 2021 FINANCIAL RESULTS</w:t>
      </w:r>
    </w:p>
    <w:p>
      <w:pPr>
        <w:spacing w:after="0" w:line="224" w:lineRule="exact"/>
        <w:rPr>
          <w:sz w:val="20"/>
          <w:szCs w:val="20"/>
          <w:color w:val="auto"/>
        </w:rPr>
      </w:pPr>
    </w:p>
    <w:p>
      <w:pPr>
        <w:ind w:left="20" w:right="20"/>
        <w:spacing w:after="0" w:line="286" w:lineRule="auto"/>
        <w:rPr>
          <w:sz w:val="20"/>
          <w:szCs w:val="20"/>
          <w:color w:val="auto"/>
        </w:rPr>
      </w:pPr>
      <w:r>
        <w:rPr>
          <w:rFonts w:ascii="Arial" w:cs="Arial" w:eastAsia="Arial" w:hAnsi="Arial"/>
          <w:sz w:val="16"/>
          <w:szCs w:val="16"/>
          <w:b w:val="1"/>
          <w:bCs w:val="1"/>
          <w:color w:val="auto"/>
        </w:rPr>
        <w:t xml:space="preserve">New York, October 28, 2021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59055</wp:posOffset>
            </wp:positionV>
            <wp:extent cx="3086100"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503170"/>
                    </a:xfrm>
                    <a:prstGeom prst="rect">
                      <a:avLst/>
                    </a:prstGeom>
                    <a:noFill/>
                  </pic:spPr>
                </pic:pic>
              </a:graphicData>
            </a:graphic>
          </wp:anchor>
        </w:drawing>
      </w:r>
    </w:p>
    <w:p>
      <w:pPr>
        <w:sectPr>
          <w:pgSz w:w="11900" w:h="16838" w:orient="portrait"/>
          <w:cols w:equalWidth="0" w:num="1">
            <w:col w:w="10960"/>
          </w:cols>
          <w:pgMar w:left="320" w:top="283" w:right="619" w:bottom="1440" w:gutter="0" w:footer="0" w:header="0"/>
        </w:sectPr>
      </w:pPr>
    </w:p>
    <w:p>
      <w:pPr>
        <w:spacing w:after="0" w:line="102" w:lineRule="exact"/>
        <w:rPr>
          <w:sz w:val="20"/>
          <w:szCs w:val="20"/>
          <w:color w:val="auto"/>
        </w:rPr>
      </w:pPr>
    </w:p>
    <w:p>
      <w:pPr>
        <w:ind w:left="20" w:right="620"/>
        <w:spacing w:after="0" w:line="286" w:lineRule="auto"/>
        <w:rPr>
          <w:sz w:val="20"/>
          <w:szCs w:val="20"/>
          <w:color w:val="auto"/>
        </w:rPr>
      </w:pPr>
      <w:r>
        <w:rPr>
          <w:rFonts w:ascii="Arial" w:cs="Arial" w:eastAsia="Arial" w:hAnsi="Arial"/>
          <w:sz w:val="16"/>
          <w:szCs w:val="16"/>
          <w:b w:val="1"/>
          <w:bCs w:val="1"/>
          <w:color w:val="auto"/>
        </w:rPr>
        <w:t xml:space="preserve">$265.3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24.6% </w:t>
      </w:r>
      <w:r>
        <w:rPr>
          <w:rFonts w:ascii="Arial" w:cs="Arial" w:eastAsia="Arial" w:hAnsi="Arial"/>
          <w:sz w:val="16"/>
          <w:szCs w:val="16"/>
          <w:color w:val="auto"/>
        </w:rPr>
        <w:t>(</w:t>
      </w:r>
      <w:r>
        <w:rPr>
          <w:rFonts w:ascii="Arial" w:cs="Arial" w:eastAsia="Arial" w:hAnsi="Arial"/>
          <w:sz w:val="16"/>
          <w:szCs w:val="16"/>
          <w:b w:val="1"/>
          <w:bCs w:val="1"/>
          <w:color w:val="auto"/>
        </w:rPr>
        <w:t xml:space="preserve">23.9%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right="40"/>
        <w:spacing w:after="0" w:line="256" w:lineRule="auto"/>
        <w:rPr>
          <w:sz w:val="20"/>
          <w:szCs w:val="20"/>
          <w:color w:val="auto"/>
        </w:rPr>
      </w:pPr>
      <w:r>
        <w:rPr>
          <w:rFonts w:ascii="Arial" w:cs="Arial" w:eastAsia="Arial" w:hAnsi="Arial"/>
          <w:sz w:val="16"/>
          <w:szCs w:val="16"/>
          <w:b w:val="1"/>
          <w:bCs w:val="1"/>
          <w:color w:val="auto"/>
        </w:rPr>
        <w:t xml:space="preserve">$964.5 billion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23.6% </w:t>
      </w:r>
      <w:r>
        <w:rPr>
          <w:rFonts w:ascii="Arial" w:cs="Arial" w:eastAsia="Arial" w:hAnsi="Arial"/>
          <w:sz w:val="16"/>
          <w:szCs w:val="16"/>
          <w:color w:val="auto"/>
        </w:rPr>
        <w:t xml:space="preserve">compared to prior year period, with record ADV in U.S. government bonds. In U.S. credit, Tradeweb set new records for its share of fully electronic TRACE volume: High Grade was </w:t>
      </w:r>
      <w:r>
        <w:rPr>
          <w:rFonts w:ascii="Arial" w:cs="Arial" w:eastAsia="Arial" w:hAnsi="Arial"/>
          <w:sz w:val="16"/>
          <w:szCs w:val="16"/>
          <w:b w:val="1"/>
          <w:bCs w:val="1"/>
          <w:color w:val="auto"/>
        </w:rPr>
        <w:t>12.6%</w:t>
      </w:r>
      <w:r>
        <w:rPr>
          <w:rFonts w:ascii="Arial" w:cs="Arial" w:eastAsia="Arial" w:hAnsi="Arial"/>
          <w:sz w:val="16"/>
          <w:szCs w:val="16"/>
          <w:color w:val="auto"/>
        </w:rPr>
        <w:t xml:space="preserve">, up from 7.7% in the prior year period, and High Yield was </w:t>
      </w:r>
      <w:r>
        <w:rPr>
          <w:rFonts w:ascii="Arial" w:cs="Arial" w:eastAsia="Arial" w:hAnsi="Arial"/>
          <w:sz w:val="16"/>
          <w:szCs w:val="16"/>
          <w:b w:val="1"/>
          <w:bCs w:val="1"/>
          <w:color w:val="auto"/>
        </w:rPr>
        <w:t>6.2%</w:t>
      </w:r>
      <w:r>
        <w:rPr>
          <w:rFonts w:ascii="Arial" w:cs="Arial" w:eastAsia="Arial" w:hAnsi="Arial"/>
          <w:sz w:val="16"/>
          <w:szCs w:val="16"/>
          <w:color w:val="auto"/>
        </w:rPr>
        <w:t>, up from 2.5% in the prior year period</w:t>
      </w:r>
    </w:p>
    <w:p>
      <w:pPr>
        <w:spacing w:after="0" w:line="99"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$65.3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$94.2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38.8%</w:t>
      </w:r>
      <w:r>
        <w:rPr>
          <w:rFonts w:ascii="Arial" w:cs="Arial" w:eastAsia="Arial" w:hAnsi="Arial"/>
          <w:sz w:val="16"/>
          <w:szCs w:val="16"/>
          <w:color w:val="auto"/>
        </w:rPr>
        <w:t xml:space="preserve">, and </w:t>
      </w:r>
      <w:r>
        <w:rPr>
          <w:rFonts w:ascii="Arial" w:cs="Arial" w:eastAsia="Arial" w:hAnsi="Arial"/>
          <w:sz w:val="16"/>
          <w:szCs w:val="16"/>
          <w:b w:val="1"/>
          <w:bCs w:val="1"/>
          <w:color w:val="auto"/>
        </w:rPr>
        <w:t>34.6%</w:t>
      </w:r>
      <w:r>
        <w:rPr>
          <w:rFonts w:ascii="Arial" w:cs="Arial" w:eastAsia="Arial" w:hAnsi="Arial"/>
          <w:sz w:val="16"/>
          <w:szCs w:val="16"/>
          <w:color w:val="auto"/>
        </w:rPr>
        <w:t xml:space="preserve"> respectively from prior year period</w:t>
      </w:r>
    </w:p>
    <w:p>
      <w:pPr>
        <w:spacing w:after="0" w:line="61" w:lineRule="exact"/>
        <w:rPr>
          <w:sz w:val="20"/>
          <w:szCs w:val="20"/>
          <w:color w:val="auto"/>
        </w:rPr>
      </w:pPr>
    </w:p>
    <w:p>
      <w:pPr>
        <w:ind w:left="20" w:right="300"/>
        <w:spacing w:after="0" w:line="286"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$132.9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47.4% or $100.9 million respectively for prior year period</w:t>
      </w:r>
    </w:p>
    <w:p>
      <w:pPr>
        <w:spacing w:after="0" w:line="61"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$0.26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$0.39 </w:t>
      </w:r>
      <w:r>
        <w:rPr>
          <w:rFonts w:ascii="Arial" w:cs="Arial" w:eastAsia="Arial" w:hAnsi="Arial"/>
          <w:sz w:val="16"/>
          <w:szCs w:val="16"/>
          <w:color w:val="auto"/>
        </w:rPr>
        <w:t>adjusted diluted earnings per share</w:t>
      </w:r>
    </w:p>
    <w:p>
      <w:pPr>
        <w:spacing w:after="0" w:line="75"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$12.0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3"/>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90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3Q21</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3Q20</w:t>
            </w:r>
          </w:p>
        </w:tc>
        <w:tc>
          <w:tcPr>
            <w:tcW w:w="8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14"/>
        </w:trPr>
        <w:tc>
          <w:tcPr>
            <w:tcW w:w="498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18"/>
                <w:szCs w:val="18"/>
                <w:color w:val="auto"/>
              </w:rPr>
            </w:pPr>
          </w:p>
        </w:tc>
        <w:tc>
          <w:tcPr>
            <w:tcW w:w="38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90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265,325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212,870</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24.6 %</w:t>
            </w: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139,418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115,766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20.4 %</w:t>
            </w:r>
          </w:p>
        </w:tc>
        <w:tc>
          <w:tcPr>
            <w:tcW w:w="560" w:type="dxa"/>
            <w:vAlign w:val="bottom"/>
          </w:tcPr>
          <w:p>
            <w:pPr>
              <w:jc w:val="right"/>
              <w:spacing w:after="0"/>
              <w:rPr>
                <w:sz w:val="20"/>
                <w:szCs w:val="20"/>
                <w:color w:val="auto"/>
              </w:rPr>
            </w:pPr>
            <w:r>
              <w:rPr>
                <w:rFonts w:ascii="Arial" w:cs="Arial" w:eastAsia="Arial" w:hAnsi="Arial"/>
                <w:sz w:val="16"/>
                <w:szCs w:val="16"/>
                <w:color w:val="auto"/>
              </w:rPr>
              <w:t>19.7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72,243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50,216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43.9 %</w:t>
            </w:r>
          </w:p>
        </w:tc>
        <w:tc>
          <w:tcPr>
            <w:tcW w:w="560" w:type="dxa"/>
            <w:vAlign w:val="bottom"/>
          </w:tcPr>
          <w:p>
            <w:pPr>
              <w:jc w:val="right"/>
              <w:spacing w:after="0"/>
              <w:rPr>
                <w:sz w:val="20"/>
                <w:szCs w:val="20"/>
                <w:color w:val="auto"/>
              </w:rPr>
            </w:pPr>
            <w:r>
              <w:rPr>
                <w:rFonts w:ascii="Arial" w:cs="Arial" w:eastAsia="Arial" w:hAnsi="Arial"/>
                <w:sz w:val="16"/>
                <w:szCs w:val="16"/>
                <w:color w:val="auto"/>
              </w:rPr>
              <w:t>43.2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16,457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11,857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38.8 %</w:t>
            </w:r>
          </w:p>
        </w:tc>
        <w:tc>
          <w:tcPr>
            <w:tcW w:w="560" w:type="dxa"/>
            <w:vAlign w:val="bottom"/>
          </w:tcPr>
          <w:p>
            <w:pPr>
              <w:jc w:val="right"/>
              <w:spacing w:after="0"/>
              <w:rPr>
                <w:sz w:val="20"/>
                <w:szCs w:val="20"/>
                <w:color w:val="auto"/>
              </w:rPr>
            </w:pPr>
            <w:r>
              <w:rPr>
                <w:rFonts w:ascii="Arial" w:cs="Arial" w:eastAsia="Arial" w:hAnsi="Arial"/>
                <w:sz w:val="16"/>
                <w:szCs w:val="16"/>
                <w:color w:val="auto"/>
              </w:rPr>
              <w:t>37.7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11,221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10,491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7.0 %</w:t>
            </w: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20,515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18,598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10.3 %</w:t>
            </w:r>
          </w:p>
        </w:tc>
        <w:tc>
          <w:tcPr>
            <w:tcW w:w="560" w:type="dxa"/>
            <w:vAlign w:val="bottom"/>
          </w:tcPr>
          <w:p>
            <w:pPr>
              <w:jc w:val="right"/>
              <w:spacing w:after="0"/>
              <w:rPr>
                <w:sz w:val="20"/>
                <w:szCs w:val="20"/>
                <w:color w:val="auto"/>
              </w:rPr>
            </w:pPr>
            <w:r>
              <w:rPr>
                <w:rFonts w:ascii="Arial" w:cs="Arial" w:eastAsia="Arial" w:hAnsi="Arial"/>
                <w:sz w:val="16"/>
                <w:szCs w:val="16"/>
                <w:color w:val="auto"/>
              </w:rPr>
              <w:t>9.2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5,471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5,942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(7.9) %</w:t>
            </w:r>
          </w:p>
        </w:tc>
        <w:tc>
          <w:tcPr>
            <w:tcW w:w="940" w:type="dxa"/>
            <w:vAlign w:val="bottom"/>
            <w:gridSpan w:val="2"/>
          </w:tcPr>
          <w:p>
            <w:pPr>
              <w:jc w:val="right"/>
              <w:ind w:right="99"/>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65,305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47,048</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38.8 %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54,763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36,812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48.8 %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0.26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0.19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36.8 %</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2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132,946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100,913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31.7 %</w:t>
            </w: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47.4 %</w:t>
            </w:r>
          </w:p>
        </w:tc>
        <w:tc>
          <w:tcPr>
            <w:tcW w:w="880" w:type="dxa"/>
            <w:vAlign w:val="bottom"/>
          </w:tcPr>
          <w:p>
            <w:pPr>
              <w:jc w:val="right"/>
              <w:spacing w:after="0"/>
              <w:rPr>
                <w:sz w:val="20"/>
                <w:szCs w:val="20"/>
                <w:color w:val="auto"/>
              </w:rPr>
            </w:pPr>
            <w:r>
              <w:rPr>
                <w:rFonts w:ascii="Arial" w:cs="Arial" w:eastAsia="Arial" w:hAnsi="Arial"/>
                <w:sz w:val="16"/>
                <w:szCs w:val="16"/>
                <w:color w:val="auto"/>
              </w:rPr>
              <w:t>+270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+234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121,079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90,015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34.5 %</w:t>
            </w:r>
          </w:p>
        </w:tc>
        <w:tc>
          <w:tcPr>
            <w:tcW w:w="560" w:type="dxa"/>
            <w:vAlign w:val="bottom"/>
          </w:tcPr>
          <w:p>
            <w:pPr>
              <w:jc w:val="right"/>
              <w:spacing w:after="0"/>
              <w:rPr>
                <w:sz w:val="20"/>
                <w:szCs w:val="20"/>
                <w:color w:val="auto"/>
              </w:rPr>
            </w:pPr>
            <w:r>
              <w:rPr>
                <w:rFonts w:ascii="Arial" w:cs="Arial" w:eastAsia="Arial" w:hAnsi="Arial"/>
                <w:sz w:val="16"/>
                <w:szCs w:val="16"/>
                <w:color w:val="auto"/>
              </w:rPr>
              <w:t>32.6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45.6 %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42.3 %</w:t>
            </w:r>
          </w:p>
        </w:tc>
        <w:tc>
          <w:tcPr>
            <w:tcW w:w="880" w:type="dxa"/>
            <w:vAlign w:val="bottom"/>
          </w:tcPr>
          <w:p>
            <w:pPr>
              <w:jc w:val="right"/>
              <w:spacing w:after="0"/>
              <w:rPr>
                <w:sz w:val="20"/>
                <w:szCs w:val="20"/>
                <w:color w:val="auto"/>
              </w:rPr>
            </w:pPr>
            <w:r>
              <w:rPr>
                <w:rFonts w:ascii="Arial" w:cs="Arial" w:eastAsia="Arial" w:hAnsi="Arial"/>
                <w:sz w:val="16"/>
                <w:szCs w:val="16"/>
                <w:color w:val="auto"/>
              </w:rPr>
              <w:t>+335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+298 bps</w:t>
            </w:r>
          </w:p>
        </w:tc>
        <w:tc>
          <w:tcPr>
            <w:tcW w:w="0" w:type="dxa"/>
            <w:vAlign w:val="bottom"/>
          </w:tcPr>
          <w:p>
            <w:pPr>
              <w:spacing w:after="0"/>
              <w:rPr>
                <w:sz w:val="1"/>
                <w:szCs w:val="1"/>
                <w:color w:val="auto"/>
              </w:rPr>
            </w:pPr>
          </w:p>
        </w:tc>
      </w:tr>
      <w:tr>
        <w:trPr>
          <w:trHeight w:val="24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94,160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69,939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34.6 %</w:t>
            </w:r>
          </w:p>
        </w:tc>
        <w:tc>
          <w:tcPr>
            <w:tcW w:w="560" w:type="dxa"/>
            <w:vAlign w:val="bottom"/>
          </w:tcPr>
          <w:p>
            <w:pPr>
              <w:jc w:val="right"/>
              <w:spacing w:after="0"/>
              <w:rPr>
                <w:sz w:val="20"/>
                <w:szCs w:val="20"/>
                <w:color w:val="auto"/>
              </w:rPr>
            </w:pPr>
            <w:r>
              <w:rPr>
                <w:rFonts w:ascii="Arial" w:cs="Arial" w:eastAsia="Arial" w:hAnsi="Arial"/>
                <w:sz w:val="16"/>
                <w:szCs w:val="16"/>
                <w:color w:val="auto"/>
              </w:rPr>
              <w:t>32.7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1800" w:type="dxa"/>
            <w:vAlign w:val="bottom"/>
          </w:tcPr>
          <w:p>
            <w:pPr>
              <w:ind w:left="20"/>
              <w:spacing w:after="0" w:line="147"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0.39</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rPr>
              <w:t>0.30</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30.0 %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line="125" w:lineRule="exact"/>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00497F"/>
        </w:rPr>
        <w:t>Lee Olesky, CEO of Tradeweb Markets:</w:t>
      </w:r>
    </w:p>
    <w:p>
      <w:pPr>
        <w:spacing w:after="0" w:line="119" w:lineRule="exact"/>
        <w:rPr>
          <w:sz w:val="20"/>
          <w:szCs w:val="20"/>
          <w:color w:val="auto"/>
        </w:rPr>
      </w:pPr>
    </w:p>
    <w:p>
      <w:pPr>
        <w:ind w:left="360" w:right="340"/>
        <w:spacing w:after="0" w:line="229" w:lineRule="auto"/>
        <w:rPr>
          <w:sz w:val="20"/>
          <w:szCs w:val="20"/>
          <w:color w:val="auto"/>
        </w:rPr>
      </w:pPr>
      <w:r>
        <w:rPr>
          <w:rFonts w:ascii="Arial" w:cs="Arial" w:eastAsia="Arial" w:hAnsi="Arial"/>
          <w:sz w:val="21"/>
          <w:szCs w:val="21"/>
          <w:color w:val="auto"/>
        </w:rPr>
        <w:t>“Tradeweb’s strong momentum from the first half of the year continued through the third quarter of 2021, producing our second-best revenue quarter ever. Growth in trading volume was broad-based across our markets, with U.S. Credit, global swaps and U.S. Treasuries leading the way. We were delighted to welcome Sara Furber as our new CFO, helping us navigate Tradeweb’s next phase of growth and development. Finally, we published our inaugural Corporate Sustainability Report to increase transparency for our strong foundation in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308610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FFFFFF"/>
              </w:rPr>
              <w:t>3Q21</w:t>
            </w:r>
          </w:p>
        </w:tc>
        <w:tc>
          <w:tcPr>
            <w:tcW w:w="24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FFFFFF"/>
              </w:rPr>
              <w:t>3Q20</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311</w:t>
            </w:r>
          </w:p>
        </w:tc>
        <w:tc>
          <w:tcPr>
            <w:tcW w:w="88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179</w:t>
            </w:r>
          </w:p>
        </w:tc>
        <w:tc>
          <w:tcPr>
            <w:tcW w:w="880" w:type="dxa"/>
            <w:vAlign w:val="bottom"/>
          </w:tcPr>
          <w:p>
            <w:pPr>
              <w:jc w:val="right"/>
              <w:spacing w:after="0"/>
              <w:rPr>
                <w:sz w:val="20"/>
                <w:szCs w:val="20"/>
                <w:color w:val="auto"/>
              </w:rPr>
            </w:pPr>
            <w:r>
              <w:rPr>
                <w:rFonts w:ascii="Arial" w:cs="Arial" w:eastAsia="Arial" w:hAnsi="Arial"/>
                <w:sz w:val="16"/>
                <w:szCs w:val="16"/>
                <w:color w:val="auto"/>
              </w:rPr>
              <w:t>37.9 %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490</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19.2 %</w:t>
            </w:r>
          </w:p>
        </w:tc>
      </w:tr>
      <w:tr>
        <w:trPr>
          <w:trHeight w:val="223"/>
        </w:trPr>
        <w:tc>
          <w:tcPr>
            <w:tcW w:w="120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20.0 %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20</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13.8 %</w:t>
            </w:r>
          </w:p>
        </w:tc>
      </w:tr>
      <w:tr>
        <w:trPr>
          <w:trHeight w:val="223"/>
        </w:trPr>
        <w:tc>
          <w:tcPr>
            <w:tcW w:w="120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880" w:type="dxa"/>
            <w:vAlign w:val="bottom"/>
          </w:tcPr>
          <w:p>
            <w:pPr>
              <w:jc w:val="right"/>
              <w:spacing w:after="0"/>
              <w:rPr>
                <w:sz w:val="20"/>
                <w:szCs w:val="20"/>
                <w:color w:val="auto"/>
              </w:rPr>
            </w:pPr>
            <w:r>
              <w:rPr>
                <w:rFonts w:ascii="Arial" w:cs="Arial" w:eastAsia="Arial" w:hAnsi="Arial"/>
                <w:sz w:val="16"/>
                <w:szCs w:val="16"/>
                <w:color w:val="auto"/>
              </w:rPr>
              <w:t>38.8 %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92.9 %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1"/>
                <w:szCs w:val="21"/>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60.4 %</w:t>
            </w:r>
          </w:p>
        </w:tc>
      </w:tr>
      <w:tr>
        <w:trPr>
          <w:trHeight w:val="287"/>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Pr>
          <w:p>
            <w:pPr>
              <w:spacing w:after="0"/>
              <w:rPr>
                <w:sz w:val="24"/>
                <w:szCs w:val="24"/>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262</w:t>
            </w:r>
          </w:p>
        </w:tc>
        <w:tc>
          <w:tcPr>
            <w:tcW w:w="880" w:type="dxa"/>
            <w:vAlign w:val="bottom"/>
          </w:tcPr>
          <w:p>
            <w:pPr>
              <w:jc w:val="right"/>
              <w:spacing w:after="0"/>
              <w:rPr>
                <w:sz w:val="20"/>
                <w:szCs w:val="20"/>
                <w:color w:val="auto"/>
              </w:rPr>
            </w:pPr>
            <w:r>
              <w:rPr>
                <w:rFonts w:ascii="Arial" w:cs="Arial" w:eastAsia="Arial" w:hAnsi="Arial"/>
                <w:sz w:val="16"/>
                <w:szCs w:val="16"/>
                <w:color w:val="auto"/>
              </w:rPr>
              <w:t>31.3 %</w:t>
            </w:r>
          </w:p>
        </w:tc>
      </w:tr>
      <w:tr>
        <w:trPr>
          <w:trHeight w:val="314"/>
        </w:trPr>
        <w:tc>
          <w:tcPr>
            <w:tcW w:w="120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083566"/>
            </w:tcBorders>
            <w:shd w:val="clear" w:color="auto" w:fill="D5DCE4"/>
          </w:tcPr>
          <w:p>
            <w:pPr>
              <w:spacing w:after="0"/>
              <w:rPr>
                <w:sz w:val="24"/>
                <w:szCs w:val="24"/>
                <w:color w:val="auto"/>
              </w:rPr>
            </w:pPr>
          </w:p>
        </w:tc>
        <w:tc>
          <w:tcPr>
            <w:tcW w:w="5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Borders>
              <w:bottom w:val="single" w:sz="8" w:color="083566"/>
            </w:tcBorders>
            <w:shd w:val="clear" w:color="auto" w:fill="D5DCE4"/>
          </w:tcPr>
          <w:p>
            <w:pPr>
              <w:spacing w:after="0"/>
              <w:rPr>
                <w:sz w:val="24"/>
                <w:szCs w:val="24"/>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262</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31.3 %</w:t>
            </w:r>
          </w:p>
        </w:tc>
      </w:tr>
      <w:tr>
        <w:trPr>
          <w:trHeight w:val="243"/>
        </w:trPr>
        <w:tc>
          <w:tcPr>
            <w:tcW w:w="1200" w:type="dxa"/>
            <w:vAlign w:val="bottom"/>
          </w:tcPr>
          <w:p>
            <w:pPr>
              <w:spacing w:after="0"/>
              <w:rPr>
                <w:sz w:val="21"/>
                <w:szCs w:val="21"/>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964</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780</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23.6 %</w:t>
            </w:r>
          </w:p>
        </w:tc>
      </w:tr>
    </w:tbl>
    <w:p>
      <w:pPr>
        <w:spacing w:after="0" w:line="269" w:lineRule="exact"/>
        <w:rPr>
          <w:sz w:val="20"/>
          <w:szCs w:val="20"/>
          <w:color w:val="auto"/>
        </w:rPr>
      </w:pPr>
    </w:p>
    <w:p>
      <w:pPr>
        <w:ind w:left="280" w:right="140" w:hanging="252"/>
        <w:spacing w:after="0" w:line="238" w:lineRule="auto"/>
        <w:tabs>
          <w:tab w:leader="none" w:pos="217"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0" w:lineRule="exact"/>
        <w:rPr>
          <w:rFonts w:ascii="Arial" w:cs="Arial" w:eastAsia="Arial" w:hAnsi="Arial"/>
          <w:sz w:val="12"/>
          <w:szCs w:val="12"/>
          <w:color w:val="auto"/>
        </w:rPr>
      </w:pPr>
    </w:p>
    <w:p>
      <w:pPr>
        <w:ind w:left="200" w:hanging="172"/>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20" w:space="180"/>
            <w:col w:w="4860"/>
          </w:cols>
          <w:pgMar w:left="320" w:top="283" w:right="6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$139.4 million in the third quarter of 2021 increased 20.4% compared to prior year period (19.7% on a constant currency basis). Rates</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19.2% with record trading activity in U.S. Treasuries and strong year-over-year volume growth in European government bonds and swaps/swaptions.</w:t>
      </w:r>
    </w:p>
    <w:p>
      <w:pPr>
        <w:spacing w:after="0" w:line="19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$72.2 million in the third quarter of 2021 increased 43.9% compared to prior year period (43.2% on a constant currency basis).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13.8% with year-over-year increases in U.S. and European credit trading. In U.S. credit, Tradeweb set new records for its share of fully electronic TRACE volume: High Grade was 12.6%, up from 7.7% in the prior year period and High Yield was 6.2%, up from 2.5% over prior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$16.5 million in the third quarter of 2021 increased 38.8% compared to prior year period (37.7% on a constant currency basis).</w:t>
      </w:r>
    </w:p>
    <w:p>
      <w:pPr>
        <w:spacing w:after="0"/>
        <w:rPr>
          <w:sz w:val="20"/>
          <w:szCs w:val="20"/>
          <w:color w:val="auto"/>
        </w:rPr>
      </w:pPr>
      <w:r>
        <w:rPr>
          <w:rFonts w:ascii="Arial" w:cs="Arial" w:eastAsia="Arial" w:hAnsi="Arial"/>
          <w:sz w:val="16"/>
          <w:szCs w:val="16"/>
          <w:color w:val="auto"/>
        </w:rPr>
        <w:t>Equities ADV was up 60.4% with robust year-over-year volume growth in U.S. and European ETFs.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$11.2 million in the third quarter of 2021 increased 7.0% compared to prior year period (6.4% on a constant currency basis).</w:t>
      </w:r>
    </w:p>
    <w:p>
      <w:pPr>
        <w:spacing w:after="0"/>
        <w:rPr>
          <w:sz w:val="20"/>
          <w:szCs w:val="20"/>
          <w:color w:val="auto"/>
        </w:rPr>
      </w:pPr>
      <w:r>
        <w:rPr>
          <w:rFonts w:ascii="Arial" w:cs="Arial" w:eastAsia="Arial" w:hAnsi="Arial"/>
          <w:sz w:val="16"/>
          <w:szCs w:val="16"/>
          <w:color w:val="auto"/>
        </w:rPr>
        <w:t>Money Markets ADV was up 31.3% led by a strong year-over-year volume growth in Global Repo trading.</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$20.5 million in the third quarter of 2021 increased 10.3% compared to prior year period (9.2% on a constant currency basis).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derived from increased third party market data fees, Refinitiv market data fees, and revenue from our APA reporting service.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$5.5 million in the third quarter of 2021 decreased 7.9% compared to prior year period (7.9% decrease on a constant currency basis).</w:t>
      </w:r>
    </w:p>
    <w:p>
      <w:pPr>
        <w:spacing w:after="0" w:line="221" w:lineRule="exact"/>
        <w:rPr>
          <w:sz w:val="20"/>
          <w:szCs w:val="20"/>
          <w:color w:val="auto"/>
        </w:rPr>
      </w:pPr>
    </w:p>
    <w:p>
      <w:pPr>
        <w:ind w:right="60"/>
        <w:spacing w:after="0" w:line="219"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$179.8 million in the third quarter of 2021 increased 16.5% compared to $154.3 million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due to: higher employee compensation and benefits associated with higher headcount to support growth and higher performance-related compensation; higher depreciation and amortization expense; higher technology and communications expenses primarily due to investments in our data strategy and cybersecurity and clearance and data fees driven by higher trading volumes; and higher general and administrative expenses as we gradually recover from the pandemic, which were partially offset by lower foreign exchange losses. Adjusted Expenses of $144.2 million increased 17.4% (17.5% on a constant currency basis) compared to the prior year period due to: higher employee compensation and benefits associated with higher headcount to support growth and higher performance-related compensation; higher technology and communications expenses; higher general and administrative expenses; and higher professional fees. Please see "Non-GAAP Financial Measures" below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Third Quarter 2021</w:t>
      </w:r>
    </w:p>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Sara Furber as Chief Financial Officer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Published Tradeweb’s inaugural Corporate Sustainability Report</w:t>
      </w:r>
    </w:p>
    <w:p>
      <w:pPr>
        <w:spacing w:after="0" w:line="5" w:lineRule="exact"/>
        <w:rPr>
          <w:rFonts w:ascii="Arial" w:cs="Arial" w:eastAsia="Arial" w:hAnsi="Arial"/>
          <w:sz w:val="16"/>
          <w:szCs w:val="16"/>
          <w:color w:val="auto"/>
        </w:rPr>
      </w:pPr>
    </w:p>
    <w:p>
      <w:pPr>
        <w:ind w:left="660" w:right="64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first Southbound Bond Connect transactions via the trading link between Tradeweb and China Foreign Exchange Trade System (CFETS), allowing mainland China onshore institutions to invest in Hong Kong’s fixed income markets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Devi Shanmugham as Global Head of Compliance</w:t>
      </w:r>
    </w:p>
    <w:p>
      <w:pPr>
        <w:spacing w:after="0" w:line="5" w:lineRule="exact"/>
        <w:rPr>
          <w:rFonts w:ascii="Arial" w:cs="Arial" w:eastAsia="Arial" w:hAnsi="Arial"/>
          <w:sz w:val="16"/>
          <w:szCs w:val="16"/>
          <w:color w:val="auto"/>
        </w:rPr>
      </w:pPr>
    </w:p>
    <w:p>
      <w:pPr>
        <w:ind w:left="660" w:right="10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Best Workplaces for Innovators</w:t>
      </w:r>
      <w:r>
        <w:rPr>
          <w:rFonts w:ascii="Arial" w:cs="Arial" w:eastAsia="Arial" w:hAnsi="Arial"/>
          <w:sz w:val="16"/>
          <w:szCs w:val="16"/>
          <w:color w:val="auto"/>
        </w:rPr>
        <w:t xml:space="preserve"> (Fast Company); </w:t>
      </w:r>
      <w:r>
        <w:rPr>
          <w:rFonts w:ascii="Arial" w:cs="Arial" w:eastAsia="Arial" w:hAnsi="Arial"/>
          <w:sz w:val="16"/>
          <w:szCs w:val="16"/>
          <w:i w:val="1"/>
          <w:iCs w:val="1"/>
          <w:color w:val="auto"/>
        </w:rPr>
        <w:t>OTC Trading Venue of the Year</w:t>
      </w:r>
      <w:r>
        <w:rPr>
          <w:rFonts w:ascii="Arial" w:cs="Arial" w:eastAsia="Arial" w:hAnsi="Arial"/>
          <w:sz w:val="16"/>
          <w:szCs w:val="16"/>
          <w:color w:val="auto"/>
        </w:rPr>
        <w:t xml:space="preserve"> (GlobalCapital); </w:t>
      </w:r>
      <w:r>
        <w:rPr>
          <w:rFonts w:ascii="Arial" w:cs="Arial" w:eastAsia="Arial" w:hAnsi="Arial"/>
          <w:sz w:val="16"/>
          <w:szCs w:val="16"/>
          <w:i w:val="1"/>
          <w:iCs w:val="1"/>
          <w:color w:val="auto"/>
        </w:rPr>
        <w:t>OTC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Trading Platform of the Year </w:t>
      </w:r>
      <w:r>
        <w:rPr>
          <w:rFonts w:ascii="Arial" w:cs="Arial" w:eastAsia="Arial" w:hAnsi="Arial"/>
          <w:sz w:val="16"/>
          <w:szCs w:val="16"/>
          <w:color w:val="auto"/>
        </w:rPr>
        <w:t>(Asia Risk);</w:t>
      </w:r>
      <w:r>
        <w:rPr>
          <w:rFonts w:ascii="Arial" w:cs="Arial" w:eastAsia="Arial" w:hAnsi="Arial"/>
          <w:sz w:val="16"/>
          <w:szCs w:val="16"/>
          <w:i w:val="1"/>
          <w:iCs w:val="1"/>
          <w:color w:val="auto"/>
        </w:rPr>
        <w:t xml:space="preserve"> Buy-Side Trading System of the Year </w:t>
      </w:r>
      <w:r>
        <w:rPr>
          <w:rFonts w:ascii="Arial" w:cs="Arial" w:eastAsia="Arial" w:hAnsi="Arial"/>
          <w:sz w:val="16"/>
          <w:szCs w:val="16"/>
          <w:color w:val="auto"/>
        </w:rPr>
        <w:t>(Asia Risk);</w:t>
      </w:r>
      <w:r>
        <w:rPr>
          <w:rFonts w:ascii="Arial" w:cs="Arial" w:eastAsia="Arial" w:hAnsi="Arial"/>
          <w:sz w:val="16"/>
          <w:szCs w:val="16"/>
          <w:i w:val="1"/>
          <w:iCs w:val="1"/>
          <w:color w:val="auto"/>
        </w:rPr>
        <w:t xml:space="preserve"> Excellence in Trading Platforms – Jennifer Keser </w:t>
      </w:r>
      <w:r>
        <w:rPr>
          <w:rFonts w:ascii="Arial" w:cs="Arial" w:eastAsia="Arial" w:hAnsi="Arial"/>
          <w:sz w:val="16"/>
          <w:szCs w:val="16"/>
          <w:color w:val="auto"/>
        </w:rPr>
        <w:t xml:space="preserve">(Markets Media), </w:t>
      </w:r>
      <w:r>
        <w:rPr>
          <w:rFonts w:ascii="Arial" w:cs="Arial" w:eastAsia="Arial" w:hAnsi="Arial"/>
          <w:sz w:val="16"/>
          <w:szCs w:val="16"/>
          <w:i w:val="1"/>
          <w:iCs w:val="1"/>
          <w:color w:val="auto"/>
        </w:rPr>
        <w:t>Rising Star – Santa Dudica</w:t>
      </w:r>
      <w:r>
        <w:rPr>
          <w:rFonts w:ascii="Arial" w:cs="Arial" w:eastAsia="Arial" w:hAnsi="Arial"/>
          <w:sz w:val="16"/>
          <w:szCs w:val="16"/>
          <w:color w:val="auto"/>
        </w:rPr>
        <w:t xml:space="preserve"> (Markets Media)</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October 2021</w:t>
      </w:r>
    </w:p>
    <w:p>
      <w:pPr>
        <w:spacing w:after="0" w:line="5" w:lineRule="exact"/>
        <w:rPr>
          <w:sz w:val="20"/>
          <w:szCs w:val="20"/>
          <w:color w:val="auto"/>
        </w:rPr>
      </w:pPr>
    </w:p>
    <w:p>
      <w:pPr>
        <w:ind w:left="660" w:right="20" w:hanging="328"/>
        <w:spacing w:after="0" w:line="24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Introduced Trade at Close functionality for electronic portfolio trading, allowing U.S. and European clients to electronically execute portfolio trades at end-of-day prices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Named to list of </w:t>
      </w:r>
      <w:r>
        <w:rPr>
          <w:rFonts w:ascii="Arial" w:cs="Arial" w:eastAsia="Arial" w:hAnsi="Arial"/>
          <w:sz w:val="16"/>
          <w:szCs w:val="16"/>
          <w:i w:val="1"/>
          <w:iCs w:val="1"/>
          <w:color w:val="auto"/>
        </w:rPr>
        <w:t>Best ESG Companies of 2021</w:t>
      </w:r>
      <w:r>
        <w:rPr>
          <w:rFonts w:ascii="Arial" w:cs="Arial" w:eastAsia="Arial" w:hAnsi="Arial"/>
          <w:sz w:val="16"/>
          <w:szCs w:val="16"/>
          <w:color w:val="auto"/>
        </w:rPr>
        <w:t xml:space="preserve"> by Investor’s Business Daily, ranking 36 among top 100 stocks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26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$821.9 million in cash and cash equivalents and an undrawn $500 million credit facility at September 30, 2021</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Non-acquisition related capital expenditures and capitalization of software development in third quarter 2021: $10.0 million</w:t>
      </w:r>
    </w:p>
    <w:p>
      <w:pPr>
        <w:spacing w:after="0" w:line="5" w:lineRule="exact"/>
        <w:rPr>
          <w:rFonts w:ascii="Arial" w:cs="Arial" w:eastAsia="Arial" w:hAnsi="Arial"/>
          <w:sz w:val="16"/>
          <w:szCs w:val="16"/>
          <w:color w:val="auto"/>
        </w:rPr>
      </w:pPr>
    </w:p>
    <w:p>
      <w:pPr>
        <w:ind w:left="660" w:right="38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2021 of $477.4 million, up 25.6% year over year. See “Non-GAAP Financial Measures” for additional information</w:t>
      </w:r>
    </w:p>
    <w:p>
      <w:pPr>
        <w:ind w:left="660" w:right="120" w:hanging="328"/>
        <w:spacing w:after="0" w:line="24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third quarter of 2021, as part of its Share Repurchase Program, Tradeweb purchased 140,169 shares of Class A common stock, at an average price of $85.61, for purchases totaling $12.0 million. During the nine months ended September 30, 2021, we purchased a total of 757,813 shares of Class A common stock, at an average price of $84.03, for purchases totaling $63.7 million. As of September 30, 2021, a total of $86.3 million remained available for repurchase pursuant to the Share Repurchase Program</w:t>
      </w:r>
    </w:p>
    <w:p>
      <w:pPr>
        <w:ind w:left="660" w:right="34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$3.1 million in shares were withheld in the third quarter of 2021 to satisfy tax obligations related to the exercise of stock options. During the nine months ended September 30, 2021, a total of $56.6 million in shares were withheld for this purpose</w:t>
      </w:r>
    </w:p>
    <w:p>
      <w:pPr>
        <w:spacing w:after="0" w:line="1"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December 15, 2021 to stockholders of record as of December 1,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2021 Guidance*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Full-Year 2021 guidance is unchanged from prior quarter.</w:t>
      </w:r>
    </w:p>
    <w:p>
      <w:pPr>
        <w:spacing w:after="0" w:line="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$565 - $580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$124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$49 - $53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third quarter 2021 results starting at 9:30 AM EDT today, October 28, 2021. A live, audio webcast of the conference call along with related materials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conference ID 9727576. After the conference call, an archived recording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$970 billion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r>
      <w:tr>
        <w:trPr>
          <w:trHeight w:val="256"/>
        </w:trPr>
        <w:tc>
          <w:tcPr>
            <w:tcW w:w="4980" w:type="dxa"/>
            <w:vAlign w:val="bottom"/>
            <w:tcBorders>
              <w:bottom w:val="single" w:sz="8" w:color="D5DCE4"/>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shd w:val="clear" w:color="auto" w:fill="D5DCE4"/>
          </w:tcPr>
          <w:p>
            <w:pPr>
              <w:spacing w:after="0"/>
              <w:rPr>
                <w:sz w:val="21"/>
                <w:szCs w:val="21"/>
                <w:color w:val="auto"/>
              </w:rPr>
            </w:pPr>
          </w:p>
        </w:tc>
        <w:tc>
          <w:tcPr>
            <w:tcW w:w="1440" w:type="dxa"/>
            <w:vAlign w:val="bottom"/>
            <w:gridSpan w:val="2"/>
            <w:shd w:val="clear" w:color="auto" w:fill="D5DCE4"/>
          </w:tcPr>
          <w:p>
            <w:pPr>
              <w:ind w:left="20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160" w:type="dxa"/>
            <w:vAlign w:val="bottom"/>
            <w:shd w:val="clear" w:color="auto" w:fill="D5DCE4"/>
          </w:tcPr>
          <w:p>
            <w:pPr>
              <w:spacing w:after="0"/>
              <w:rPr>
                <w:sz w:val="21"/>
                <w:szCs w:val="21"/>
                <w:color w:val="auto"/>
              </w:rPr>
            </w:pPr>
          </w:p>
        </w:tc>
        <w:tc>
          <w:tcPr>
            <w:tcW w:w="1420" w:type="dxa"/>
            <w:vAlign w:val="bottom"/>
            <w:gridSpan w:val="2"/>
            <w:shd w:val="clear" w:color="auto" w:fill="D5DCE4"/>
          </w:tcPr>
          <w:p>
            <w:pPr>
              <w:ind w:left="18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206,316</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160,175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629,513</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503,753</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41,390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36,217</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117,141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105,706</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45,045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43,466</w:t>
            </w:r>
          </w:p>
        </w:tc>
      </w:tr>
      <w:tr>
        <w:trPr>
          <w:trHeight w:val="246"/>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2,617</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2,205</w:t>
            </w:r>
          </w:p>
        </w:tc>
        <w:tc>
          <w:tcPr>
            <w:tcW w:w="80" w:type="dxa"/>
            <w:vAlign w:val="bottom"/>
            <w:shd w:val="clear" w:color="auto" w:fill="D5DCE4"/>
          </w:tcPr>
          <w:p>
            <w:pPr>
              <w:spacing w:after="0"/>
              <w:rPr>
                <w:sz w:val="21"/>
                <w:szCs w:val="21"/>
                <w:color w:val="auto"/>
              </w:rPr>
            </w:pPr>
          </w:p>
        </w:tc>
        <w:tc>
          <w:tcPr>
            <w:tcW w:w="16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7,865</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6,658</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265,325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212,870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799,564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659,583</w:t>
            </w:r>
          </w:p>
        </w:tc>
      </w:tr>
      <w:tr>
        <w:trPr>
          <w:trHeight w:val="280"/>
        </w:trPr>
        <w:tc>
          <w:tcPr>
            <w:tcW w:w="4980" w:type="dxa"/>
            <w:vAlign w:val="bottom"/>
            <w:shd w:val="clear" w:color="auto" w:fill="D5DCE4"/>
          </w:tcPr>
          <w:p>
            <w:pPr>
              <w:spacing w:after="0"/>
              <w:rPr>
                <w:sz w:val="24"/>
                <w:szCs w:val="24"/>
                <w:color w:val="auto"/>
              </w:rPr>
            </w:pPr>
          </w:p>
        </w:tc>
        <w:tc>
          <w:tcPr>
            <w:tcW w:w="140" w:type="dxa"/>
            <w:vAlign w:val="bottom"/>
            <w:shd w:val="clear" w:color="auto" w:fill="D5DCE4"/>
          </w:tcPr>
          <w:p>
            <w:pPr>
              <w:spacing w:after="0"/>
              <w:rPr>
                <w:sz w:val="24"/>
                <w:szCs w:val="24"/>
                <w:color w:val="auto"/>
              </w:rPr>
            </w:pPr>
          </w:p>
        </w:tc>
        <w:tc>
          <w:tcPr>
            <w:tcW w:w="136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160" w:type="dxa"/>
            <w:vAlign w:val="bottom"/>
            <w:shd w:val="clear" w:color="auto" w:fill="D5DCE4"/>
          </w:tcPr>
          <w:p>
            <w:pPr>
              <w:spacing w:after="0"/>
              <w:rPr>
                <w:sz w:val="24"/>
                <w:szCs w:val="24"/>
                <w:color w:val="auto"/>
              </w:rPr>
            </w:pPr>
          </w:p>
        </w:tc>
        <w:tc>
          <w:tcPr>
            <w:tcW w:w="134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4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98,036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83,967</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300,107</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263,353</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127,656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113,952</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14,747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12,037</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42,248</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34,397</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24,520</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8,897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7,388</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28,993</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20,908</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11,104</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10,678</w:t>
            </w:r>
          </w:p>
        </w:tc>
      </w:tr>
      <w:tr>
        <w:trPr>
          <w:trHeight w:val="237"/>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14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179,797</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154,349</w:t>
            </w:r>
          </w:p>
        </w:tc>
        <w:tc>
          <w:tcPr>
            <w:tcW w:w="80" w:type="dxa"/>
            <w:vAlign w:val="bottom"/>
            <w:shd w:val="clear" w:color="auto" w:fill="D5DCE4"/>
          </w:tcPr>
          <w:p>
            <w:pPr>
              <w:spacing w:after="0"/>
              <w:rPr>
                <w:sz w:val="20"/>
                <w:szCs w:val="20"/>
                <w:color w:val="auto"/>
              </w:rPr>
            </w:pPr>
          </w:p>
        </w:tc>
        <w:tc>
          <w:tcPr>
            <w:tcW w:w="160" w:type="dxa"/>
            <w:vAlign w:val="bottom"/>
            <w:tcBorders>
              <w:bottom w:val="single" w:sz="8" w:color="auto"/>
            </w:tcBorders>
            <w:shd w:val="clear" w:color="auto" w:fill="D5DCE4"/>
          </w:tcPr>
          <w:p>
            <w:pPr>
              <w:spacing w:after="0"/>
              <w:rPr>
                <w:sz w:val="20"/>
                <w:szCs w:val="20"/>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531,917</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467,808</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85,528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58,521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267,647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191,775</w:t>
            </w:r>
          </w:p>
        </w:tc>
      </w:tr>
      <w:tr>
        <w:trPr>
          <w:trHeight w:val="246"/>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14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(361)</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D5DCE4"/>
          </w:tcPr>
          <w:p>
            <w:pPr>
              <w:spacing w:after="0"/>
              <w:rPr>
                <w:sz w:val="21"/>
                <w:szCs w:val="21"/>
                <w:color w:val="auto"/>
              </w:rPr>
            </w:pPr>
          </w:p>
        </w:tc>
        <w:tc>
          <w:tcPr>
            <w:tcW w:w="16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(1,179)</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85,167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58,172</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266,468</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191,839</w:t>
            </w:r>
          </w:p>
        </w:tc>
      </w:tr>
      <w:tr>
        <w:trPr>
          <w:trHeight w:val="23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(19,862)</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(11,124)</w:t>
            </w:r>
          </w:p>
        </w:tc>
        <w:tc>
          <w:tcPr>
            <w:tcW w:w="80" w:type="dxa"/>
            <w:vAlign w:val="bottom"/>
            <w:shd w:val="clear" w:color="auto" w:fill="D5DCE4"/>
          </w:tcPr>
          <w:p>
            <w:pPr>
              <w:spacing w:after="0"/>
              <w:rPr>
                <w:sz w:val="20"/>
                <w:szCs w:val="20"/>
                <w:color w:val="auto"/>
              </w:rPr>
            </w:pPr>
          </w:p>
        </w:tc>
        <w:tc>
          <w:tcPr>
            <w:tcW w:w="160" w:type="dxa"/>
            <w:vAlign w:val="bottom"/>
            <w:tcBorders>
              <w:bottom w:val="single" w:sz="8" w:color="auto"/>
            </w:tcBorders>
            <w:shd w:val="clear" w:color="auto" w:fill="D5DCE4"/>
          </w:tcPr>
          <w:p>
            <w:pPr>
              <w:spacing w:after="0"/>
              <w:rPr>
                <w:sz w:val="20"/>
                <w:szCs w:val="20"/>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(53,365)</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(39,898)</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65,305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47,048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213,103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151,941</w:t>
            </w:r>
          </w:p>
        </w:tc>
      </w:tr>
      <w:tr>
        <w:trPr>
          <w:trHeight w:val="246"/>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4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10,542</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10,236</w:t>
            </w:r>
          </w:p>
        </w:tc>
        <w:tc>
          <w:tcPr>
            <w:tcW w:w="80" w:type="dxa"/>
            <w:vAlign w:val="bottom"/>
            <w:shd w:val="clear" w:color="auto" w:fill="D5DCE4"/>
          </w:tcPr>
          <w:p>
            <w:pPr>
              <w:spacing w:after="0"/>
              <w:rPr>
                <w:sz w:val="21"/>
                <w:szCs w:val="21"/>
                <w:color w:val="auto"/>
              </w:rPr>
            </w:pPr>
          </w:p>
        </w:tc>
        <w:tc>
          <w:tcPr>
            <w:tcW w:w="16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35,165</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40,705</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54,763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36,812</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177,938</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111,236</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13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1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8"/>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tcBorders>
              <w:bottom w:val="single" w:sz="8" w:color="D5DCE4"/>
            </w:tcBorders>
            <w:shd w:val="clear" w:color="auto" w:fill="D5DCE4"/>
          </w:tcPr>
          <w:p>
            <w:pPr>
              <w:spacing w:after="0"/>
              <w:rPr>
                <w:sz w:val="23"/>
                <w:szCs w:val="23"/>
                <w:color w:val="auto"/>
              </w:rPr>
            </w:pPr>
          </w:p>
        </w:tc>
        <w:tc>
          <w:tcPr>
            <w:tcW w:w="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0.89</w:t>
            </w:r>
          </w:p>
        </w:tc>
        <w:tc>
          <w:tcPr>
            <w:tcW w:w="80" w:type="dxa"/>
            <w:vAlign w:val="bottom"/>
            <w:tcBorders>
              <w:bottom w:val="single" w:sz="8" w:color="D5DCE4"/>
            </w:tcBorders>
            <w:shd w:val="clear" w:color="auto" w:fill="D5DCE4"/>
          </w:tcPr>
          <w:p>
            <w:pPr>
              <w:spacing w:after="0"/>
              <w:rPr>
                <w:sz w:val="23"/>
                <w:szCs w:val="23"/>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0.63</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D5DCE4"/>
          </w:tcPr>
          <w:p>
            <w:pPr>
              <w:spacing w:after="0"/>
              <w:rPr>
                <w:sz w:val="18"/>
                <w:szCs w:val="18"/>
                <w:color w:val="auto"/>
              </w:rPr>
            </w:pPr>
          </w:p>
        </w:tc>
        <w:tc>
          <w:tcPr>
            <w:tcW w:w="13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160" w:type="dxa"/>
            <w:vAlign w:val="bottom"/>
            <w:shd w:val="clear" w:color="auto" w:fill="D5DCE4"/>
          </w:tcPr>
          <w:p>
            <w:pPr>
              <w:spacing w:after="0"/>
              <w:rPr>
                <w:sz w:val="18"/>
                <w:szCs w:val="18"/>
                <w:color w:val="auto"/>
              </w:rPr>
            </w:pPr>
          </w:p>
        </w:tc>
        <w:tc>
          <w:tcPr>
            <w:tcW w:w="1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202,238,122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187,774,170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201,029,196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177,257,994</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208,197,439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194,955,695</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206,908,330</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185,026,108</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ectPr>
          <w:pgSz w:w="11900" w:h="16838" w:orient="portrait"/>
          <w:cols w:equalWidth="0" w:num="1">
            <w:col w:w="11240"/>
          </w:cols>
          <w:pgMar w:left="320" w:top="688" w:right="339" w:bottom="1440" w:gutter="0" w:footer="0" w:header="0"/>
        </w:sectPr>
      </w:pPr>
    </w:p>
    <w:p>
      <w:pPr>
        <w:spacing w:after="0" w:line="39" w:lineRule="exact"/>
        <w:rPr>
          <w:sz w:val="20"/>
          <w:szCs w:val="20"/>
          <w:color w:val="auto"/>
        </w:rPr>
      </w:pPr>
    </w:p>
    <w:p>
      <w:pPr>
        <w:ind w:left="20"/>
        <w:spacing w:after="0" w:line="26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880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Nine Months Ended September 30,</w:t>
            </w:r>
          </w:p>
        </w:tc>
      </w:tr>
      <w:tr>
        <w:trPr>
          <w:trHeight w:val="323"/>
        </w:trPr>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4"/>
                <w:szCs w:val="24"/>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64"/>
        </w:trPr>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00" w:type="dxa"/>
            <w:vAlign w:val="bottom"/>
            <w:gridSpan w:val="4"/>
          </w:tcPr>
          <w:p>
            <w:pPr>
              <w:ind w:left="760"/>
              <w:spacing w:after="0"/>
              <w:rPr>
                <w:sz w:val="20"/>
                <w:szCs w:val="20"/>
                <w:color w:val="auto"/>
              </w:rPr>
            </w:pPr>
            <w:r>
              <w:rPr>
                <w:rFonts w:ascii="Arial" w:cs="Arial" w:eastAsia="Arial" w:hAnsi="Arial"/>
                <w:sz w:val="16"/>
                <w:szCs w:val="16"/>
                <w:b w:val="1"/>
                <w:bCs w:val="1"/>
                <w:color w:val="auto"/>
              </w:rPr>
              <w:t>(dollars in thousands)</w:t>
            </w:r>
          </w:p>
        </w:tc>
        <w:tc>
          <w:tcPr>
            <w:tcW w:w="1560" w:type="dxa"/>
            <w:vAlign w:val="bottom"/>
          </w:tcPr>
          <w:p>
            <w:pPr>
              <w:spacing w:after="0"/>
              <w:rPr>
                <w:sz w:val="22"/>
                <w:szCs w:val="22"/>
                <w:color w:val="auto"/>
              </w:rPr>
            </w:pPr>
          </w:p>
        </w:tc>
      </w:tr>
    </w:tbl>
    <w:p>
      <w:pPr>
        <w:spacing w:after="0" w:line="20" w:lineRule="exact"/>
        <w:rPr>
          <w:sz w:val="20"/>
          <w:szCs w:val="20"/>
          <w:color w:val="auto"/>
        </w:rPr>
      </w:pPr>
    </w:p>
    <w:p>
      <w:pPr>
        <w:sectPr>
          <w:pgSz w:w="11900" w:h="16838" w:orient="portrait"/>
          <w:cols w:equalWidth="0" w:num="2">
            <w:col w:w="4220" w:space="5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65,305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47,048</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213,103</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151,941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440" w:type="dxa"/>
            <w:vAlign w:val="bottom"/>
          </w:tcPr>
          <w:p>
            <w:pPr>
              <w:spacing w:after="0"/>
              <w:rPr>
                <w:sz w:val="21"/>
                <w:szCs w:val="21"/>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5,186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361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349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1,179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38,857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127,656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113,952</w:t>
            </w:r>
          </w:p>
        </w:tc>
        <w:tc>
          <w:tcPr>
            <w:tcW w:w="0" w:type="dxa"/>
            <w:vAlign w:val="bottom"/>
          </w:tcPr>
          <w:p>
            <w:pPr>
              <w:spacing w:after="0"/>
              <w:rPr>
                <w:sz w:val="1"/>
                <w:szCs w:val="1"/>
                <w:color w:val="auto"/>
              </w:rPr>
            </w:pP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1,816</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11,181</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10,308</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19,862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11,124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53,365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39,898</w:t>
            </w:r>
          </w:p>
        </w:tc>
        <w:tc>
          <w:tcPr>
            <w:tcW w:w="0" w:type="dxa"/>
            <w:vAlign w:val="bottom"/>
          </w:tcPr>
          <w:p>
            <w:pPr>
              <w:spacing w:after="0"/>
              <w:rPr>
                <w:sz w:val="1"/>
                <w:szCs w:val="1"/>
                <w:color w:val="auto"/>
              </w:rPr>
            </w:pP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1,719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(4,742)</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5,837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74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132,946</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40" w:type="dxa"/>
            <w:vAlign w:val="bottom"/>
            <w:tcBorders>
              <w:top w:val="single" w:sz="8" w:color="auto"/>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100,913</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20" w:type="dxa"/>
            <w:vAlign w:val="bottom"/>
            <w:tcBorders>
              <w:top w:val="single" w:sz="8" w:color="auto"/>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406,928</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00" w:type="dxa"/>
            <w:vAlign w:val="bottom"/>
            <w:tcBorders>
              <w:top w:val="single" w:sz="8" w:color="auto"/>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321,872</w:t>
            </w:r>
          </w:p>
        </w:tc>
        <w:tc>
          <w:tcPr>
            <w:tcW w:w="0" w:type="dxa"/>
            <w:vAlign w:val="bottom"/>
          </w:tcPr>
          <w:p>
            <w:pPr>
              <w:spacing w:after="0"/>
              <w:rPr>
                <w:sz w:val="1"/>
                <w:szCs w:val="1"/>
                <w:color w:val="auto"/>
              </w:rPr>
            </w:pPr>
          </w:p>
        </w:tc>
      </w:tr>
      <w:tr>
        <w:trPr>
          <w:trHeight w:val="20"/>
        </w:trPr>
        <w:tc>
          <w:tcPr>
            <w:tcW w:w="474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(38,857)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(127,656)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(113,952)</w:t>
            </w:r>
          </w:p>
        </w:tc>
        <w:tc>
          <w:tcPr>
            <w:tcW w:w="0" w:type="dxa"/>
            <w:vAlign w:val="bottom"/>
          </w:tcPr>
          <w:p>
            <w:pPr>
              <w:spacing w:after="0"/>
              <w:rPr>
                <w:sz w:val="1"/>
                <w:szCs w:val="1"/>
                <w:color w:val="auto"/>
              </w:rPr>
            </w:pPr>
          </w:p>
        </w:tc>
      </w:tr>
      <w:tr>
        <w:trPr>
          <w:trHeight w:val="185"/>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440" w:type="dxa"/>
            <w:vAlign w:val="bottom"/>
            <w:shd w:val="clear" w:color="auto" w:fill="D5DCE4"/>
          </w:tcPr>
          <w:p>
            <w:pPr>
              <w:spacing w:after="0"/>
              <w:rPr>
                <w:sz w:val="16"/>
                <w:szCs w:val="16"/>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32,956</w:t>
            </w:r>
          </w:p>
        </w:tc>
        <w:tc>
          <w:tcPr>
            <w:tcW w:w="80" w:type="dxa"/>
            <w:vAlign w:val="bottom"/>
            <w:shd w:val="clear" w:color="auto" w:fill="D5DCE4"/>
          </w:tcPr>
          <w:p>
            <w:pPr>
              <w:spacing w:after="0"/>
              <w:rPr>
                <w:sz w:val="16"/>
                <w:szCs w:val="16"/>
                <w:color w:val="auto"/>
              </w:rPr>
            </w:pPr>
          </w:p>
        </w:tc>
        <w:tc>
          <w:tcPr>
            <w:tcW w:w="440" w:type="dxa"/>
            <w:vAlign w:val="bottom"/>
            <w:shd w:val="clear" w:color="auto" w:fill="D5DCE4"/>
          </w:tcPr>
          <w:p>
            <w:pPr>
              <w:spacing w:after="0"/>
              <w:rPr>
                <w:sz w:val="16"/>
                <w:szCs w:val="16"/>
                <w:color w:val="auto"/>
              </w:rPr>
            </w:pPr>
          </w:p>
        </w:tc>
        <w:tc>
          <w:tcPr>
            <w:tcW w:w="11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27,959</w:t>
            </w:r>
          </w:p>
        </w:tc>
        <w:tc>
          <w:tcPr>
            <w:tcW w:w="80" w:type="dxa"/>
            <w:vAlign w:val="bottom"/>
            <w:shd w:val="clear" w:color="auto" w:fill="D5DCE4"/>
          </w:tcPr>
          <w:p>
            <w:pPr>
              <w:spacing w:after="0"/>
              <w:rPr>
                <w:sz w:val="16"/>
                <w:szCs w:val="16"/>
                <w:color w:val="auto"/>
              </w:rPr>
            </w:pPr>
          </w:p>
        </w:tc>
        <w:tc>
          <w:tcPr>
            <w:tcW w:w="420" w:type="dxa"/>
            <w:vAlign w:val="bottom"/>
            <w:shd w:val="clear" w:color="auto" w:fill="D5DCE4"/>
          </w:tcPr>
          <w:p>
            <w:pPr>
              <w:spacing w:after="0"/>
              <w:rPr>
                <w:sz w:val="16"/>
                <w:szCs w:val="16"/>
                <w:color w:val="auto"/>
              </w:rPr>
            </w:pPr>
          </w:p>
        </w:tc>
        <w:tc>
          <w:tcPr>
            <w:tcW w:w="1160" w:type="dxa"/>
            <w:vAlign w:val="bottom"/>
            <w:vMerge w:val="restart"/>
            <w:shd w:val="clear" w:color="auto" w:fill="D5DCE4"/>
          </w:tcPr>
          <w:p>
            <w:pPr>
              <w:jc w:val="right"/>
              <w:ind w:right="139"/>
              <w:spacing w:after="0"/>
              <w:rPr>
                <w:sz w:val="20"/>
                <w:szCs w:val="20"/>
                <w:color w:val="auto"/>
              </w:rPr>
            </w:pPr>
            <w:r>
              <w:rPr>
                <w:rFonts w:ascii="Arial" w:cs="Arial" w:eastAsia="Arial" w:hAnsi="Arial"/>
                <w:sz w:val="16"/>
                <w:szCs w:val="16"/>
                <w:color w:val="auto"/>
              </w:rPr>
              <w:t>92,799</w:t>
            </w:r>
          </w:p>
        </w:tc>
        <w:tc>
          <w:tcPr>
            <w:tcW w:w="80" w:type="dxa"/>
            <w:vAlign w:val="bottom"/>
            <w:shd w:val="clear" w:color="auto" w:fill="D5DCE4"/>
          </w:tcPr>
          <w:p>
            <w:pPr>
              <w:spacing w:after="0"/>
              <w:rPr>
                <w:sz w:val="16"/>
                <w:szCs w:val="16"/>
                <w:color w:val="auto"/>
              </w:rPr>
            </w:pPr>
          </w:p>
        </w:tc>
        <w:tc>
          <w:tcPr>
            <w:tcW w:w="400" w:type="dxa"/>
            <w:vAlign w:val="bottom"/>
            <w:shd w:val="clear" w:color="auto" w:fill="D5DCE4"/>
          </w:tcPr>
          <w:p>
            <w:pPr>
              <w:spacing w:after="0"/>
              <w:rPr>
                <w:sz w:val="16"/>
                <w:szCs w:val="16"/>
                <w:color w:val="auto"/>
              </w:rPr>
            </w:pPr>
          </w:p>
        </w:tc>
        <w:tc>
          <w:tcPr>
            <w:tcW w:w="116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81,363</w:t>
            </w:r>
          </w:p>
        </w:tc>
        <w:tc>
          <w:tcPr>
            <w:tcW w:w="0" w:type="dxa"/>
            <w:vAlign w:val="bottom"/>
          </w:tcPr>
          <w:p>
            <w:pPr>
              <w:spacing w:after="0"/>
              <w:rPr>
                <w:sz w:val="1"/>
                <w:szCs w:val="1"/>
                <w:color w:val="auto"/>
              </w:rPr>
            </w:pPr>
          </w:p>
        </w:tc>
      </w:tr>
      <w:tr>
        <w:trPr>
          <w:trHeight w:val="183"/>
        </w:trPr>
        <w:tc>
          <w:tcPr>
            <w:tcW w:w="4740" w:type="dxa"/>
            <w:vAlign w:val="bottom"/>
            <w:shd w:val="clear" w:color="auto" w:fill="D5DCE4"/>
          </w:tcPr>
          <w:p>
            <w:pPr>
              <w:ind w:left="20"/>
              <w:spacing w:after="0" w:line="125" w:lineRule="exact"/>
              <w:rPr>
                <w:sz w:val="20"/>
                <w:szCs w:val="20"/>
                <w:color w:val="auto"/>
              </w:rPr>
            </w:pPr>
            <w:r>
              <w:rPr>
                <w:rFonts w:ascii="Arial" w:cs="Arial" w:eastAsia="Arial" w:hAnsi="Arial"/>
                <w:sz w:val="11"/>
                <w:szCs w:val="11"/>
                <w:color w:val="auto"/>
              </w:rPr>
              <w:t>(5)</w:t>
            </w:r>
          </w:p>
        </w:tc>
        <w:tc>
          <w:tcPr>
            <w:tcW w:w="440" w:type="dxa"/>
            <w:vAlign w:val="bottom"/>
            <w:tcBorders>
              <w:bottom w:val="single" w:sz="8" w:color="auto"/>
            </w:tcBorders>
            <w:shd w:val="clear" w:color="auto" w:fill="D5DCE4"/>
          </w:tcPr>
          <w:p>
            <w:pPr>
              <w:spacing w:after="0"/>
              <w:rPr>
                <w:sz w:val="15"/>
                <w:szCs w:val="15"/>
                <w:color w:val="auto"/>
              </w:rPr>
            </w:pPr>
          </w:p>
        </w:tc>
        <w:tc>
          <w:tcPr>
            <w:tcW w:w="1120" w:type="dxa"/>
            <w:vAlign w:val="bottom"/>
            <w:tcBorders>
              <w:bottom w:val="single" w:sz="8" w:color="auto"/>
            </w:tcBorders>
            <w:vMerge w:val="continue"/>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40" w:type="dxa"/>
            <w:vAlign w:val="bottom"/>
            <w:tcBorders>
              <w:bottom w:val="single" w:sz="8" w:color="auto"/>
            </w:tcBorders>
            <w:shd w:val="clear" w:color="auto" w:fill="D5DCE4"/>
          </w:tcPr>
          <w:p>
            <w:pPr>
              <w:spacing w:after="0"/>
              <w:rPr>
                <w:sz w:val="15"/>
                <w:szCs w:val="15"/>
                <w:color w:val="auto"/>
              </w:rPr>
            </w:pPr>
          </w:p>
        </w:tc>
        <w:tc>
          <w:tcPr>
            <w:tcW w:w="1120" w:type="dxa"/>
            <w:vAlign w:val="bottom"/>
            <w:tcBorders>
              <w:bottom w:val="single" w:sz="8" w:color="auto"/>
            </w:tcBorders>
            <w:vMerge w:val="continue"/>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20" w:type="dxa"/>
            <w:vAlign w:val="bottom"/>
            <w:tcBorders>
              <w:bottom w:val="single" w:sz="8" w:color="auto"/>
            </w:tcBorders>
            <w:shd w:val="clear" w:color="auto" w:fill="D5DCE4"/>
          </w:tcPr>
          <w:p>
            <w:pPr>
              <w:spacing w:after="0"/>
              <w:rPr>
                <w:sz w:val="15"/>
                <w:szCs w:val="15"/>
                <w:color w:val="auto"/>
              </w:rPr>
            </w:pPr>
          </w:p>
        </w:tc>
        <w:tc>
          <w:tcPr>
            <w:tcW w:w="1160" w:type="dxa"/>
            <w:vAlign w:val="bottom"/>
            <w:tcBorders>
              <w:bottom w:val="single" w:sz="8" w:color="auto"/>
            </w:tcBorders>
            <w:vMerge w:val="continue"/>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00" w:type="dxa"/>
            <w:vAlign w:val="bottom"/>
            <w:tcBorders>
              <w:bottom w:val="single" w:sz="8" w:color="auto"/>
            </w:tcBorders>
            <w:shd w:val="clear" w:color="auto" w:fill="D5DCE4"/>
          </w:tcPr>
          <w:p>
            <w:pPr>
              <w:spacing w:after="0"/>
              <w:rPr>
                <w:sz w:val="15"/>
                <w:szCs w:val="15"/>
                <w:color w:val="auto"/>
              </w:rPr>
            </w:pPr>
          </w:p>
        </w:tc>
        <w:tc>
          <w:tcPr>
            <w:tcW w:w="1160" w:type="dxa"/>
            <w:vAlign w:val="bottom"/>
            <w:tcBorders>
              <w:bottom w:val="single" w:sz="8" w:color="auto"/>
            </w:tcBorders>
            <w:vMerge w:val="continue"/>
            <w:shd w:val="clear" w:color="auto" w:fill="D5DCE4"/>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121,079</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90,015</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372,071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289,283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50.1 %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47.4 %</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50.9 %</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48.8 %</w:t>
            </w:r>
          </w:p>
        </w:tc>
        <w:tc>
          <w:tcPr>
            <w:tcW w:w="0" w:type="dxa"/>
            <w:vAlign w:val="bottom"/>
          </w:tcPr>
          <w:p>
            <w:pPr>
              <w:spacing w:after="0"/>
              <w:rPr>
                <w:sz w:val="1"/>
                <w:szCs w:val="1"/>
                <w:color w:val="auto"/>
              </w:rPr>
            </w:pPr>
          </w:p>
        </w:tc>
      </w:tr>
      <w:tr>
        <w:trPr>
          <w:trHeight w:val="294"/>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42.3 %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60" w:right="1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right="6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and during the three and nine months ended September 30, 2021, this adjustment also includes a total of $0.5 million of non-cash stock-based compensation expense relating to the acceleration of expense associated with the Company's former CFO and related payroll taxes.</w:t>
      </w:r>
    </w:p>
    <w:p>
      <w:pPr>
        <w:spacing w:after="0" w:line="1" w:lineRule="exact"/>
        <w:rPr>
          <w:rFonts w:ascii="Arial" w:cs="Arial" w:eastAsia="Arial" w:hAnsi="Arial"/>
          <w:sz w:val="12"/>
          <w:szCs w:val="12"/>
          <w:color w:val="auto"/>
        </w:rPr>
      </w:pPr>
    </w:p>
    <w:p>
      <w:pPr>
        <w:ind w:left="660" w:right="3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2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hanging="328"/>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ectPr>
          <w:pgSz w:w="11900" w:h="16838" w:orient="portrait"/>
          <w:cols w:equalWidth="0" w:num="1">
            <w:col w:w="11240"/>
          </w:cols>
          <w:pgMar w:left="320" w:top="688" w:right="339" w:bottom="1440" w:gutter="0" w:footer="0" w:header="0"/>
          <w:type w:val="continuous"/>
        </w:sectPr>
      </w:pPr>
    </w:p>
    <w:p>
      <w:pPr>
        <w:spacing w:after="0" w:line="156"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20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per diluted share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Nine Months Ended September 30,</w:t>
            </w:r>
          </w:p>
        </w:tc>
      </w:tr>
      <w:tr>
        <w:trPr>
          <w:trHeight w:val="256"/>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64"/>
        </w:trPr>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4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0.26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0.86</w:t>
            </w:r>
          </w:p>
        </w:tc>
        <w:tc>
          <w:tcPr>
            <w:tcW w:w="8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27"/>
        </w:trPr>
        <w:tc>
          <w:tcPr>
            <w:tcW w:w="10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-329565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40" w:space="560"/>
            <w:col w:w="624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54,763</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36,812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177,938</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111,236</w:t>
            </w:r>
          </w:p>
        </w:tc>
      </w:tr>
      <w:tr>
        <w:trPr>
          <w:trHeight w:val="243"/>
        </w:trPr>
        <w:tc>
          <w:tcPr>
            <w:tcW w:w="50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10,542</w:t>
            </w:r>
          </w:p>
        </w:tc>
        <w:tc>
          <w:tcPr>
            <w:tcW w:w="80" w:type="dxa"/>
            <w:vAlign w:val="bottom"/>
            <w:tcBorders>
              <w:bottom w:val="single" w:sz="8" w:color="D5DCE4"/>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10,236</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35,165</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40,705</w:t>
            </w:r>
          </w:p>
        </w:tc>
      </w:tr>
      <w:tr>
        <w:trPr>
          <w:trHeight w:val="236"/>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65,305</w:t>
            </w:r>
          </w:p>
        </w:tc>
        <w:tc>
          <w:tcPr>
            <w:tcW w:w="80" w:type="dxa"/>
            <w:vAlign w:val="bottom"/>
            <w:shd w:val="clear" w:color="auto" w:fill="D5DCE4"/>
          </w:tcPr>
          <w:p>
            <w:pPr>
              <w:spacing w:after="0"/>
              <w:rPr>
                <w:sz w:val="20"/>
                <w:szCs w:val="20"/>
                <w:color w:val="auto"/>
              </w:rPr>
            </w:pPr>
          </w:p>
        </w:tc>
        <w:tc>
          <w:tcPr>
            <w:tcW w:w="500" w:type="dxa"/>
            <w:vAlign w:val="bottom"/>
            <w:shd w:val="clear" w:color="auto" w:fill="D5DCE4"/>
          </w:tcPr>
          <w:p>
            <w:pPr>
              <w:spacing w:after="0"/>
              <w:rPr>
                <w:sz w:val="20"/>
                <w:szCs w:val="20"/>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47,048</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213,103</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151,941</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11,124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53,365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39,898</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10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5,186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32,956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27,959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92,799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81,363</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1,816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11,181</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10,308</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5,837</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D5DCE4"/>
          </w:tcPr>
          <w:p>
            <w:pPr>
              <w:spacing w:after="0"/>
              <w:rPr>
                <w:sz w:val="21"/>
                <w:szCs w:val="21"/>
                <w:color w:val="auto"/>
              </w:rPr>
            </w:pPr>
          </w:p>
        </w:tc>
        <w:tc>
          <w:tcPr>
            <w:tcW w:w="10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120,718</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89,666</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370,892</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289,347</w:t>
            </w:r>
          </w:p>
        </w:tc>
      </w:tr>
      <w:tr>
        <w:trPr>
          <w:trHeight w:val="25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(26,558)</w:t>
            </w:r>
          </w:p>
        </w:tc>
        <w:tc>
          <w:tcPr>
            <w:tcW w:w="80" w:type="dxa"/>
            <w:vAlign w:val="bottom"/>
            <w:shd w:val="clear" w:color="auto" w:fill="D5DCE4"/>
          </w:tcPr>
          <w:p>
            <w:pPr>
              <w:spacing w:after="0"/>
              <w:rPr>
                <w:sz w:val="21"/>
                <w:szCs w:val="21"/>
                <w:color w:val="auto"/>
              </w:rPr>
            </w:pPr>
          </w:p>
        </w:tc>
        <w:tc>
          <w:tcPr>
            <w:tcW w:w="50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(19,727)</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(81,596)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(63,656)</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94,160</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69,939</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289,296</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225,691</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80" w:type="dxa"/>
            <w:vAlign w:val="bottom"/>
            <w:tcBorders>
              <w:bottom w:val="single" w:sz="8" w:color="D5DCE4"/>
            </w:tcBorders>
            <w:shd w:val="clear" w:color="auto" w:fill="D5DCE4"/>
          </w:tcPr>
          <w:p>
            <w:pPr>
              <w:spacing w:after="0"/>
              <w:rPr>
                <w:sz w:val="22"/>
                <w:szCs w:val="22"/>
                <w:color w:val="auto"/>
              </w:rPr>
            </w:pPr>
          </w:p>
        </w:tc>
        <w:tc>
          <w:tcPr>
            <w:tcW w:w="50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0.30</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0.97</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00" w:type="dxa"/>
            <w:vAlign w:val="bottom"/>
            <w:tcBorders>
              <w:top w:val="single" w:sz="8" w:color="D5DCE4"/>
              <w:bottom w:val="single" w:sz="8" w:color="auto"/>
            </w:tcBorders>
          </w:tcPr>
          <w:p>
            <w:pPr>
              <w:spacing w:after="0" w:line="20" w:lineRule="exact"/>
              <w:rPr>
                <w:sz w:val="1"/>
                <w:szCs w:val="1"/>
                <w:color w:val="auto"/>
              </w:rPr>
            </w:pPr>
          </w:p>
        </w:tc>
        <w:tc>
          <w:tcPr>
            <w:tcW w:w="10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60" w:right="2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60" w:right="14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right="60" w:hanging="328"/>
        <w:spacing w:after="0" w:line="234"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and during the three and nine months ended September 30, 2021, this adjustment also includes a total of $0.5 million of non-cash stock-based compensation expense relating to the acceleration of expense associated with the Company's former CFO and related payroll taxes.</w:t>
      </w:r>
    </w:p>
    <w:p>
      <w:pPr>
        <w:spacing w:after="0" w:line="1" w:lineRule="exact"/>
        <w:rPr>
          <w:rFonts w:ascii="Arial" w:cs="Arial" w:eastAsia="Arial" w:hAnsi="Arial"/>
          <w:sz w:val="12"/>
          <w:szCs w:val="12"/>
          <w:color w:val="auto"/>
        </w:rPr>
      </w:pPr>
    </w:p>
    <w:p>
      <w:pPr>
        <w:ind w:left="660" w:right="340" w:hanging="328"/>
        <w:spacing w:after="0" w:line="247"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688" w:right="339" w:bottom="1440" w:gutter="0" w:footer="0" w:header="0"/>
          <w:type w:val="continuous"/>
        </w:sectPr>
      </w:pPr>
    </w:p>
    <w:p>
      <w:pPr>
        <w:spacing w:after="0" w:line="94"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8" w:right="339" w:bottom="1440" w:gutter="0" w:footer="0" w:header="0"/>
          <w:type w:val="continuous"/>
        </w:sectPr>
      </w:pPr>
    </w:p>
    <w:bookmarkStart w:id="8" w:name="page9"/>
    <w:bookmarkEnd w:id="8"/>
    <w:p>
      <w:pPr>
        <w:ind w:left="660" w:right="20" w:hanging="328"/>
        <w:spacing w:after="0" w:line="234"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right="180" w:hanging="328"/>
        <w:spacing w:after="0" w:line="234"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three and nine months ended September 30, 2021 and 2020.</w:t>
      </w:r>
    </w:p>
    <w:p>
      <w:pPr>
        <w:ind w:left="660" w:hanging="328"/>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below.</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Diluted Weighted Average Shares Outstanding to</w:t>
            </w: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42"/>
        </w:trPr>
        <w:tc>
          <w:tcPr>
            <w:tcW w:w="54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Weighted Average Shares Outstanding</w:t>
            </w:r>
          </w:p>
        </w:tc>
        <w:tc>
          <w:tcPr>
            <w:tcW w:w="80" w:type="dxa"/>
            <w:vAlign w:val="bottom"/>
            <w:tcBorders>
              <w:bottom w:val="single" w:sz="8" w:color="D5DC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shares of Class A and Class B common stock</w:t>
            </w: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outstanding</w:t>
            </w: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208,197,439</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194,955,695</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206,908,330</w:t>
            </w:r>
          </w:p>
        </w:tc>
        <w:tc>
          <w:tcPr>
            <w:tcW w:w="80" w:type="dxa"/>
            <w:vAlign w:val="bottom"/>
            <w:shd w:val="clear" w:color="auto" w:fill="D5DCE4"/>
          </w:tcPr>
          <w:p>
            <w:pPr>
              <w:spacing w:after="0"/>
              <w:rPr>
                <w:sz w:val="18"/>
                <w:szCs w:val="18"/>
                <w:color w:val="auto"/>
              </w:rPr>
            </w:pPr>
          </w:p>
        </w:tc>
        <w:tc>
          <w:tcPr>
            <w:tcW w:w="260" w:type="dxa"/>
            <w:vAlign w:val="bottom"/>
            <w:shd w:val="clear" w:color="auto" w:fill="D5DCE4"/>
          </w:tcPr>
          <w:p>
            <w:pPr>
              <w:spacing w:after="0"/>
              <w:rPr>
                <w:sz w:val="18"/>
                <w:szCs w:val="18"/>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185,026,108</w:t>
            </w:r>
          </w:p>
        </w:tc>
        <w:tc>
          <w:tcPr>
            <w:tcW w:w="0" w:type="dxa"/>
            <w:vAlign w:val="bottom"/>
          </w:tcPr>
          <w:p>
            <w:pPr>
              <w:spacing w:after="0"/>
              <w:rPr>
                <w:sz w:val="1"/>
                <w:szCs w:val="1"/>
                <w:color w:val="auto"/>
              </w:rPr>
            </w:pPr>
          </w:p>
        </w:tc>
      </w:tr>
      <w:tr>
        <w:trPr>
          <w:trHeight w:val="215"/>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Assumed exchange of LLC Interests for shares of Class A or Class B</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D5DCE4"/>
            </w:tcBorders>
            <w:gridSpan w:val="2"/>
          </w:tcPr>
          <w:p>
            <w:pPr>
              <w:ind w:left="20"/>
              <w:spacing w:after="0" w:line="217"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30,531,933</w:t>
            </w:r>
          </w:p>
        </w:tc>
        <w:tc>
          <w:tcPr>
            <w:tcW w:w="80" w:type="dxa"/>
            <w:vAlign w:val="bottom"/>
            <w:tcBorders>
              <w:bottom w:val="single" w:sz="8" w:color="D5DCE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39,513,246</w:t>
            </w:r>
          </w:p>
        </w:tc>
        <w:tc>
          <w:tcPr>
            <w:tcW w:w="80" w:type="dxa"/>
            <w:vAlign w:val="bottom"/>
            <w:tcBorders>
              <w:bottom w:val="single" w:sz="8" w:color="D5DCE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30,756,925</w:t>
            </w:r>
          </w:p>
        </w:tc>
        <w:tc>
          <w:tcPr>
            <w:tcW w:w="80" w:type="dxa"/>
            <w:vAlign w:val="bottom"/>
            <w:tcBorders>
              <w:bottom w:val="single" w:sz="8" w:color="D5DCE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48,397,598</w:t>
            </w:r>
          </w:p>
        </w:tc>
        <w:tc>
          <w:tcPr>
            <w:tcW w:w="0" w:type="dxa"/>
            <w:vAlign w:val="bottom"/>
          </w:tcPr>
          <w:p>
            <w:pPr>
              <w:spacing w:after="0"/>
              <w:rPr>
                <w:sz w:val="1"/>
                <w:szCs w:val="1"/>
                <w:color w:val="auto"/>
              </w:rPr>
            </w:pPr>
          </w:p>
        </w:tc>
      </w:tr>
      <w:tr>
        <w:trPr>
          <w:trHeight w:val="261"/>
        </w:trPr>
        <w:tc>
          <w:tcPr>
            <w:tcW w:w="54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260" w:type="dxa"/>
            <w:vAlign w:val="bottom"/>
            <w:tcBorders>
              <w:bottom w:val="single" w:sz="8" w:color="auto"/>
            </w:tcBorders>
            <w:shd w:val="clear" w:color="auto" w:fill="D5DCE4"/>
          </w:tcPr>
          <w:p>
            <w:pPr>
              <w:spacing w:after="0"/>
              <w:rPr>
                <w:sz w:val="22"/>
                <w:szCs w:val="22"/>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238,729,372</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spacing w:after="0"/>
              <w:rPr>
                <w:sz w:val="22"/>
                <w:szCs w:val="22"/>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234,468,941</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spacing w:after="0"/>
              <w:rPr>
                <w:sz w:val="22"/>
                <w:szCs w:val="22"/>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237,665,255</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spacing w:after="0"/>
              <w:rPr>
                <w:sz w:val="22"/>
                <w:szCs w:val="22"/>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233,423,706</w:t>
            </w:r>
          </w:p>
        </w:tc>
        <w:tc>
          <w:tcPr>
            <w:tcW w:w="0" w:type="dxa"/>
            <w:vAlign w:val="bottom"/>
          </w:tcPr>
          <w:p>
            <w:pPr>
              <w:spacing w:after="0"/>
              <w:rPr>
                <w:sz w:val="1"/>
                <w:szCs w:val="1"/>
                <w:color w:val="auto"/>
              </w:rPr>
            </w:pPr>
          </w:p>
        </w:tc>
      </w:tr>
      <w:tr>
        <w:trPr>
          <w:trHeight w:val="20"/>
        </w:trPr>
        <w:tc>
          <w:tcPr>
            <w:tcW w:w="54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Adjusted Net Income (in thousands)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289,296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225,691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EPS</w:t>
            </w:r>
          </w:p>
        </w:tc>
        <w:tc>
          <w:tcPr>
            <w:tcW w:w="260" w:type="dxa"/>
            <w:vAlign w:val="bottom"/>
            <w:tcBorders>
              <w:bottom w:val="single" w:sz="8" w:color="auto"/>
            </w:tcBorders>
            <w:shd w:val="clear" w:color="auto" w:fill="D5DCE4"/>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0.30</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bottom w:val="single" w:sz="8" w:color="D5DCE4"/>
            </w:tcBorders>
            <w:shd w:val="clear" w:color="auto" w:fill="D5DCE4"/>
          </w:tcPr>
          <w:p>
            <w:pPr>
              <w:spacing w:after="0"/>
              <w:rPr>
                <w:sz w:val="22"/>
                <w:szCs w:val="22"/>
                <w:color w:val="auto"/>
              </w:rPr>
            </w:pPr>
          </w:p>
        </w:tc>
        <w:tc>
          <w:tcPr>
            <w:tcW w:w="260" w:type="dxa"/>
            <w:vAlign w:val="bottom"/>
            <w:tcBorders>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20"/>
        </w:trPr>
        <w:tc>
          <w:tcPr>
            <w:tcW w:w="54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60" w:hanging="328"/>
        <w:spacing w:after="0" w:line="247" w:lineRule="auto"/>
        <w:tabs>
          <w:tab w:leader="none" w:pos="6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74"/>
        </w:trPr>
        <w:tc>
          <w:tcPr>
            <w:tcW w:w="5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80" w:type="dxa"/>
            <w:vAlign w:val="bottom"/>
            <w:gridSpan w:val="5"/>
          </w:tcPr>
          <w:p>
            <w:pPr>
              <w:ind w:left="5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3"/>
        </w:trPr>
        <w:tc>
          <w:tcPr>
            <w:tcW w:w="5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179,797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154,349</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531,917</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467,808</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(32,956)</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(27,959)</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(92,799)</w:t>
            </w:r>
          </w:p>
        </w:tc>
        <w:tc>
          <w:tcPr>
            <w:tcW w:w="8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(81,363)</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(10,308)</w:t>
            </w:r>
          </w:p>
        </w:tc>
      </w:tr>
      <w:tr>
        <w:trPr>
          <w:trHeight w:val="243"/>
        </w:trPr>
        <w:tc>
          <w:tcPr>
            <w:tcW w:w="55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(1,719)</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4,742</w:t>
            </w:r>
          </w:p>
        </w:tc>
        <w:tc>
          <w:tcPr>
            <w:tcW w:w="80" w:type="dxa"/>
            <w:vAlign w:val="bottom"/>
            <w:shd w:val="clear" w:color="auto" w:fill="D5DCE4"/>
          </w:tcPr>
          <w:p>
            <w:pPr>
              <w:spacing w:after="0"/>
              <w:rPr>
                <w:sz w:val="21"/>
                <w:szCs w:val="21"/>
                <w:color w:val="auto"/>
              </w:rPr>
            </w:pPr>
          </w:p>
        </w:tc>
        <w:tc>
          <w:tcPr>
            <w:tcW w:w="30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(5,837)</w:t>
            </w:r>
          </w:p>
        </w:tc>
      </w:tr>
      <w:tr>
        <w:trPr>
          <w:trHeight w:val="236"/>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144,246</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122,855</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427,493</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370,300</w:t>
            </w:r>
          </w:p>
        </w:tc>
      </w:tr>
      <w:tr>
        <w:trPr>
          <w:trHeight w:val="21"/>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660" w:right="140" w:hanging="328"/>
        <w:spacing w:after="0" w:line="234"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hanging="328"/>
        <w:spacing w:after="0" w:line="234"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right="60" w:hanging="328"/>
        <w:spacing w:after="0" w:line="234"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and during the three and nine months ended September 30, 2021, this adjustment also includes a total of $0.5 million of non-cash stock-based compensation expense relating to the acceleration of expense associated with the Company's former CFO and related payroll taxes.</w:t>
      </w:r>
    </w:p>
    <w:p>
      <w:pPr>
        <w:spacing w:after="0" w:line="1" w:lineRule="exact"/>
        <w:rPr>
          <w:rFonts w:ascii="Arial" w:cs="Arial" w:eastAsia="Arial" w:hAnsi="Arial"/>
          <w:sz w:val="12"/>
          <w:szCs w:val="12"/>
          <w:color w:val="auto"/>
        </w:rPr>
      </w:pPr>
    </w:p>
    <w:p>
      <w:pPr>
        <w:ind w:left="660" w:right="340" w:hanging="328"/>
        <w:spacing w:after="0" w:line="247" w:lineRule="auto"/>
        <w:tabs>
          <w:tab w:leader="none" w:pos="6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Trailing Twelve Months Ended</w:t>
            </w:r>
          </w:p>
        </w:tc>
      </w:tr>
      <w:tr>
        <w:trPr>
          <w:trHeight w:val="228"/>
        </w:trPr>
        <w:tc>
          <w:tcPr>
            <w:tcW w:w="8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240" w:type="dxa"/>
            <w:vAlign w:val="bottom"/>
          </w:tcPr>
          <w:p>
            <w:pPr>
              <w:spacing w:after="0"/>
              <w:rPr>
                <w:sz w:val="19"/>
                <w:szCs w:val="19"/>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rPr>
              <w:t>September 30, 2021</w:t>
            </w:r>
          </w:p>
        </w:tc>
      </w:tr>
      <w:tr>
        <w:trPr>
          <w:trHeight w:val="233"/>
        </w:trPr>
        <w:tc>
          <w:tcPr>
            <w:tcW w:w="8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526,072</w:t>
            </w:r>
          </w:p>
        </w:tc>
      </w:tr>
      <w:tr>
        <w:trPr>
          <w:trHeight w:val="23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(33,995)</w:t>
            </w:r>
          </w:p>
        </w:tc>
      </w:tr>
      <w:tr>
        <w:trPr>
          <w:trHeight w:val="246"/>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2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(14,720)</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477,357</w:t>
            </w:r>
          </w:p>
        </w:tc>
      </w:tr>
      <w:tr>
        <w:trPr>
          <w:trHeight w:val="20"/>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0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56"/>
        </w:trPr>
        <w:tc>
          <w:tcPr>
            <w:tcW w:w="20" w:type="dxa"/>
            <w:vAlign w:val="bottom"/>
            <w:tcBorders>
              <w:bottom w:val="single" w:sz="8" w:color="auto"/>
            </w:tcBorders>
          </w:tcPr>
          <w:p>
            <w:pPr>
              <w:spacing w:after="0"/>
              <w:rPr>
                <w:sz w:val="22"/>
                <w:szCs w:val="22"/>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10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136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160" w:type="dxa"/>
            <w:vAlign w:val="bottom"/>
            <w:tcBorders>
              <w:bottom w:val="single" w:sz="8" w:color="D5DCE4"/>
            </w:tcBorders>
            <w:shd w:val="clear" w:color="auto" w:fill="D5DCE4"/>
          </w:tcPr>
          <w:p>
            <w:pPr>
              <w:spacing w:after="0"/>
              <w:rPr>
                <w:sz w:val="20"/>
                <w:szCs w:val="20"/>
                <w:color w:val="auto"/>
              </w:rPr>
            </w:pPr>
          </w:p>
        </w:tc>
        <w:tc>
          <w:tcPr>
            <w:tcW w:w="134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480" w:type="dxa"/>
            <w:vAlign w:val="bottom"/>
            <w:tcBorders>
              <w:bottom w:val="single" w:sz="8" w:color="D5DCE4"/>
            </w:tcBorders>
            <w:shd w:val="clear" w:color="auto" w:fill="D5DCE4"/>
          </w:tcPr>
          <w:p>
            <w:pPr>
              <w:spacing w:after="0"/>
              <w:rPr>
                <w:sz w:val="20"/>
                <w:szCs w:val="20"/>
                <w:color w:val="auto"/>
              </w:rPr>
            </w:pPr>
          </w:p>
        </w:tc>
        <w:tc>
          <w:tcPr>
            <w:tcW w:w="1040" w:type="dxa"/>
            <w:vAlign w:val="bottom"/>
            <w:tcBorders>
              <w:bottom w:val="single" w:sz="8" w:color="D5DCE4"/>
            </w:tcBorders>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54,763</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36,812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177,938</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111,236</w:t>
            </w:r>
          </w:p>
        </w:tc>
        <w:tc>
          <w:tcPr>
            <w:tcW w:w="0" w:type="dxa"/>
            <w:vAlign w:val="bottom"/>
          </w:tcPr>
          <w:p>
            <w:pPr>
              <w:spacing w:after="0"/>
              <w:rPr>
                <w:sz w:val="1"/>
                <w:szCs w:val="1"/>
                <w:color w:val="auto"/>
              </w:rPr>
            </w:pPr>
          </w:p>
        </w:tc>
      </w:tr>
      <w:tr>
        <w:trPr>
          <w:trHeight w:val="266"/>
        </w:trPr>
        <w:tc>
          <w:tcPr>
            <w:tcW w:w="20" w:type="dxa"/>
            <w:vAlign w:val="bottom"/>
            <w:shd w:val="clear" w:color="auto" w:fill="D5DCE4"/>
          </w:tcPr>
          <w:p>
            <w:pPr>
              <w:spacing w:after="0"/>
              <w:rPr>
                <w:sz w:val="23"/>
                <w:szCs w:val="23"/>
                <w:color w:val="auto"/>
              </w:rPr>
            </w:pPr>
          </w:p>
        </w:tc>
        <w:tc>
          <w:tcPr>
            <w:tcW w:w="820" w:type="dxa"/>
            <w:vAlign w:val="bottom"/>
            <w:shd w:val="clear" w:color="auto" w:fill="D5DCE4"/>
          </w:tcPr>
          <w:p>
            <w:pPr>
              <w:spacing w:after="0"/>
              <w:rPr>
                <w:sz w:val="23"/>
                <w:szCs w:val="23"/>
                <w:color w:val="auto"/>
              </w:rPr>
            </w:pPr>
          </w:p>
        </w:tc>
        <w:tc>
          <w:tcPr>
            <w:tcW w:w="160" w:type="dxa"/>
            <w:vAlign w:val="bottom"/>
            <w:shd w:val="clear" w:color="auto" w:fill="D5DCE4"/>
          </w:tcPr>
          <w:p>
            <w:pPr>
              <w:spacing w:after="0"/>
              <w:rPr>
                <w:sz w:val="23"/>
                <w:szCs w:val="23"/>
                <w:color w:val="auto"/>
              </w:rPr>
            </w:pPr>
          </w:p>
        </w:tc>
        <w:tc>
          <w:tcPr>
            <w:tcW w:w="38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140" w:type="dxa"/>
            <w:vAlign w:val="bottom"/>
            <w:shd w:val="clear" w:color="auto" w:fill="D5DCE4"/>
          </w:tcPr>
          <w:p>
            <w:pPr>
              <w:spacing w:after="0"/>
              <w:rPr>
                <w:sz w:val="23"/>
                <w:szCs w:val="23"/>
                <w:color w:val="auto"/>
              </w:rPr>
            </w:pPr>
          </w:p>
        </w:tc>
        <w:tc>
          <w:tcPr>
            <w:tcW w:w="136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160" w:type="dxa"/>
            <w:vAlign w:val="bottom"/>
            <w:shd w:val="clear" w:color="auto" w:fill="D5DCE4"/>
          </w:tcPr>
          <w:p>
            <w:pPr>
              <w:spacing w:after="0"/>
              <w:rPr>
                <w:sz w:val="23"/>
                <w:szCs w:val="23"/>
                <w:color w:val="auto"/>
              </w:rPr>
            </w:pPr>
          </w:p>
        </w:tc>
        <w:tc>
          <w:tcPr>
            <w:tcW w:w="13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80" w:type="dxa"/>
            <w:vAlign w:val="bottom"/>
            <w:shd w:val="clear" w:color="auto" w:fill="D5DCE4"/>
          </w:tcPr>
          <w:p>
            <w:pPr>
              <w:spacing w:after="0"/>
              <w:rPr>
                <w:sz w:val="23"/>
                <w:szCs w:val="23"/>
                <w:color w:val="auto"/>
              </w:rPr>
            </w:pPr>
          </w:p>
        </w:tc>
        <w:tc>
          <w:tcPr>
            <w:tcW w:w="104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D5DCE4"/>
          </w:tcPr>
          <w:p>
            <w:pPr>
              <w:spacing w:after="0"/>
              <w:rPr>
                <w:sz w:val="15"/>
                <w:szCs w:val="15"/>
                <w:color w:val="auto"/>
              </w:rPr>
            </w:pPr>
          </w:p>
        </w:tc>
        <w:tc>
          <w:tcPr>
            <w:tcW w:w="4940" w:type="dxa"/>
            <w:vAlign w:val="bottom"/>
            <w:gridSpan w:val="4"/>
            <w:shd w:val="clear" w:color="auto" w:fill="D5DCE4"/>
          </w:tcPr>
          <w:p>
            <w:pPr>
              <w:spacing w:after="0" w:line="178" w:lineRule="exact"/>
              <w:rPr>
                <w:sz w:val="20"/>
                <w:szCs w:val="20"/>
                <w:color w:val="auto"/>
              </w:rPr>
            </w:pPr>
            <w:r>
              <w:rPr>
                <w:rFonts w:ascii="Arial" w:cs="Arial" w:eastAsia="Arial" w:hAnsi="Arial"/>
                <w:sz w:val="16"/>
                <w:szCs w:val="16"/>
                <w:color w:val="auto"/>
              </w:rPr>
              <w:t>Weighted average shares of Class A and Class B common stock</w:t>
            </w:r>
          </w:p>
        </w:tc>
        <w:tc>
          <w:tcPr>
            <w:tcW w:w="140" w:type="dxa"/>
            <w:vAlign w:val="bottom"/>
            <w:shd w:val="clear" w:color="auto" w:fill="D5DCE4"/>
          </w:tcPr>
          <w:p>
            <w:pPr>
              <w:spacing w:after="0"/>
              <w:rPr>
                <w:sz w:val="15"/>
                <w:szCs w:val="15"/>
                <w:color w:val="auto"/>
              </w:rPr>
            </w:pPr>
          </w:p>
        </w:tc>
        <w:tc>
          <w:tcPr>
            <w:tcW w:w="13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202,238,122</w:t>
            </w:r>
          </w:p>
        </w:tc>
        <w:tc>
          <w:tcPr>
            <w:tcW w:w="80" w:type="dxa"/>
            <w:vAlign w:val="bottom"/>
            <w:shd w:val="clear" w:color="auto" w:fill="D5DCE4"/>
          </w:tcPr>
          <w:p>
            <w:pPr>
              <w:spacing w:after="0"/>
              <w:rPr>
                <w:sz w:val="15"/>
                <w:szCs w:val="15"/>
                <w:color w:val="auto"/>
              </w:rPr>
            </w:pPr>
          </w:p>
        </w:tc>
        <w:tc>
          <w:tcPr>
            <w:tcW w:w="320" w:type="dxa"/>
            <w:vAlign w:val="bottom"/>
            <w:shd w:val="clear" w:color="auto" w:fill="D5DCE4"/>
          </w:tcPr>
          <w:p>
            <w:pPr>
              <w:spacing w:after="0"/>
              <w:rPr>
                <w:sz w:val="15"/>
                <w:szCs w:val="15"/>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187,774,170</w:t>
            </w:r>
          </w:p>
        </w:tc>
        <w:tc>
          <w:tcPr>
            <w:tcW w:w="80" w:type="dxa"/>
            <w:vAlign w:val="bottom"/>
            <w:shd w:val="clear" w:color="auto" w:fill="D5DCE4"/>
          </w:tcPr>
          <w:p>
            <w:pPr>
              <w:spacing w:after="0"/>
              <w:rPr>
                <w:sz w:val="15"/>
                <w:szCs w:val="15"/>
                <w:color w:val="auto"/>
              </w:rPr>
            </w:pPr>
          </w:p>
        </w:tc>
        <w:tc>
          <w:tcPr>
            <w:tcW w:w="160" w:type="dxa"/>
            <w:vAlign w:val="bottom"/>
            <w:shd w:val="clear" w:color="auto" w:fill="D5DCE4"/>
          </w:tcPr>
          <w:p>
            <w:pPr>
              <w:spacing w:after="0"/>
              <w:rPr>
                <w:sz w:val="15"/>
                <w:szCs w:val="15"/>
                <w:color w:val="auto"/>
              </w:rPr>
            </w:pPr>
          </w:p>
        </w:tc>
        <w:tc>
          <w:tcPr>
            <w:tcW w:w="13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201,029,196</w:t>
            </w: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177,257,994</w:t>
            </w:r>
          </w:p>
        </w:tc>
        <w:tc>
          <w:tcPr>
            <w:tcW w:w="0" w:type="dxa"/>
            <w:vAlign w:val="bottom"/>
          </w:tcPr>
          <w:p>
            <w:pPr>
              <w:spacing w:after="0"/>
              <w:rPr>
                <w:sz w:val="1"/>
                <w:szCs w:val="1"/>
                <w:color w:val="auto"/>
              </w:rPr>
            </w:pPr>
          </w:p>
        </w:tc>
      </w:tr>
      <w:tr>
        <w:trPr>
          <w:trHeight w:val="201"/>
        </w:trPr>
        <w:tc>
          <w:tcPr>
            <w:tcW w:w="20" w:type="dxa"/>
            <w:vAlign w:val="bottom"/>
            <w:shd w:val="clear" w:color="auto" w:fill="D5DCE4"/>
          </w:tcPr>
          <w:p>
            <w:pPr>
              <w:spacing w:after="0"/>
              <w:rPr>
                <w:sz w:val="17"/>
                <w:szCs w:val="17"/>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140" w:type="dxa"/>
            <w:vAlign w:val="bottom"/>
            <w:shd w:val="clear" w:color="auto" w:fill="D5DCE4"/>
          </w:tcPr>
          <w:p>
            <w:pPr>
              <w:spacing w:after="0"/>
              <w:rPr>
                <w:sz w:val="17"/>
                <w:szCs w:val="17"/>
                <w:color w:val="auto"/>
              </w:rPr>
            </w:pPr>
          </w:p>
        </w:tc>
        <w:tc>
          <w:tcPr>
            <w:tcW w:w="136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20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160" w:type="dxa"/>
            <w:vAlign w:val="bottom"/>
            <w:shd w:val="clear" w:color="auto" w:fill="D5DCE4"/>
          </w:tcPr>
          <w:p>
            <w:pPr>
              <w:spacing w:after="0"/>
              <w:rPr>
                <w:sz w:val="17"/>
                <w:szCs w:val="17"/>
                <w:color w:val="auto"/>
              </w:rPr>
            </w:pPr>
          </w:p>
        </w:tc>
        <w:tc>
          <w:tcPr>
            <w:tcW w:w="134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80" w:type="dxa"/>
            <w:vAlign w:val="bottom"/>
            <w:shd w:val="clear" w:color="auto" w:fill="D5DCE4"/>
          </w:tcPr>
          <w:p>
            <w:pPr>
              <w:spacing w:after="0"/>
              <w:rPr>
                <w:sz w:val="17"/>
                <w:szCs w:val="17"/>
                <w:color w:val="auto"/>
              </w:rPr>
            </w:pPr>
          </w:p>
        </w:tc>
        <w:tc>
          <w:tcPr>
            <w:tcW w:w="1040" w:type="dxa"/>
            <w:vAlign w:val="bottom"/>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equity-settled PRSUs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2,146,473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2,584,192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2,000,005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2,371,727</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3,516,893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4,402,391</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3,609,906</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5,264,106</w:t>
            </w:r>
          </w:p>
        </w:tc>
        <w:tc>
          <w:tcPr>
            <w:tcW w:w="0" w:type="dxa"/>
            <w:vAlign w:val="bottom"/>
          </w:tcPr>
          <w:p>
            <w:pPr>
              <w:spacing w:after="0"/>
              <w:rPr>
                <w:sz w:val="1"/>
                <w:szCs w:val="1"/>
                <w:color w:val="auto"/>
              </w:rPr>
            </w:pPr>
          </w:p>
        </w:tc>
      </w:tr>
      <w:tr>
        <w:trPr>
          <w:trHeight w:val="236"/>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295,951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194,942</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269,223</w:t>
            </w:r>
          </w:p>
        </w:tc>
        <w:tc>
          <w:tcPr>
            <w:tcW w:w="80" w:type="dxa"/>
            <w:vAlign w:val="bottom"/>
            <w:tcBorders>
              <w:bottom w:val="single" w:sz="8" w:color="D5DCE4"/>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132,281</w:t>
            </w:r>
          </w:p>
        </w:tc>
        <w:tc>
          <w:tcPr>
            <w:tcW w:w="0" w:type="dxa"/>
            <w:vAlign w:val="bottom"/>
          </w:tcPr>
          <w:p>
            <w:pPr>
              <w:spacing w:after="0"/>
              <w:rPr>
                <w:sz w:val="1"/>
                <w:szCs w:val="1"/>
                <w:color w:val="auto"/>
              </w:rPr>
            </w:pPr>
          </w:p>
        </w:tc>
      </w:tr>
      <w:tr>
        <w:trPr>
          <w:trHeight w:val="164"/>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4" w:lineRule="exact"/>
              <w:rPr>
                <w:sz w:val="20"/>
                <w:szCs w:val="20"/>
                <w:color w:val="auto"/>
              </w:rPr>
            </w:pPr>
            <w:r>
              <w:rPr>
                <w:rFonts w:ascii="Arial" w:cs="Arial" w:eastAsia="Arial" w:hAnsi="Arial"/>
                <w:sz w:val="16"/>
                <w:szCs w:val="16"/>
                <w:color w:val="auto"/>
              </w:rPr>
              <w:t>Weighted average shares of Class A and Class B common stock</w:t>
            </w:r>
          </w:p>
        </w:tc>
        <w:tc>
          <w:tcPr>
            <w:tcW w:w="140" w:type="dxa"/>
            <w:vAlign w:val="bottom"/>
            <w:shd w:val="clear" w:color="auto" w:fill="D5DCE4"/>
          </w:tcPr>
          <w:p>
            <w:pPr>
              <w:spacing w:after="0"/>
              <w:rPr>
                <w:sz w:val="14"/>
                <w:szCs w:val="14"/>
                <w:color w:val="auto"/>
              </w:rPr>
            </w:pPr>
          </w:p>
        </w:tc>
        <w:tc>
          <w:tcPr>
            <w:tcW w:w="13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208,197,439</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194,955,695</w:t>
            </w:r>
          </w:p>
        </w:tc>
        <w:tc>
          <w:tcPr>
            <w:tcW w:w="80" w:type="dxa"/>
            <w:vAlign w:val="bottom"/>
            <w:shd w:val="clear" w:color="auto" w:fill="D5DCE4"/>
          </w:tcPr>
          <w:p>
            <w:pPr>
              <w:spacing w:after="0"/>
              <w:rPr>
                <w:sz w:val="14"/>
                <w:szCs w:val="14"/>
                <w:color w:val="auto"/>
              </w:rPr>
            </w:pPr>
          </w:p>
        </w:tc>
        <w:tc>
          <w:tcPr>
            <w:tcW w:w="160" w:type="dxa"/>
            <w:vAlign w:val="bottom"/>
            <w:shd w:val="clear" w:color="auto" w:fill="D5DCE4"/>
          </w:tcPr>
          <w:p>
            <w:pPr>
              <w:spacing w:after="0"/>
              <w:rPr>
                <w:sz w:val="14"/>
                <w:szCs w:val="14"/>
                <w:color w:val="auto"/>
              </w:rPr>
            </w:pPr>
          </w:p>
        </w:tc>
        <w:tc>
          <w:tcPr>
            <w:tcW w:w="13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206,908,330</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185,026,108</w:t>
            </w:r>
          </w:p>
        </w:tc>
        <w:tc>
          <w:tcPr>
            <w:tcW w:w="0" w:type="dxa"/>
            <w:vAlign w:val="bottom"/>
          </w:tcPr>
          <w:p>
            <w:pPr>
              <w:spacing w:after="0"/>
              <w:rPr>
                <w:sz w:val="1"/>
                <w:szCs w:val="1"/>
                <w:color w:val="auto"/>
              </w:rPr>
            </w:pPr>
          </w:p>
        </w:tc>
      </w:tr>
      <w:tr>
        <w:trPr>
          <w:trHeight w:val="194"/>
        </w:trPr>
        <w:tc>
          <w:tcPr>
            <w:tcW w:w="20" w:type="dxa"/>
            <w:vAlign w:val="bottom"/>
            <w:tcBorders>
              <w:bottom w:val="single" w:sz="8" w:color="D5DCE4"/>
            </w:tcBorders>
            <w:shd w:val="clear" w:color="auto" w:fill="D5DCE4"/>
          </w:tcPr>
          <w:p>
            <w:pPr>
              <w:spacing w:after="0"/>
              <w:rPr>
                <w:sz w:val="16"/>
                <w:szCs w:val="16"/>
                <w:color w:val="auto"/>
              </w:rPr>
            </w:pPr>
          </w:p>
        </w:tc>
        <w:tc>
          <w:tcPr>
            <w:tcW w:w="4940" w:type="dxa"/>
            <w:vAlign w:val="bottom"/>
            <w:tcBorders>
              <w:bottom w:val="single" w:sz="8" w:color="D5DCE4"/>
            </w:tcBorders>
            <w:gridSpan w:val="4"/>
            <w:shd w:val="clear" w:color="auto" w:fill="D5DCE4"/>
          </w:tcPr>
          <w:p>
            <w:pPr>
              <w:spacing w:after="0" w:line="174" w:lineRule="exact"/>
              <w:rPr>
                <w:sz w:val="20"/>
                <w:szCs w:val="20"/>
                <w:color w:val="auto"/>
              </w:rPr>
            </w:pPr>
            <w:r>
              <w:rPr>
                <w:rFonts w:ascii="Arial" w:cs="Arial" w:eastAsia="Arial" w:hAnsi="Arial"/>
                <w:sz w:val="16"/>
                <w:szCs w:val="16"/>
                <w:color w:val="auto"/>
              </w:rPr>
              <w:t>outstanding - Diluted</w:t>
            </w:r>
          </w:p>
        </w:tc>
        <w:tc>
          <w:tcPr>
            <w:tcW w:w="140" w:type="dxa"/>
            <w:vAlign w:val="bottom"/>
            <w:tcBorders>
              <w:bottom w:val="single" w:sz="8" w:color="auto"/>
            </w:tcBorders>
            <w:shd w:val="clear" w:color="auto" w:fill="D5DCE4"/>
          </w:tcPr>
          <w:p>
            <w:pPr>
              <w:spacing w:after="0"/>
              <w:rPr>
                <w:sz w:val="16"/>
                <w:szCs w:val="16"/>
                <w:color w:val="auto"/>
              </w:rPr>
            </w:pPr>
          </w:p>
        </w:tc>
        <w:tc>
          <w:tcPr>
            <w:tcW w:w="136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320" w:type="dxa"/>
            <w:vAlign w:val="bottom"/>
            <w:tcBorders>
              <w:bottom w:val="single" w:sz="8" w:color="auto"/>
            </w:tcBorders>
            <w:shd w:val="clear" w:color="auto" w:fill="D5DCE4"/>
          </w:tcPr>
          <w:p>
            <w:pPr>
              <w:spacing w:after="0"/>
              <w:rPr>
                <w:sz w:val="16"/>
                <w:szCs w:val="16"/>
                <w:color w:val="auto"/>
              </w:rPr>
            </w:pPr>
          </w:p>
        </w:tc>
        <w:tc>
          <w:tcPr>
            <w:tcW w:w="120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160" w:type="dxa"/>
            <w:vAlign w:val="bottom"/>
            <w:tcBorders>
              <w:bottom w:val="single" w:sz="8" w:color="auto"/>
            </w:tcBorders>
            <w:shd w:val="clear" w:color="auto" w:fill="D5DCE4"/>
          </w:tcPr>
          <w:p>
            <w:pPr>
              <w:spacing w:after="0"/>
              <w:rPr>
                <w:sz w:val="16"/>
                <w:szCs w:val="16"/>
                <w:color w:val="auto"/>
              </w:rPr>
            </w:pPr>
          </w:p>
        </w:tc>
        <w:tc>
          <w:tcPr>
            <w:tcW w:w="134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480" w:type="dxa"/>
            <w:vAlign w:val="bottom"/>
            <w:tcBorders>
              <w:bottom w:val="single" w:sz="8" w:color="auto"/>
            </w:tcBorders>
            <w:shd w:val="clear" w:color="auto" w:fill="D5DCE4"/>
          </w:tcPr>
          <w:p>
            <w:pPr>
              <w:spacing w:after="0"/>
              <w:rPr>
                <w:sz w:val="16"/>
                <w:szCs w:val="16"/>
                <w:color w:val="auto"/>
              </w:rPr>
            </w:pPr>
          </w:p>
        </w:tc>
        <w:tc>
          <w:tcPr>
            <w:tcW w:w="1040" w:type="dxa"/>
            <w:vAlign w:val="bottom"/>
            <w:tcBorders>
              <w:bottom w:val="single" w:sz="8" w:color="auto"/>
            </w:tcBorders>
            <w:vMerge w:val="continue"/>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tcBorders>
              <w:bottom w:val="single" w:sz="8" w:color="D5DCE4"/>
            </w:tcBorders>
            <w:shd w:val="clear" w:color="auto" w:fill="D5DCE4"/>
          </w:tcPr>
          <w:p>
            <w:pPr>
              <w:spacing w:after="0"/>
              <w:rPr>
                <w:sz w:val="22"/>
                <w:szCs w:val="22"/>
                <w:color w:val="auto"/>
              </w:rPr>
            </w:pPr>
          </w:p>
        </w:tc>
        <w:tc>
          <w:tcPr>
            <w:tcW w:w="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0.89</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0.86</w:t>
            </w:r>
          </w:p>
        </w:tc>
        <w:tc>
          <w:tcPr>
            <w:tcW w:w="8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2"/>
                <w:szCs w:val="22"/>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r>
      <w:tr>
        <w:trPr>
          <w:trHeight w:val="274"/>
        </w:trPr>
        <w:tc>
          <w:tcPr>
            <w:tcW w:w="2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5"/>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80,888</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58,530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64,139</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51,627</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16,749</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6,903</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26.1 %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13.4 %</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44,278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48.5 %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14,235</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9,329</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2,528</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4,906</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52.6 %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(12.1)%</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7,198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12.6 %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0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20,515</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0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18,598</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1,917</w:t>
            </w:r>
          </w:p>
        </w:tc>
        <w:tc>
          <w:tcPr>
            <w:tcW w:w="180" w:type="dxa"/>
            <w:vAlign w:val="bottom"/>
            <w:shd w:val="clear" w:color="auto" w:fill="D5DCE4"/>
          </w:tcPr>
          <w:p>
            <w:pPr>
              <w:spacing w:after="0"/>
              <w:rPr>
                <w:sz w:val="21"/>
                <w:szCs w:val="21"/>
                <w:color w:val="auto"/>
              </w:rPr>
            </w:pPr>
          </w:p>
        </w:tc>
        <w:tc>
          <w:tcPr>
            <w:tcW w:w="114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10.3 %</w:t>
            </w:r>
          </w:p>
        </w:tc>
      </w:tr>
      <w:tr>
        <w:trPr>
          <w:trHeight w:val="236"/>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(471)</w:t>
            </w:r>
          </w:p>
        </w:tc>
        <w:tc>
          <w:tcPr>
            <w:tcW w:w="1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68"/>
        </w:trPr>
        <w:tc>
          <w:tcPr>
            <w:tcW w:w="254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168,063</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97,262</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124,136</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88,734</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43,927</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8,528</w:t>
            </w:r>
          </w:p>
        </w:tc>
        <w:tc>
          <w:tcPr>
            <w:tcW w:w="1240" w:type="dxa"/>
            <w:vAlign w:val="bottom"/>
            <w:tcBorders>
              <w:top w:val="single" w:sz="8" w:color="D5DCE4"/>
              <w:bottom w:val="single" w:sz="8" w:color="D5DCE4"/>
            </w:tcBorders>
            <w:gridSpan w:val="2"/>
            <w:shd w:val="clear" w:color="auto" w:fill="D5DCE4"/>
          </w:tcPr>
          <w:p>
            <w:pPr>
              <w:jc w:val="right"/>
              <w:spacing w:after="0"/>
              <w:rPr>
                <w:sz w:val="20"/>
                <w:szCs w:val="20"/>
                <w:color w:val="auto"/>
              </w:rPr>
            </w:pPr>
            <w:r>
              <w:rPr>
                <w:rFonts w:ascii="Arial" w:cs="Arial" w:eastAsia="Arial" w:hAnsi="Arial"/>
                <w:sz w:val="16"/>
                <w:szCs w:val="16"/>
                <w:color w:val="auto"/>
              </w:rPr>
              <w:t>35.4 %</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000" w:type="dxa"/>
            <w:vAlign w:val="bottom"/>
            <w:tcBorders>
              <w:top w:val="single" w:sz="8" w:color="D5DCE4"/>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9.6 %</w:t>
            </w:r>
          </w:p>
        </w:tc>
      </w:tr>
      <w:tr>
        <w:trPr>
          <w:trHeight w:val="20"/>
        </w:trPr>
        <w:tc>
          <w:tcPr>
            <w:tcW w:w="23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74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56"/>
        </w:trPr>
        <w:tc>
          <w:tcPr>
            <w:tcW w:w="4980" w:type="dxa"/>
            <w:vAlign w:val="bottom"/>
            <w:tcBorders>
              <w:bottom w:val="single" w:sz="8" w:color="D5DCE4"/>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2.03</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5.8 %</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1.9 %</w:t>
            </w:r>
          </w:p>
        </w:tc>
      </w:tr>
      <w:tr>
        <w:trPr>
          <w:trHeight w:val="233"/>
        </w:trPr>
        <w:tc>
          <w:tcPr>
            <w:tcW w:w="498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253"/>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8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0.25</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45.67</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34.89</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30.9 %</w:t>
            </w: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144.48</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127.70</w:t>
            </w:r>
          </w:p>
        </w:tc>
        <w:tc>
          <w:tcPr>
            <w:tcW w:w="142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4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6.16</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6.02</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2.4 %</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15.20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15.95</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(4.7)%</w:t>
            </w: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24.37</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20.25</w:t>
            </w:r>
          </w:p>
        </w:tc>
        <w:tc>
          <w:tcPr>
            <w:tcW w:w="142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25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5.23</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9.46</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(44.7)%</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0.33</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0.38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(14.3)%</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2.70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2.47</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9.5 %</w:t>
            </w:r>
          </w:p>
        </w:tc>
      </w:tr>
      <w:tr>
        <w:trPr>
          <w:trHeight w:val="294"/>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2.97</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2.65</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12.2 %</w:t>
            </w:r>
          </w:p>
        </w:tc>
      </w:tr>
    </w:tbl>
    <w:p>
      <w:pPr>
        <w:spacing w:after="0" w:line="28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ind w:left="660" w:hanging="328"/>
        <w:spacing w:after="0" w:line="234" w:lineRule="auto"/>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ind w:left="660" w:hanging="328"/>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2021 Q3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1040"/>
              <w:spacing w:after="0"/>
              <w:rPr>
                <w:sz w:val="20"/>
                <w:szCs w:val="20"/>
                <w:color w:val="auto"/>
              </w:rPr>
            </w:pPr>
            <w:r>
              <w:rPr>
                <w:rFonts w:ascii="Arial" w:cs="Arial" w:eastAsia="Arial" w:hAnsi="Arial"/>
                <w:sz w:val="16"/>
                <w:szCs w:val="16"/>
                <w:b w:val="1"/>
                <w:bCs w:val="1"/>
                <w:color w:val="auto"/>
              </w:rPr>
              <w:t>2020 Q3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2"/>
                <w:szCs w:val="22"/>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337,167</w:t>
            </w:r>
          </w:p>
        </w:tc>
        <w:tc>
          <w:tcPr>
            <w:tcW w:w="440" w:type="dxa"/>
            <w:vAlign w:val="bottom"/>
            <w:shd w:val="clear" w:color="auto" w:fill="D5DCE4"/>
          </w:tcPr>
          <w:p>
            <w:pPr>
              <w:jc w:val="right"/>
              <w:ind w:right="28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21,632,199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311,033</w:t>
            </w:r>
          </w:p>
        </w:tc>
        <w:tc>
          <w:tcPr>
            <w:tcW w:w="440" w:type="dxa"/>
            <w:vAlign w:val="bottom"/>
            <w:shd w:val="clear" w:color="auto" w:fill="D5DCE4"/>
          </w:tcPr>
          <w:p>
            <w:pPr>
              <w:jc w:val="center"/>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19,951,302</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8.40 %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124,578</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7,972,973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86,956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5,565,202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43.26 %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28,800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1,900,795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24,317</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1,604,918</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18.44 %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180,033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11,522,093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195,986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12,543,075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3,757</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236,337</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3,774</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238,107</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246,981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15,992,323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179,054</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11,612,291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37.94 %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154,970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10,039,311</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122,341</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7,919,286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26.67 %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91,240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5,903,695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56,317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3,667,678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62.01 %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770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49,317</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396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25,327</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94.69 %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584,148</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37,624,522</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490,087</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31,563,593</w:t>
            </w:r>
          </w:p>
        </w:tc>
        <w:tc>
          <w:tcPr>
            <w:tcW w:w="100" w:type="dxa"/>
            <w:vAlign w:val="bottom"/>
            <w:tcBorders>
              <w:bottom w:val="single" w:sz="8" w:color="D5DCE4"/>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19.19 %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8,440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543,735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7,036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455,496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19.95 %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4,371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279,755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244,569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14.39 %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836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53,502</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406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25,978</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105.95 %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1,707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112,653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1,270</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83,831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34.38 %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173</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201</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12,851</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84,292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121</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61</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98.33 %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13,796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895,891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12,507</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813,562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10.31 %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13,796</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895,891</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12,507</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813,562</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10.31 %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22,237</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1,439,626</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19,543</w:t>
            </w:r>
          </w:p>
        </w:tc>
        <w:tc>
          <w:tcPr>
            <w:tcW w:w="4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1,269,058</w:t>
            </w:r>
          </w:p>
        </w:tc>
        <w:tc>
          <w:tcPr>
            <w:tcW w:w="100" w:type="dxa"/>
            <w:vAlign w:val="bottom"/>
            <w:tcBorders>
              <w:bottom w:val="single" w:sz="8" w:color="D5DCE4"/>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13.78 %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7,551</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487,509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5,442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351,468</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38.75 %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5,421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346,951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3,849</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246,367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40.83 %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 ETFs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2,130</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140,558</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1,592</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105,101</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33.74 %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6,992</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449,243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3,624</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233,482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92.93 %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Options/Convertibles/Swaps</w:t>
            </w:r>
          </w:p>
        </w:tc>
        <w:tc>
          <w:tcPr>
            <w:tcW w:w="10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3,559</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229,356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1,188</w:t>
            </w:r>
          </w:p>
        </w:tc>
        <w:tc>
          <w:tcPr>
            <w:tcW w:w="44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77,469</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199.49 %</w:t>
            </w: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3,433</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219,886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2,436</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156,014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40.94 %</w:t>
            </w:r>
          </w:p>
        </w:tc>
        <w:tc>
          <w:tcPr>
            <w:tcW w:w="0" w:type="dxa"/>
            <w:vAlign w:val="bottom"/>
          </w:tcPr>
          <w:p>
            <w:pPr>
              <w:spacing w:after="0"/>
              <w:rPr>
                <w:sz w:val="1"/>
                <w:szCs w:val="1"/>
                <w:color w:val="auto"/>
              </w:rPr>
            </w:pPr>
          </w:p>
        </w:tc>
      </w:tr>
      <w:tr>
        <w:trPr>
          <w:trHeight w:val="243"/>
        </w:trPr>
        <w:tc>
          <w:tcPr>
            <w:tcW w:w="1200" w:type="dxa"/>
            <w:vAlign w:val="bottom"/>
            <w:tcBorders>
              <w:top w:val="single" w:sz="8" w:color="D5DCE4"/>
              <w:right w:val="single" w:sz="8" w:color="D5DCE4"/>
            </w:tcBorders>
            <w:shd w:val="clear" w:color="auto" w:fill="D5DCE4"/>
          </w:tcPr>
          <w:p>
            <w:pPr>
              <w:spacing w:after="0"/>
              <w:rPr>
                <w:sz w:val="21"/>
                <w:szCs w:val="21"/>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14,543</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936,752</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20" w:type="dxa"/>
            <w:vAlign w:val="bottom"/>
            <w:tcBorders>
              <w:top w:val="single" w:sz="8" w:color="auto"/>
              <w:bottom w:val="single" w:sz="8" w:color="auto"/>
            </w:tcBorders>
            <w:shd w:val="clear" w:color="auto" w:fill="D5DCE4"/>
          </w:tcPr>
          <w:p>
            <w:pPr>
              <w:spacing w:after="0"/>
              <w:rPr>
                <w:sz w:val="21"/>
                <w:szCs w:val="21"/>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9,066</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584,950</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5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60.41 %</w:t>
            </w: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343,536</w:t>
            </w:r>
          </w:p>
        </w:tc>
        <w:tc>
          <w:tcPr>
            <w:tcW w:w="4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22,138,406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261,590</w:t>
            </w:r>
          </w:p>
        </w:tc>
        <w:tc>
          <w:tcPr>
            <w:tcW w:w="4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16,847,205</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31.33 %</w:t>
            </w:r>
          </w:p>
        </w:tc>
        <w:tc>
          <w:tcPr>
            <w:tcW w:w="0" w:type="dxa"/>
            <w:vAlign w:val="bottom"/>
          </w:tcPr>
          <w:p>
            <w:pPr>
              <w:spacing w:after="0"/>
              <w:rPr>
                <w:sz w:val="1"/>
                <w:szCs w:val="1"/>
                <w:color w:val="auto"/>
              </w:rPr>
            </w:pPr>
          </w:p>
        </w:tc>
      </w:tr>
      <w:tr>
        <w:trPr>
          <w:trHeight w:val="120"/>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w:t>
            </w:r>
          </w:p>
        </w:tc>
        <w:tc>
          <w:tcPr>
            <w:tcW w:w="10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329,374</w:t>
            </w:r>
          </w:p>
        </w:tc>
        <w:tc>
          <w:tcPr>
            <w:tcW w:w="44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21,231,648</w:t>
            </w:r>
          </w:p>
        </w:tc>
        <w:tc>
          <w:tcPr>
            <w:tcW w:w="100" w:type="dxa"/>
            <w:vAlign w:val="bottom"/>
            <w:tcBorders>
              <w:right w:val="single" w:sz="8" w:color="D5DCE4"/>
            </w:tcBorders>
            <w:shd w:val="clear" w:color="auto" w:fill="D5DCE4"/>
          </w:tcPr>
          <w:p>
            <w:pPr>
              <w:spacing w:after="0"/>
              <w:rPr>
                <w:sz w:val="18"/>
                <w:szCs w:val="18"/>
                <w:color w:val="auto"/>
              </w:rPr>
            </w:pPr>
          </w:p>
        </w:tc>
        <w:tc>
          <w:tcPr>
            <w:tcW w:w="12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250,039</w:t>
            </w:r>
          </w:p>
        </w:tc>
        <w:tc>
          <w:tcPr>
            <w:tcW w:w="440" w:type="dxa"/>
            <w:vAlign w:val="bottom"/>
            <w:shd w:val="clear" w:color="auto" w:fill="D5DCE4"/>
          </w:tcPr>
          <w:p>
            <w:pPr>
              <w:spacing w:after="0"/>
              <w:rPr>
                <w:sz w:val="18"/>
                <w:szCs w:val="18"/>
                <w:color w:val="auto"/>
              </w:rPr>
            </w:pPr>
          </w:p>
        </w:tc>
        <w:tc>
          <w:tcPr>
            <w:tcW w:w="10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16,106,552</w:t>
            </w:r>
          </w:p>
        </w:tc>
        <w:tc>
          <w:tcPr>
            <w:tcW w:w="100" w:type="dxa"/>
            <w:vAlign w:val="bottom"/>
            <w:tcBorders>
              <w:right w:val="single" w:sz="8" w:color="D5DCE4"/>
            </w:tcBorders>
            <w:shd w:val="clear" w:color="auto" w:fill="D5DCE4"/>
          </w:tcPr>
          <w:p>
            <w:pPr>
              <w:spacing w:after="0"/>
              <w:rPr>
                <w:sz w:val="18"/>
                <w:szCs w:val="18"/>
                <w:color w:val="auto"/>
              </w:rPr>
            </w:pPr>
          </w:p>
        </w:tc>
        <w:tc>
          <w:tcPr>
            <w:tcW w:w="15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31.73 %</w:t>
            </w:r>
          </w:p>
        </w:tc>
        <w:tc>
          <w:tcPr>
            <w:tcW w:w="0" w:type="dxa"/>
            <w:vAlign w:val="bottom"/>
          </w:tcPr>
          <w:p>
            <w:pPr>
              <w:spacing w:after="0"/>
              <w:rPr>
                <w:sz w:val="1"/>
                <w:szCs w:val="1"/>
                <w:color w:val="auto"/>
              </w:rPr>
            </w:pPr>
          </w:p>
        </w:tc>
      </w:tr>
      <w:tr>
        <w:trPr>
          <w:trHeight w:val="116"/>
        </w:trPr>
        <w:tc>
          <w:tcPr>
            <w:tcW w:w="1200" w:type="dxa"/>
            <w:vAlign w:val="bottom"/>
            <w:tcBorders>
              <w:right w:val="single" w:sz="8" w:color="D5DCE4"/>
            </w:tcBorders>
            <w:shd w:val="clear" w:color="auto" w:fill="D5DCE4"/>
          </w:tcPr>
          <w:p>
            <w:pPr>
              <w:spacing w:after="0"/>
              <w:rPr>
                <w:sz w:val="10"/>
                <w:szCs w:val="10"/>
                <w:color w:val="auto"/>
              </w:rPr>
            </w:pPr>
          </w:p>
        </w:tc>
        <w:tc>
          <w:tcPr>
            <w:tcW w:w="242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(Repo)</w:t>
            </w:r>
          </w:p>
        </w:tc>
        <w:tc>
          <w:tcPr>
            <w:tcW w:w="10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2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58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D5DCE4"/>
            </w:tcBorders>
            <w:shd w:val="clear" w:color="auto" w:fill="D5DCE4"/>
          </w:tcPr>
          <w:p>
            <w:pPr>
              <w:spacing w:after="0"/>
              <w:rPr>
                <w:sz w:val="9"/>
                <w:szCs w:val="9"/>
                <w:color w:val="auto"/>
              </w:rPr>
            </w:pPr>
          </w:p>
        </w:tc>
        <w:tc>
          <w:tcPr>
            <w:tcW w:w="2420" w:type="dxa"/>
            <w:vAlign w:val="bottom"/>
            <w:tcBorders>
              <w:right w:val="single" w:sz="8" w:color="D5DCE4"/>
            </w:tcBorders>
            <w:gridSpan w:val="2"/>
            <w:vMerge w:val="continue"/>
            <w:shd w:val="clear" w:color="auto" w:fill="D5DCE4"/>
          </w:tcPr>
          <w:p>
            <w:pPr>
              <w:spacing w:after="0"/>
              <w:rPr>
                <w:sz w:val="9"/>
                <w:szCs w:val="9"/>
                <w:color w:val="auto"/>
              </w:rPr>
            </w:pPr>
          </w:p>
        </w:tc>
        <w:tc>
          <w:tcPr>
            <w:tcW w:w="10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2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2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580" w:type="dxa"/>
            <w:vAlign w:val="bottom"/>
            <w:tcBorders>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1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14,162</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906,758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11,551</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740,653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22.60 %</w:t>
            </w:r>
          </w:p>
        </w:tc>
        <w:tc>
          <w:tcPr>
            <w:tcW w:w="0" w:type="dxa"/>
            <w:vAlign w:val="bottom"/>
          </w:tcPr>
          <w:p>
            <w:pPr>
              <w:spacing w:after="0"/>
              <w:rPr>
                <w:sz w:val="1"/>
                <w:szCs w:val="1"/>
                <w:color w:val="auto"/>
              </w:rPr>
            </w:pPr>
          </w:p>
        </w:tc>
      </w:tr>
      <w:tr>
        <w:trPr>
          <w:trHeight w:val="236"/>
        </w:trPr>
        <w:tc>
          <w:tcPr>
            <w:tcW w:w="1200" w:type="dxa"/>
            <w:vAlign w:val="bottom"/>
            <w:tcBorders>
              <w:top w:val="single" w:sz="8" w:color="D5DCE4"/>
              <w:right w:val="single" w:sz="8" w:color="D5DCE4"/>
            </w:tcBorders>
            <w:shd w:val="clear" w:color="auto" w:fill="D5DCE4"/>
          </w:tcPr>
          <w:p>
            <w:pPr>
              <w:spacing w:after="0"/>
              <w:rPr>
                <w:sz w:val="20"/>
                <w:szCs w:val="20"/>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343,536</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22,138,406</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20" w:type="dxa"/>
            <w:vAlign w:val="bottom"/>
            <w:tcBorders>
              <w:top w:val="single" w:sz="8" w:color="auto"/>
              <w:bottom w:val="single" w:sz="8" w:color="auto"/>
            </w:tcBorders>
            <w:shd w:val="clear" w:color="auto" w:fill="D5DCE4"/>
          </w:tcPr>
          <w:p>
            <w:pPr>
              <w:spacing w:after="0"/>
              <w:rPr>
                <w:sz w:val="20"/>
                <w:szCs w:val="20"/>
                <w:color w:val="auto"/>
              </w:rPr>
            </w:pPr>
          </w:p>
        </w:tc>
        <w:tc>
          <w:tcPr>
            <w:tcW w:w="13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261,590</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16,847,205</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58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31.33 %</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D5DCE4"/>
            </w:tcBorders>
          </w:tcPr>
          <w:p>
            <w:pPr>
              <w:spacing w:after="0"/>
              <w:rPr>
                <w:sz w:val="17"/>
                <w:szCs w:val="17"/>
                <w:color w:val="auto"/>
              </w:rPr>
            </w:pPr>
          </w:p>
        </w:tc>
        <w:tc>
          <w:tcPr>
            <w:tcW w:w="230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Borders>
              <w:right w:val="single" w:sz="8" w:color="D5DCE4"/>
            </w:tcBorders>
            <w:shd w:val="clear" w:color="auto" w:fill="D5DCE4"/>
          </w:tcPr>
          <w:p>
            <w:pPr>
              <w:spacing w:after="0"/>
              <w:rPr>
                <w:sz w:val="20"/>
                <w:szCs w:val="20"/>
                <w:color w:val="auto"/>
              </w:rPr>
            </w:pPr>
          </w:p>
        </w:tc>
        <w:tc>
          <w:tcPr>
            <w:tcW w:w="230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0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580" w:type="dxa"/>
            <w:vAlign w:val="bottom"/>
            <w:tcBorders>
              <w:bottom w:val="single" w:sz="8" w:color="auto"/>
              <w:right w:val="single" w:sz="8" w:color="auto"/>
            </w:tcBorders>
            <w:shd w:val="clear" w:color="auto" w:fill="D5DCE4"/>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20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964,464</w:t>
            </w: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62,139,306</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780,286</w:t>
            </w:r>
          </w:p>
        </w:tc>
        <w:tc>
          <w:tcPr>
            <w:tcW w:w="4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50,264,805</w:t>
            </w:r>
          </w:p>
        </w:tc>
        <w:tc>
          <w:tcPr>
            <w:tcW w:w="1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23.60 %</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91"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2021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3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2021-10-28T06:03:28Z</dcterms:created>
  <dcterms:modified xsi:type="dcterms:W3CDTF">2021-10-28T06:03:28Z</dcterms:modified>
</cp:coreProperties>
</file>