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0"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80" w:type="dxa"/>
            <w:vAlign w:val="bottom"/>
          </w:tcPr>
          <w:p>
            <w:pPr>
              <w:jc w:val="center"/>
              <w:ind w:right="17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80" w:type="dxa"/>
            <w:vAlign w:val="bottom"/>
            <w:vMerge w:val="restart"/>
          </w:tcPr>
          <w:p>
            <w:pPr>
              <w:jc w:val="center"/>
              <w:ind w:right="17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7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5494020</wp:posOffset>
            </wp:positionH>
            <wp:positionV relativeFrom="paragraph">
              <wp:posOffset>-654050</wp:posOffset>
            </wp:positionV>
            <wp:extent cx="59690" cy="667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7385"/>
                    </a:xfrm>
                    <a:prstGeom prst="rect">
                      <a:avLst/>
                    </a:prstGeom>
                    <a:noFill/>
                  </pic:spPr>
                </pic:pic>
              </a:graphicData>
            </a:graphic>
          </wp:anchor>
        </w:drawing>
        <w:drawing>
          <wp:anchor simplePos="0" relativeHeight="251657728" behindDoc="1" locked="0" layoutInCell="0" allowOverlap="1">
            <wp:simplePos x="0" y="0"/>
            <wp:positionH relativeFrom="column">
              <wp:posOffset>4159250</wp:posOffset>
            </wp:positionH>
            <wp:positionV relativeFrom="paragraph">
              <wp:posOffset>-654050</wp:posOffset>
            </wp:positionV>
            <wp:extent cx="59690" cy="667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738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20955</wp:posOffset>
            </wp:positionV>
            <wp:extent cx="7322820" cy="5826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82612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60" w:space="280"/>
            <w:col w:w="8880"/>
          </w:cols>
          <w:pgMar w:left="240" w:top="226" w:right="139" w:bottom="88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Hult William</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TRADEWEB MARKETS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Tradeweb Markets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color w:val="0000FF"/>
        </w:rPr>
        <w:t>10/22/2019</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2" w:right="640" w:hanging="2"/>
        <w:spacing w:after="0" w:line="257"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9" w:lineRule="exact"/>
        <w:rPr>
          <w:sz w:val="24"/>
          <w:szCs w:val="24"/>
          <w:color w:val="auto"/>
        </w:rPr>
      </w:pPr>
    </w:p>
    <w:tbl>
      <w:tblPr>
        <w:tblLayout w:type="fixed"/>
        <w:tblInd w:w="202"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64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3"/>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64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6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640" w:type="dxa"/>
            <w:vAlign w:val="bottom"/>
          </w:tcPr>
          <w:p>
            <w:pPr>
              <w:ind w:left="880"/>
              <w:spacing w:after="0"/>
              <w:rPr>
                <w:sz w:val="20"/>
                <w:szCs w:val="20"/>
                <w:color w:val="auto"/>
              </w:rPr>
            </w:pPr>
            <w:r>
              <w:rPr>
                <w:rFonts w:ascii="Arial" w:cs="Arial" w:eastAsia="Arial" w:hAnsi="Arial"/>
                <w:sz w:val="18"/>
                <w:szCs w:val="18"/>
                <w:color w:val="0000FF"/>
                <w:w w:val="97"/>
              </w:rPr>
              <w:t>President</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03" w:lineRule="exact"/>
        <w:rPr>
          <w:sz w:val="24"/>
          <w:szCs w:val="24"/>
          <w:color w:val="auto"/>
        </w:rPr>
      </w:pPr>
    </w:p>
    <w:p>
      <w:pPr>
        <w:sectPr>
          <w:pgSz w:w="11900" w:h="16838" w:orient="portrait"/>
          <w:cols w:equalWidth="0" w:num="3">
            <w:col w:w="3340" w:space="720"/>
            <w:col w:w="3258" w:space="720"/>
            <w:col w:w="3482"/>
          </w:cols>
          <w:pgMar w:left="240" w:top="226" w:right="139" w:bottom="883" w:gutter="0" w:footer="0" w:header="0"/>
          <w:type w:val="continuous"/>
        </w:sectPr>
      </w:pPr>
    </w:p>
    <w:p>
      <w:pPr>
        <w:spacing w:after="0" w:line="2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60" w:type="dxa"/>
            <w:vAlign w:val="bottom"/>
          </w:tcPr>
          <w:p>
            <w:pPr>
              <w:ind w:left="420"/>
              <w:spacing w:after="0"/>
              <w:rPr>
                <w:sz w:val="20"/>
                <w:szCs w:val="20"/>
                <w:color w:val="auto"/>
              </w:rPr>
            </w:pPr>
            <w:r>
              <w:rPr>
                <w:rFonts w:ascii="Arial" w:cs="Arial" w:eastAsia="Arial" w:hAnsi="Arial"/>
                <w:sz w:val="18"/>
                <w:szCs w:val="18"/>
                <w:color w:val="0000FF"/>
              </w:rPr>
              <w:t>10036</w:t>
            </w:r>
          </w:p>
        </w:tc>
      </w:tr>
      <w:tr>
        <w:trPr>
          <w:trHeight w:val="157"/>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4"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71" w:lineRule="exact"/>
        <w:rPr>
          <w:sz w:val="24"/>
          <w:szCs w:val="24"/>
          <w:color w:val="auto"/>
        </w:rPr>
      </w:pPr>
    </w:p>
    <w:p>
      <w:pPr>
        <w:sectPr>
          <w:pgSz w:w="11900" w:h="16838" w:orient="portrait"/>
          <w:cols w:equalWidth="0" w:num="2">
            <w:col w:w="3900" w:space="160"/>
            <w:col w:w="7460"/>
          </w:cols>
          <w:pgMar w:left="240" w:top="226" w:right="139" w:bottom="883"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82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10/22/2019</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25,922</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40.74</w:t>
            </w:r>
            <w:r>
              <w:rPr>
                <w:rFonts w:ascii="Arial" w:cs="Arial" w:eastAsia="Arial" w:hAnsi="Arial"/>
                <w:sz w:val="22"/>
                <w:szCs w:val="22"/>
                <w:color w:val="008000"/>
                <w:w w:val="93"/>
                <w:vertAlign w:val="superscript"/>
              </w:rPr>
              <w:t>(1)</w:t>
            </w: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358,809</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1"/>
          </w:tcPr>
          <w:p>
            <w:pPr>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20" w:type="dxa"/>
            <w:vAlign w:val="bottom"/>
            <w:gridSpan w:val="9"/>
          </w:tcPr>
          <w:p>
            <w:pPr>
              <w:ind w:left="7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D</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vMerge w:val="restart"/>
          </w:tcPr>
          <w:p>
            <w:pPr>
              <w:ind w:left="100"/>
              <w:spacing w:after="0"/>
              <w:rPr>
                <w:sz w:val="20"/>
                <w:szCs w:val="20"/>
                <w:color w:val="auto"/>
              </w:rPr>
            </w:pPr>
            <w:r>
              <w:rPr>
                <w:rFonts w:ascii="Arial" w:cs="Arial" w:eastAsia="Arial" w:hAnsi="Arial"/>
                <w:sz w:val="26"/>
                <w:szCs w:val="26"/>
                <w:color w:val="0000FF"/>
                <w:vertAlign w:val="subscript"/>
              </w:rPr>
              <w:t>D</w:t>
            </w: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60" w:type="dxa"/>
            <w:vAlign w:val="bottom"/>
          </w:tcPr>
          <w:p>
            <w:pPr>
              <w:jc w:val="center"/>
              <w:spacing w:after="0"/>
              <w:rPr>
                <w:sz w:val="20"/>
                <w:szCs w:val="20"/>
                <w:color w:val="auto"/>
              </w:rPr>
            </w:pPr>
            <w:r>
              <w:rPr>
                <w:rFonts w:ascii="Arial" w:cs="Arial" w:eastAsia="Arial" w:hAnsi="Arial"/>
                <w:sz w:val="13"/>
                <w:szCs w:val="13"/>
                <w:color w:val="0000FF"/>
                <w:w w:val="87"/>
              </w:rPr>
              <w:t>Class C</w:t>
            </w: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w w:val="94"/>
              </w:rPr>
              <w:t>69,181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820" w:type="dxa"/>
            <w:vAlign w:val="bottom"/>
            <w:vMerge w:val="continue"/>
          </w:tcPr>
          <w:p>
            <w:pPr>
              <w:spacing w:after="0"/>
              <w:rPr>
                <w:sz w:val="12"/>
                <w:szCs w:val="12"/>
                <w:color w:val="auto"/>
              </w:rPr>
            </w:pPr>
          </w:p>
        </w:tc>
        <w:tc>
          <w:tcPr>
            <w:tcW w:w="1060" w:type="dxa"/>
            <w:vAlign w:val="bottom"/>
          </w:tcPr>
          <w:p>
            <w:pPr>
              <w:jc w:val="right"/>
              <w:ind w:right="117"/>
              <w:spacing w:after="0" w:line="148" w:lineRule="exact"/>
              <w:rPr>
                <w:sz w:val="20"/>
                <w:szCs w:val="20"/>
                <w:color w:val="auto"/>
              </w:rPr>
            </w:pPr>
            <w:r>
              <w:rPr>
                <w:rFonts w:ascii="Arial" w:cs="Arial" w:eastAsia="Arial" w:hAnsi="Arial"/>
                <w:sz w:val="13"/>
                <w:szCs w:val="13"/>
                <w:color w:val="0000FF"/>
              </w:rPr>
              <w:t>10/22/2019</w:t>
            </w:r>
          </w:p>
        </w:tc>
        <w:tc>
          <w:tcPr>
            <w:tcW w:w="12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ind w:left="400"/>
              <w:spacing w:after="0" w:line="148" w:lineRule="exact"/>
              <w:rPr>
                <w:sz w:val="20"/>
                <w:szCs w:val="20"/>
                <w:color w:val="auto"/>
              </w:rPr>
            </w:pPr>
            <w:r>
              <w:rPr>
                <w:rFonts w:ascii="Arial" w:cs="Arial" w:eastAsia="Arial" w:hAnsi="Arial"/>
                <w:sz w:val="13"/>
                <w:szCs w:val="13"/>
                <w:color w:val="0000FF"/>
              </w:rPr>
              <w:t>69,181</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20" w:type="dxa"/>
            <w:vAlign w:val="bottom"/>
          </w:tcPr>
          <w:p>
            <w:pPr>
              <w:ind w:left="400"/>
              <w:spacing w:after="0" w:line="14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voting</w:t>
            </w: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20" w:type="dxa"/>
            <w:vAlign w:val="bottom"/>
            <w:vMerge w:val="restart"/>
          </w:tcPr>
          <w:p>
            <w:pPr>
              <w:ind w:left="100"/>
              <w:spacing w:after="0" w:line="296" w:lineRule="exact"/>
              <w:rPr>
                <w:sz w:val="20"/>
                <w:szCs w:val="20"/>
                <w:color w:val="auto"/>
              </w:rPr>
            </w:pPr>
            <w:r>
              <w:rPr>
                <w:rFonts w:ascii="Arial" w:cs="Arial" w:eastAsia="Arial" w:hAnsi="Arial"/>
                <w:sz w:val="26"/>
                <w:szCs w:val="26"/>
                <w:color w:val="0000FF"/>
                <w:vertAlign w:val="subscript"/>
              </w:rPr>
              <w:t>D</w:t>
            </w:r>
            <w:r>
              <w:rPr>
                <w:rFonts w:ascii="Arial" w:cs="Arial" w:eastAsia="Arial" w:hAnsi="Arial"/>
                <w:sz w:val="11"/>
                <w:szCs w:val="11"/>
                <w:color w:val="008000"/>
              </w:rPr>
              <w:t>(4)</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60" w:type="dxa"/>
            <w:vAlign w:val="bottom"/>
          </w:tcPr>
          <w:p>
            <w:pPr>
              <w:jc w:val="center"/>
              <w:ind w:right="15"/>
              <w:spacing w:after="0" w:line="148" w:lineRule="exact"/>
              <w:rPr>
                <w:sz w:val="20"/>
                <w:szCs w:val="20"/>
                <w:color w:val="auto"/>
              </w:rPr>
            </w:pPr>
            <w:r>
              <w:rPr>
                <w:rFonts w:ascii="Arial" w:cs="Arial" w:eastAsia="Arial" w:hAnsi="Arial"/>
                <w:sz w:val="13"/>
                <w:szCs w:val="13"/>
                <w:color w:val="0000FF"/>
                <w:w w:val="93"/>
              </w:rPr>
              <w:t>Class A</w:t>
            </w: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w w:val="94"/>
              </w:rPr>
              <w:t>69,181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units of</w:t>
            </w:r>
          </w:p>
        </w:tc>
        <w:tc>
          <w:tcPr>
            <w:tcW w:w="820" w:type="dxa"/>
            <w:vAlign w:val="bottom"/>
            <w:vMerge w:val="continue"/>
          </w:tcPr>
          <w:p>
            <w:pPr>
              <w:spacing w:after="0"/>
              <w:rPr>
                <w:sz w:val="12"/>
                <w:szCs w:val="12"/>
                <w:color w:val="auto"/>
              </w:rPr>
            </w:pPr>
          </w:p>
        </w:tc>
        <w:tc>
          <w:tcPr>
            <w:tcW w:w="1060" w:type="dxa"/>
            <w:vAlign w:val="bottom"/>
          </w:tcPr>
          <w:p>
            <w:pPr>
              <w:jc w:val="right"/>
              <w:ind w:right="117"/>
              <w:spacing w:after="0" w:line="148" w:lineRule="exact"/>
              <w:rPr>
                <w:sz w:val="20"/>
                <w:szCs w:val="20"/>
                <w:color w:val="auto"/>
              </w:rPr>
            </w:pPr>
            <w:r>
              <w:rPr>
                <w:rFonts w:ascii="Arial" w:cs="Arial" w:eastAsia="Arial" w:hAnsi="Arial"/>
                <w:sz w:val="13"/>
                <w:szCs w:val="13"/>
                <w:color w:val="0000FF"/>
              </w:rPr>
              <w:t>10/22/2019</w:t>
            </w:r>
          </w:p>
        </w:tc>
        <w:tc>
          <w:tcPr>
            <w:tcW w:w="12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ind w:left="400"/>
              <w:spacing w:after="0" w:line="148" w:lineRule="exact"/>
              <w:rPr>
                <w:sz w:val="20"/>
                <w:szCs w:val="20"/>
                <w:color w:val="auto"/>
              </w:rPr>
            </w:pPr>
            <w:r>
              <w:rPr>
                <w:rFonts w:ascii="Arial" w:cs="Arial" w:eastAsia="Arial" w:hAnsi="Arial"/>
                <w:sz w:val="13"/>
                <w:szCs w:val="13"/>
                <w:color w:val="0000FF"/>
              </w:rPr>
              <w:t>69,181</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20" w:type="dxa"/>
            <w:vAlign w:val="bottom"/>
          </w:tcPr>
          <w:p>
            <w:pPr>
              <w:ind w:left="400"/>
              <w:spacing w:after="0" w:line="14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Tradeweb</w:t>
            </w: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line="237" w:lineRule="auto"/>
        <w:rPr>
          <w:sz w:val="20"/>
          <w:szCs w:val="20"/>
          <w:color w:val="auto"/>
        </w:rPr>
      </w:pPr>
      <w:r>
        <w:rPr>
          <w:rFonts w:ascii="Arial" w:cs="Arial" w:eastAsia="Arial" w:hAnsi="Arial"/>
          <w:sz w:val="13"/>
          <w:szCs w:val="13"/>
          <w:color w:val="0000FF"/>
        </w:rPr>
        <w:t>Markets</w:t>
      </w:r>
    </w:p>
    <w:p>
      <w:pPr>
        <w:spacing w:after="0" w:line="1"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LLC</w:t>
      </w:r>
    </w:p>
    <w:p>
      <w:pPr>
        <w:spacing w:after="0" w:line="10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9" w:lineRule="exact"/>
        <w:rPr>
          <w:sz w:val="24"/>
          <w:szCs w:val="24"/>
          <w:color w:val="auto"/>
        </w:rPr>
      </w:pPr>
    </w:p>
    <w:p>
      <w:pPr>
        <w:ind w:left="40" w:right="56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represents the $42.00 price at which the issuer's shares of Class A common stock (the "Class A Common Stock") were sold in a public offering of the Class A Common Stock (the "Public Offering"), less the underwriters' discount of $1.26 per share.</w:t>
      </w:r>
    </w:p>
    <w:p>
      <w:pPr>
        <w:spacing w:after="0" w:line="8" w:lineRule="exact"/>
        <w:rPr>
          <w:rFonts w:ascii="Arial" w:cs="Arial" w:eastAsia="Arial" w:hAnsi="Arial"/>
          <w:sz w:val="13"/>
          <w:szCs w:val="13"/>
          <w:color w:val="008000"/>
        </w:rPr>
      </w:pPr>
    </w:p>
    <w:p>
      <w:pPr>
        <w:ind w:left="40" w:right="560" w:firstLine="8"/>
        <w:spacing w:after="0" w:line="304"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332,543 unvested restricted stock units in respect of the issuer's Class A Common Stock. Subject to the reporting person's continued employment through each vesting date, these restricted stock units are scheduled to vest as follows: (i) 159,362 restricted stock units will vest on January 1, 2020 and (ii) 173,181 restricted stock units will vest on January 1, 2021.</w:t>
      </w:r>
    </w:p>
    <w:p>
      <w:pPr>
        <w:ind w:left="40" w:right="280" w:firstLine="8"/>
        <w:spacing w:after="0" w:line="250"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of Class D common stock of the issuer ("Class D Common Stock") have ten votes per share but no economic rights (including rights to dividends or, other than their par value, any distribution upon liquidation) and are issued in an equal amount to the number of non-voting common units of Tradeweb Markets LLC, a subsidiary of the issuer ("LLC Units"), held. Shares of Class D Common Stock are exchangeable for shares of the issuer's Class C common stock ("Class C Common Stock"), which have one vote per share but no economic rights (other than their par value upon liquidation), on a one-for-one basis at the discretion of the holder. These exchange rights do not expire.</w:t>
      </w:r>
    </w:p>
    <w:p>
      <w:pPr>
        <w:spacing w:after="0" w:line="23" w:lineRule="exact"/>
        <w:rPr>
          <w:rFonts w:ascii="Arial" w:cs="Arial" w:eastAsia="Arial" w:hAnsi="Arial"/>
          <w:sz w:val="13"/>
          <w:szCs w:val="13"/>
          <w:color w:val="008000"/>
        </w:rPr>
      </w:pPr>
    </w:p>
    <w:p>
      <w:pPr>
        <w:jc w:val="both"/>
        <w:ind w:left="40" w:right="200" w:firstLine="8"/>
        <w:spacing w:after="0" w:line="256"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sold to the issuer the number of LLC Units set forth above at a price per LLC Unit of $40.74, which represents the $42.00 price at which the issuer's Class A Common Stock was sold in the Public Offering, less the underwriters' discount of $1.26 per share. The corresponding number of shares of Class D Common Stock along with the exchange rights thereunder were canceled in their entirety in connection with the sale of the LLC Units.</w:t>
      </w:r>
    </w:p>
    <w:p>
      <w:pPr>
        <w:spacing w:after="0" w:line="20" w:lineRule="exact"/>
        <w:rPr>
          <w:rFonts w:ascii="Arial" w:cs="Arial" w:eastAsia="Arial" w:hAnsi="Arial"/>
          <w:sz w:val="13"/>
          <w:szCs w:val="13"/>
          <w:color w:val="008000"/>
        </w:rPr>
      </w:pPr>
    </w:p>
    <w:p>
      <w:pPr>
        <w:ind w:left="40" w:right="340" w:firstLine="8"/>
        <w:spacing w:after="0" w:line="287"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terms of the limited liability company agreement for Tradeweb Markets LLC, LLC Units may be exchanged for shares of Class A Common Stock or Class B common stock of the issuer, in each case, on a one-for-one basis at the discretion of the holder. Upon such an exchange, a corresponding number of shares of Class D Common Stock (or shares of Class C Common Stock, in the event the reporting person exchanged their shares of Class D Common Stock as described in footnote 3 to this Form 4) will be canceled. These exchange rights do not expire.</w:t>
      </w:r>
    </w:p>
    <w:p>
      <w:pPr>
        <w:spacing w:after="0" w:line="9"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Scott Zucker, Attorney-in-</w:t>
            </w:r>
          </w:p>
        </w:tc>
        <w:tc>
          <w:tcPr>
            <w:tcW w:w="220" w:type="dxa"/>
            <w:vAlign w:val="bottom"/>
          </w:tcPr>
          <w:p>
            <w:pPr>
              <w:spacing w:after="0"/>
              <w:rPr>
                <w:sz w:val="18"/>
                <w:szCs w:val="18"/>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10/22/2019</w:t>
            </w:r>
          </w:p>
        </w:tc>
        <w:tc>
          <w:tcPr>
            <w:tcW w:w="0" w:type="dxa"/>
            <w:vAlign w:val="bottom"/>
          </w:tcPr>
          <w:p>
            <w:pPr>
              <w:spacing w:after="0"/>
              <w:rPr>
                <w:sz w:val="1"/>
                <w:szCs w:val="1"/>
                <w:color w:val="auto"/>
              </w:rPr>
            </w:pPr>
          </w:p>
        </w:tc>
      </w:tr>
      <w:tr>
        <w:trPr>
          <w:trHeight w:val="93"/>
        </w:trPr>
        <w:tc>
          <w:tcPr>
            <w:tcW w:w="2300" w:type="dxa"/>
            <w:vAlign w:val="bottom"/>
            <w:gridSpan w:val="3"/>
            <w:vMerge w:val="restart"/>
          </w:tcPr>
          <w:p>
            <w:pPr>
              <w:spacing w:after="0" w:line="195" w:lineRule="exact"/>
              <w:rPr>
                <w:sz w:val="20"/>
                <w:szCs w:val="20"/>
                <w:color w:val="auto"/>
              </w:rPr>
            </w:pPr>
            <w:r>
              <w:rPr>
                <w:rFonts w:ascii="Arial" w:cs="Arial" w:eastAsia="Arial" w:hAnsi="Arial"/>
                <w:sz w:val="18"/>
                <w:szCs w:val="18"/>
                <w:color w:val="0000FF"/>
              </w:rPr>
              <w:t>Fact for William Hult</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30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4"/>
          <w:szCs w:val="24"/>
          <w:color w:val="auto"/>
        </w:rPr>
      </w:pPr>
    </w:p>
    <w:p>
      <w:pPr>
        <w:jc w:val="both"/>
        <w:ind w:left="40" w:right="370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88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2019-12-24T08:26:16Z</dcterms:created>
  <dcterms:modified xsi:type="dcterms:W3CDTF">2019-12-24T08:26:16Z</dcterms:modified>
</cp:coreProperties>
</file>