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31,268</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156,940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8" w:lineRule="exact"/>
        <w:rPr>
          <w:rFonts w:ascii="Arial" w:cs="Arial" w:eastAsia="Arial" w:hAnsi="Arial"/>
          <w:sz w:val="12"/>
          <w:szCs w:val="12"/>
          <w:color w:val="008000"/>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14,364 unvested RSUs in respect of the Class A Common Stock that are scheduled to vest on March 17, 2023, (ii) 16,563 unvested RSUs in respect of Class A Common Stock that are scheduled to vest in equal installments on each of March 15, 2023 and March 15, 2024, (iii) 49,688 unvested RSUs in respect of Class A Common Stock that are scheduled to vest on January 1, 2024, (iv) 25,963 unvested RSUs in respect of Class A Common Stock that are scheduled to vest in equal installments on each of March 15, 2023, March 15, 2024 and March 15, 2025, and (v) 31,268 unvested RSUs in respect of Class A Common Stock that are rescheduled to vest on January 1, 2025,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2023-02-28T19:32:26Z</dcterms:created>
  <dcterms:modified xsi:type="dcterms:W3CDTF">2023-02-28T19:32:26Z</dcterms:modified>
</cp:coreProperties>
</file>