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Maisey Simon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Managing Director, Corp. Dev.</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11/10/2021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750</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95.22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80,697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15, 2020.</w:t>
      </w:r>
    </w:p>
    <w:p>
      <w:pPr>
        <w:spacing w:after="0" w:line="50" w:lineRule="exact"/>
        <w:rPr>
          <w:rFonts w:ascii="Arial" w:cs="Arial" w:eastAsia="Arial" w:hAnsi="Arial"/>
          <w:sz w:val="13"/>
          <w:szCs w:val="13"/>
          <w:color w:val="008000"/>
        </w:rPr>
      </w:pPr>
    </w:p>
    <w:p>
      <w:pPr>
        <w:ind w:left="40" w:right="240" w:firstLine="7"/>
        <w:spacing w:after="0" w:line="27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39,604 unvested restricted stock units ("RSUs") in respect of the issuer's Class A common stock ("Class A Common Stock") which are scheduled to vest on January 1, 2022, (ii) 6,860 unvested RSUs in respect of Class A Common Stock which are scheduled to vest in equal installments on each of March 17, 2022 and March 17, 2023, (iii) 20,580 unvested RSUs in respect of Class A Common Stock which are scheduled to vest on January 1, 2023, and (iv) 5,825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11/12/2021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402"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2021-11-12T23:19:28Z</dcterms:created>
  <dcterms:modified xsi:type="dcterms:W3CDTF">2021-11-12T23:19:28Z</dcterms:modified>
</cp:coreProperties>
</file>