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Tradeweb Markets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001-38860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83-2456358</w:t>
            </w:r>
          </w:p>
        </w:tc>
      </w:tr>
      <w:tr>
        <w:trPr>
          <w:trHeight w:val="149"/>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430-6000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$0.00001</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TW</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1200" w:right="98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July 13, 2022, the Board of Directors (the “Board”) of Tradeweb Markets Inc. (the “Company”) announced that Thomas Pluta has been appointed as the next President of the Company effective as of January 1, 2023. Mr. Pluta will succeed Billy Hult in this role, when, as has been previously announced, Mr. Hult assumes the position of Chief Executive Officer of the Company on January 1, 2023. In the meantime, Mr. Pluta will join the Company as President-elect in October. Mr. Pluta is currently a member of the Board and will remain on the Board in his new role.</w:t>
      </w:r>
    </w:p>
    <w:p>
      <w:pPr>
        <w:spacing w:after="0" w:line="180" w:lineRule="exact"/>
        <w:rPr>
          <w:sz w:val="20"/>
          <w:szCs w:val="20"/>
          <w:color w:val="auto"/>
        </w:rPr>
      </w:pPr>
    </w:p>
    <w:p>
      <w:pPr>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Pluta’s biographical information is set forth on page 11 of the Company’s </w:t>
      </w:r>
      <w:hyperlink r:id="rId18">
        <w:r>
          <w:rPr>
            <w:rFonts w:ascii="Times New Roman" w:cs="Times New Roman" w:eastAsia="Times New Roman" w:hAnsi="Times New Roman"/>
            <w:sz w:val="18"/>
            <w:szCs w:val="18"/>
            <w:u w:val="single" w:color="auto"/>
            <w:color w:val="0000EE"/>
          </w:rPr>
          <w:t>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its 2022 Annual Meeting of Stockholders, filed with the Securities and Exchange Commission on March 29, 2022, in the section entitled “</w:t>
      </w:r>
      <w:r>
        <w:rPr>
          <w:rFonts w:ascii="Times New Roman" w:cs="Times New Roman" w:eastAsia="Times New Roman" w:hAnsi="Times New Roman"/>
          <w:sz w:val="18"/>
          <w:szCs w:val="18"/>
          <w:i w:val="1"/>
          <w:iCs w:val="1"/>
          <w:color w:val="auto"/>
        </w:rPr>
        <w:t>Election of Directors — Directors Whose Terms Expire at the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which information is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as defined in Item 401 of Regulation S-K, between Mr. Pluta and any of the Company’s directors or executive officers or persons nominated or chosen to become a director or executive officer. Mr. Pluta has not engaged in any transaction with the Company during the last fiscal year, and he does not propose to engage in any transaction, that would be reportable under Item 404(a)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for Mr. Pluta’s service in the role of President, beginning January 1, 2023, has not yet been determined.</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Prior to January 1, 2023, to reflect Mr. Pluta’s new role, the Company will enter into an amended and restated indemnification agreement for directors and officers with Mr. Pluta in its standard form, a copy of which was previously filed as Exhibit 10.16 to the Company’s Registration Statement on Form S-1 (File No. 333-230115) and is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 press release related to the matters described in Item 5.02 of this Current Report on Form 8-K is furnished herewith as Exhibit 99.1 and hereby incorporated in this Item 7.01 by reference.</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Exhibit 99.1 of this Current Report on Form 8-K shall not be deemed “filed” for purposes of Section 18 of the Securities Exchange Act of 1934 (as amended, the “Exchange Act”) or otherwise subject to the liabilities of that Section, and shall not be or be deemed to be incorporated by reference in any filing under the Securities Act of 1933, as amended, or the Exchange Act, regardless of any general incorporation language in such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160" w:type="dxa"/>
            <w:vAlign w:val="bottom"/>
          </w:tcPr>
          <w:p>
            <w:pPr>
              <w:spacing w:after="0"/>
              <w:rPr>
                <w:sz w:val="13"/>
                <w:szCs w:val="13"/>
                <w:color w:val="auto"/>
              </w:rPr>
            </w:pPr>
          </w:p>
        </w:tc>
      </w:tr>
      <w:tr>
        <w:trPr>
          <w:trHeight w:val="173"/>
        </w:trPr>
        <w:tc>
          <w:tcPr>
            <w:tcW w:w="500" w:type="dxa"/>
            <w:vAlign w:val="bottom"/>
            <w:tcBorders>
              <w:bottom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20" w:type="dxa"/>
            <w:vAlign w:val="bottom"/>
            <w:gridSpan w:val="4"/>
          </w:tcPr>
          <w:p>
            <w:pPr>
              <w:ind w:left="2660"/>
              <w:spacing w:after="0" w:line="153" w:lineRule="exact"/>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2"/>
                <w:szCs w:val="22"/>
                <w:color w:val="auto"/>
              </w:rPr>
            </w:pPr>
          </w:p>
        </w:tc>
        <w:tc>
          <w:tcPr>
            <w:tcW w:w="97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Form of Indemnification Agreement (incorporated by reference to Exhibit 10.16 to the Company’s Registration Statement on Form S-1</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9">
              <w:r>
                <w:rPr>
                  <w:rFonts w:ascii="Times New Roman" w:cs="Times New Roman" w:eastAsia="Times New Roman" w:hAnsi="Times New Roman"/>
                  <w:sz w:val="18"/>
                  <w:szCs w:val="18"/>
                  <w:color w:val="0000EE"/>
                  <w:w w:val="98"/>
                </w:rPr>
                <w:t>(File No. 333-230115)).</w:t>
              </w:r>
            </w:hyperlink>
          </w:p>
        </w:tc>
        <w:tc>
          <w:tcPr>
            <w:tcW w:w="8020" w:type="dxa"/>
            <w:vAlign w:val="bottom"/>
            <w:gridSpan w:val="4"/>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44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Press Release of Tradeweb Markets Inc., dated July 13, 2022.</w:t>
            </w:r>
          </w:p>
        </w:tc>
        <w:tc>
          <w:tcPr>
            <w:tcW w:w="5300" w:type="dxa"/>
            <w:vAlign w:val="bottom"/>
            <w:gridSpan w:val="2"/>
          </w:tcPr>
          <w:p>
            <w:pPr>
              <w:spacing w:after="0"/>
              <w:rPr>
                <w:sz w:val="24"/>
                <w:szCs w:val="24"/>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980"/>
          </w:cols>
          <w:pgMar w:left="440" w:top="293"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TRADEWEB MARKETS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July 13,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Douglas Friedman</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5835015</wp:posOffset>
            </wp:positionH>
            <wp:positionV relativeFrom="paragraph">
              <wp:posOffset>173990</wp:posOffset>
            </wp:positionV>
            <wp:extent cx="1157605"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15760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Thomas Pluta Appointed Next President of Tradeweb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Pluta to succeed current President Billy Hult on January 1, 2023 when Hult becomes CEO</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NEW YORK – July 13, 2022 – Tradeweb Markets Inc. (Nasdaq: TW), a leading, global operator of electronic marketplaces for rates, credit, equities and money markets, today announced that markets veteran Thomas Pluta has been appointed as its next President. He will join the firm as President-elect in October and become President on January 1, 2023, when current President Billy Hult succeeds Lee Olesky as CEO. As previously announced, Mr. Olesky will retire as CEO at the end of 2022 and continue as Chairman through 2023.</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President, Mr. Pluta will work closely with Mr. Hult and the rest of the executive management team to set and execute against the firm’s strategic agenda, oversee the day-to-day business and continue to drive a strong culture of collaborative innovation. He will report to Mr. Hult. A member of Tradeweb’s board since 2017, Mr. Pluta will continue on the board of directors in his new role.</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Mr. Pluta will join Tradeweb from JP Morgan, where he spent nearly 27 years and was most recently Global Head of Linear Rates Trading and Co-Head of North America Rates Trading.</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Lee Olesky, Chairman and CEO of Tradeweb, commented: “Tom Pluta is a superb addition to Tradeweb as the company looks ahead to its next phase of growth. At one point or another, Tom’s relationship with Tradeweb has included client, trader, investor and board member, and that broad perspective will be a great asset to Billy Hult’s leadership team as well as to the board. We wish Tom all the best in his new role.”</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Billy Hult, President and CEO-elect of Tradeweb, commented: “Tom Pluta is one of the most experienced, skilled and thoughtful leaders in global financial markets. A veteran trading executive, operator and strategist, he brings the perspective of a longtime client and is also keenly focused on strategic issues such as industry trends, DEI initiatives and the importance of having a strong company culture. Tradeweb is home to a talented group of leaders and we are thrilled to welcome Tom to the team as we position the firm for further growth.”</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Thomas Pluta, President-elect of Tradeweb, commented: “Tradeweb has earned an excellent reputation by collaborating with buyside firms, dealers and other market participants and emphasizing a client-first approach. Billy and Lee have terrific chemistry as leaders, and that same partner mindset has helped this talented global team deliver a continuous stream of innovations for Tradeweb clients. The firm is a driving force in electronifying markets, and I look forward to helping Tradeweb build on its long track record of success.”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Thomas Pluta</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Mr. Pluta was most recently Global Head of Linear Rates Trading and Co-Head of North America Rates Trading at JP Morgan. During his nearly 27 years with the bank, Mr. Pluta traded and managed a variety of global trading teams across the Global Rates, Emerging Markets and Foreign Exchange businesses. Prior to leading the Linear Rates Trading business, he held numerous leadership roles including Co-Head of Global Rates Trading and Global Head of Short Term Interest Rate Trading. Mr. Pluta recently served as the Corporate and Investment Bank lead for JP Morgan’s firm-wide LIBOR Transition Program and was a member of the Rates, Fixed Income Financing, and Credit Portfolio Group Management Team. Throughout his career, he has long been a strong proponent of advancing the people agenda and has held leadership positions in various diversity &amp; inclusion, recruiting, and culture-building efforts.</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Mr. Pluta has held a variety of industry leadership roles throughout his career, including chairman of the board of SIFMA and member of the Federal Reserve Bank of New York’s Treasury Market Practices Group. He received a B.A. in Economics from Yale University and an M.B.A. in General Management from the Harvard Business School.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6114415</wp:posOffset>
            </wp:positionH>
            <wp:positionV relativeFrom="page">
              <wp:posOffset>183515</wp:posOffset>
            </wp:positionV>
            <wp:extent cx="1157605" cy="368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68300"/>
                    </a:xfrm>
                    <a:prstGeom prst="rect">
                      <a:avLst/>
                    </a:prstGeom>
                    <a:noFill/>
                  </pic:spPr>
                </pic:pic>
              </a:graphicData>
            </a:graphic>
          </wp:anchor>
        </w:drawing>
        <w:t>Tradeweb Reiterates Full-Year 2022 Guidance*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Tradeweb today reiterates its full-year 2022 guidance previously confirmed on April 28, 2022.</w:t>
      </w:r>
    </w:p>
    <w:p>
      <w:pPr>
        <w:spacing w:after="0" w:line="131" w:lineRule="exact"/>
        <w:rPr>
          <w:sz w:val="20"/>
          <w:szCs w:val="20"/>
          <w:color w:val="auto"/>
        </w:rPr>
      </w:pPr>
    </w:p>
    <w:p>
      <w:pPr>
        <w:ind w:left="960" w:hanging="424"/>
        <w:spacing w:after="0"/>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Expenses: $620 - $655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and Refinitiv Transaction related depreciation and amortization expense: $127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non-GAAP tax rate: ~22.0%</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and capitalization of software development: $62 - $68 million</w:t>
      </w:r>
    </w:p>
    <w:p>
      <w:pPr>
        <w:spacing w:after="0" w:line="128" w:lineRule="exact"/>
        <w:rPr>
          <w:rFonts w:ascii="Times New Roman" w:cs="Times New Roman" w:eastAsia="Times New Roman" w:hAnsi="Times New Roman"/>
          <w:sz w:val="18"/>
          <w:szCs w:val="18"/>
          <w:color w:val="auto"/>
        </w:rPr>
      </w:pPr>
    </w:p>
    <w:p>
      <w:pPr>
        <w:ind w:left="220" w:right="360" w:hanging="216"/>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GAAP operating expenses and tax rate guidance are not provided due to the inherent difficulty in quantifying certain amounts due to a variety of factors including the unpredictability in the movement of foreign currency rates.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Tradeweb Markets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$1 trillion in notional value traded per day over the past four quarters. For more information, please go to </w:t>
      </w:r>
      <w:r>
        <w:rPr>
          <w:rFonts w:ascii="Times New Roman" w:cs="Times New Roman" w:eastAsia="Times New Roman" w:hAnsi="Times New Roman"/>
          <w:sz w:val="18"/>
          <w:szCs w:val="18"/>
          <w:u w:val="single" w:color="auto"/>
          <w:color w:val="auto"/>
        </w:rPr>
        <w:t>www.tradeweb.com</w:t>
      </w:r>
      <w:r>
        <w:rPr>
          <w:rFonts w:ascii="Times New Roman" w:cs="Times New Roman" w:eastAsia="Times New Roman" w:hAnsi="Times New Roman"/>
          <w:sz w:val="18"/>
          <w:szCs w:val="18"/>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41"/>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Media:</w:t>
            </w:r>
          </w:p>
        </w:tc>
        <w:tc>
          <w:tcPr>
            <w:tcW w:w="4560" w:type="dxa"/>
            <w:vAlign w:val="bottom"/>
            <w:gridSpan w:val="3"/>
          </w:tcPr>
          <w:p>
            <w:pPr>
              <w:ind w:left="1460"/>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Noonan, Tradeweb +1 646 767 4677</w:t>
            </w:r>
          </w:p>
        </w:tc>
        <w:tc>
          <w:tcPr>
            <w:tcW w:w="4560" w:type="dxa"/>
            <w:vAlign w:val="bottom"/>
            <w:gridSpan w:val="3"/>
          </w:tcPr>
          <w:p>
            <w:pPr>
              <w:ind w:left="1460"/>
              <w:spacing w:after="0"/>
              <w:rPr>
                <w:sz w:val="20"/>
                <w:szCs w:val="20"/>
                <w:color w:val="auto"/>
              </w:rPr>
            </w:pPr>
            <w:r>
              <w:rPr>
                <w:rFonts w:ascii="Times New Roman" w:cs="Times New Roman" w:eastAsia="Times New Roman" w:hAnsi="Times New Roman"/>
                <w:sz w:val="18"/>
                <w:szCs w:val="18"/>
                <w:color w:val="auto"/>
                <w:w w:val="99"/>
              </w:rPr>
              <w:t>Ashley Serrao, Tradeweb +1 646 430 6027</w:t>
            </w:r>
          </w:p>
        </w:tc>
      </w:tr>
      <w:tr>
        <w:trPr>
          <w:trHeight w:val="194"/>
        </w:trPr>
        <w:tc>
          <w:tcPr>
            <w:tcW w:w="22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9"/>
              </w:rPr>
              <w:t>daniel.noonan@tradeweb.com</w:t>
            </w:r>
          </w:p>
        </w:tc>
        <w:tc>
          <w:tcPr>
            <w:tcW w:w="2080" w:type="dxa"/>
            <w:vAlign w:val="bottom"/>
          </w:tcPr>
          <w:p>
            <w:pPr>
              <w:spacing w:after="0"/>
              <w:rPr>
                <w:sz w:val="16"/>
                <w:szCs w:val="16"/>
                <w:color w:val="auto"/>
              </w:rPr>
            </w:pPr>
          </w:p>
        </w:tc>
        <w:tc>
          <w:tcPr>
            <w:tcW w:w="4560" w:type="dxa"/>
            <w:vAlign w:val="bottom"/>
            <w:gridSpan w:val="3"/>
          </w:tcPr>
          <w:p>
            <w:pPr>
              <w:ind w:left="1460"/>
              <w:spacing w:after="0" w:line="194" w:lineRule="exact"/>
              <w:rPr>
                <w:sz w:val="20"/>
                <w:szCs w:val="20"/>
                <w:color w:val="auto"/>
              </w:rPr>
            </w:pPr>
            <w:r>
              <w:rPr>
                <w:rFonts w:ascii="Times New Roman" w:cs="Times New Roman" w:eastAsia="Times New Roman" w:hAnsi="Times New Roman"/>
                <w:sz w:val="18"/>
                <w:szCs w:val="18"/>
                <w:color w:val="auto"/>
              </w:rPr>
              <w:t>ashley.serrao@tradeweb.com</w:t>
            </w:r>
          </w:p>
        </w:tc>
      </w:tr>
      <w:tr>
        <w:trPr>
          <w:trHeight w:val="20"/>
        </w:trPr>
        <w:tc>
          <w:tcPr>
            <w:tcW w:w="22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release contains forward-looking statements within the meaning of the federal securities laws. Statements related to, among other things, our outlook and future performance, including our full-year 2022 guidance, the industry and markets in which we operate, our expectations, beliefs, plans, strategies, objectives, prospects and assumptions and future events are forward-looking statements.</w:t>
      </w:r>
    </w:p>
    <w:p>
      <w:pPr>
        <w:spacing w:after="0" w:line="17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 events in the industry and markets in which we operate, are consistent with the forward-looking statements contained in this release, they may not be predictive of results or developments in future periods.</w:t>
      </w:r>
    </w:p>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000"/>
      </w:cols>
      <w:pgMar w:left="440" w:top="99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jpeg"/><Relationship Id="rId23" Type="http://schemas.openxmlformats.org/officeDocument/2006/relationships/image" Target="media/image14.png"/><Relationship Id="rId24" Type="http://schemas.openxmlformats.org/officeDocument/2006/relationships/image" Target="media/image15.jpeg"/><Relationship Id="rId18" Type="http://schemas.openxmlformats.org/officeDocument/2006/relationships/hyperlink" Target="http://www.sec.gov/Archives/edgar/data/1758730/000119312522087071/d289995ddef14a.htm" TargetMode="External"/><Relationship Id="rId19" Type="http://schemas.openxmlformats.org/officeDocument/2006/relationships/hyperlink" Target="http://www.sec.gov/Archives/edgar/data/1758730/000114420419015706/tv515721_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2022-07-13T15:25:49Z</dcterms:created>
  <dcterms:modified xsi:type="dcterms:W3CDTF">2022-07-13T15:25:49Z</dcterms:modified>
</cp:coreProperties>
</file>