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20,966</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61,453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performance-based restricted stock units ("RSUs") in respect of the issuer's Class A common stock ("Class A Common Stock") that were granted to the reporting person on March 17, 2020, subject to the achievement of certain performance goals in respect of calendar year 2020. Those performance goals were deemed achieved at the maximum performance level on February 5, 2021. These RSUs remain unvested and are scheduled to vest on January 1, 2023, subject to the reporting person's continued employment through such date.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22,004 unvested RSUs in respect of Class A Common Stock which are scheduled to vest on January 1, 2022, (ii) 10,483 unvested RSUs in respect of Class A Common Stock which are scheduled to vest in equal installments on each of the first, second and third anniversaries of March 17, 2020, and (iii) 20,966 unvested RSUs in respect of Class A Common Stock which are scheduled to vest on January 1, 2023, in each case subject to the reporting person's continued employment through the applicable vesting date.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02/09/2021</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Robert Warshaw</w:t>
            </w:r>
          </w:p>
        </w:tc>
        <w:tc>
          <w:tcPr>
            <w:tcW w:w="3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2021-02-09T19:54:27Z</dcterms:created>
  <dcterms:modified xsi:type="dcterms:W3CDTF">2021-02-09T19:54:27Z</dcterms:modified>
</cp:coreProperties>
</file>