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Zucker Scott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02/05/2021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Chief Admin. and Risk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02/05/2021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18,008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57,416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the acquisition of performance-based restricted stock units ("RSUs") in respect of the issuer's Class A common stock ("Class A Common Stock") that were granted to the reporting person on March 17, 2020, subject to the achievement of certain performance goals in respect of calendar year 2020. Those performance goals were deemed achieved at the maximum performance level on February 5, 2021. These RSUs remain unvested and are scheduled to vest on January 1, 2023, subject to the reporting person's continued employment through such date.</w:t>
      </w:r>
    </w:p>
    <w:p>
      <w:pPr>
        <w:spacing w:after="0" w:line="20"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26,404 unvested RSUs in respect of Class A Common Stock which are scheduled to vest on January 1, 2022, (ii) 9,004 unvested RSUs in respect of Class A Common Stock which are scheduled to vest in equal installments on each of the first, second and third anniversaries of March 17, 2020, and (iii) 18,008 unvested RSUs in respect of Class A Common Stock which are scheduled to vest on January 1, 2023, in each case subject to the reporting person's continued employment through the applicable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Scott Zucker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02/09/2021</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2021-02-09T19:55:35Z</dcterms:created>
  <dcterms:modified xsi:type="dcterms:W3CDTF">2021-02-09T19:55:35Z</dcterms:modified>
</cp:coreProperties>
</file>