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03/19/2025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3,061</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141.5922</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26,810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May 9,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$139.77 to $142.33,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2,516 unvested restricted stock units ("RSUs") in respect of the issuer's Class A common stock (the "Class A Common Stock") that are scheduled to vest on March 15, 2026, (ii) 13,682 unvested RSUs in respect of Class A Common Stock that are scheduled to vest on January 1, 2026, (iii) 3,981 unvested RSUs in respect of Class A Common Stock that are scheduled to vest in equal installments on March 15, 2026 and March 15, 2027, and (iv) 3,631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Friedman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03/21/2025</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2025-03-21T15:13:14Z</dcterms:created>
  <dcterms:modified xsi:type="dcterms:W3CDTF">2025-03-21T15:13:14Z</dcterms:modified>
</cp:coreProperties>
</file>