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214"/>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40" w:type="dxa"/>
            <w:vAlign w:val="bottom"/>
            <w:vMerge w:val="restart"/>
          </w:tcPr>
          <w:p>
            <w:pPr>
              <w:jc w:val="center"/>
              <w:ind w:right="1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-645795</wp:posOffset>
            </wp:positionV>
            <wp:extent cx="59055" cy="659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13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-645795</wp:posOffset>
            </wp:positionV>
            <wp:extent cx="59055" cy="659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13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-1710055</wp:posOffset>
            </wp:positionH>
            <wp:positionV relativeFrom="paragraph">
              <wp:posOffset>19685</wp:posOffset>
            </wp:positionV>
            <wp:extent cx="7324090" cy="4942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94220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Friedman Douglas</w:t>
        </w:r>
      </w:hyperlink>
    </w:p>
    <w:p>
      <w:pPr>
        <w:spacing w:after="0" w:line="3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02/21/2020</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2" w:right="680" w:firstLine="2"/>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78"/>
        <w:spacing w:after="0"/>
        <w:rPr>
          <w:sz w:val="20"/>
          <w:szCs w:val="20"/>
          <w:color w:val="auto"/>
        </w:rPr>
      </w:pPr>
      <w:r>
        <w:rPr>
          <w:rFonts w:ascii="Arial" w:cs="Arial" w:eastAsia="Arial" w:hAnsi="Arial"/>
          <w:sz w:val="17"/>
          <w:szCs w:val="17"/>
          <w:color w:val="0000FF"/>
        </w:rPr>
        <w:t>General Counsel and Secretary</w:t>
      </w:r>
    </w:p>
    <w:p>
      <w:pPr>
        <w:spacing w:after="0" w:line="402" w:lineRule="exact"/>
        <w:rPr>
          <w:sz w:val="24"/>
          <w:szCs w:val="24"/>
          <w:color w:val="auto"/>
        </w:rPr>
      </w:pPr>
    </w:p>
    <w:p>
      <w:pPr>
        <w:sectPr>
          <w:pgSz w:w="11900" w:h="16838" w:orient="portrait"/>
          <w:cols w:equalWidth="0" w:num="3">
            <w:col w:w="3340" w:space="720"/>
            <w:col w:w="3262" w:space="720"/>
            <w:col w:w="3478"/>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80" w:type="dxa"/>
            <w:vAlign w:val="bottom"/>
            <w:gridSpan w:val="7"/>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5"/>
                <w:szCs w:val="15"/>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0" w:lineRule="exact"/>
              <w:rPr>
                <w:sz w:val="20"/>
                <w:szCs w:val="20"/>
                <w:color w:val="auto"/>
              </w:rPr>
            </w:pPr>
            <w:r>
              <w:rPr>
                <w:rFonts w:ascii="Arial" w:cs="Arial" w:eastAsia="Arial" w:hAnsi="Arial"/>
                <w:sz w:val="12"/>
                <w:szCs w:val="12"/>
                <w:b w:val="1"/>
                <w:bCs w:val="1"/>
                <w:color w:val="auto"/>
                <w:w w:val="99"/>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02/21/2020</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82"/>
              </w:rPr>
              <w:t>33,004</w:t>
            </w:r>
            <w:r>
              <w:rPr>
                <w:rFonts w:ascii="Arial" w:cs="Arial" w:eastAsia="Arial" w:hAnsi="Arial"/>
                <w:sz w:val="22"/>
                <w:szCs w:val="22"/>
                <w:color w:val="008000"/>
                <w:w w:val="82"/>
                <w:vertAlign w:val="superscript"/>
              </w:rPr>
              <w:t>(1)</w:t>
            </w:r>
          </w:p>
        </w:tc>
        <w:tc>
          <w:tcPr>
            <w:tcW w:w="6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58,871</w:t>
            </w:r>
            <w:r>
              <w:rPr>
                <w:rFonts w:ascii="Arial" w:cs="Arial" w:eastAsia="Arial" w:hAnsi="Arial"/>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4)</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vMerge w:val="restart"/>
          </w:tcPr>
          <w:p>
            <w:pPr>
              <w:jc w:val="center"/>
              <w:ind w:right="57"/>
              <w:spacing w:after="0"/>
              <w:rPr>
                <w:sz w:val="20"/>
                <w:szCs w:val="20"/>
                <w:color w:val="auto"/>
              </w:rPr>
            </w:pPr>
            <w:r>
              <w:rPr>
                <w:rFonts w:ascii="Arial" w:cs="Arial" w:eastAsia="Arial" w:hAnsi="Arial"/>
                <w:sz w:val="13"/>
                <w:szCs w:val="13"/>
                <w:color w:val="0000FF"/>
                <w:w w:val="93"/>
              </w:rPr>
              <w:t>Class A</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vMerge w:val="restart"/>
          </w:tcPr>
          <w:p>
            <w:pPr>
              <w:ind w:left="140"/>
              <w:spacing w:after="0" w:line="212" w:lineRule="exact"/>
              <w:rPr>
                <w:sz w:val="20"/>
                <w:szCs w:val="20"/>
                <w:color w:val="auto"/>
              </w:rPr>
            </w:pPr>
            <w:r>
              <w:rPr>
                <w:rFonts w:ascii="Arial" w:cs="Arial" w:eastAsia="Arial" w:hAnsi="Arial"/>
                <w:sz w:val="13"/>
                <w:szCs w:val="13"/>
                <w:color w:val="0000FF"/>
              </w:rPr>
              <w:t>36,232</w:t>
            </w:r>
            <w:r>
              <w:rPr>
                <w:rFonts w:ascii="Arial" w:cs="Arial" w:eastAsia="Arial" w:hAnsi="Arial"/>
                <w:sz w:val="22"/>
                <w:szCs w:val="22"/>
                <w:color w:val="008000"/>
                <w:vertAlign w:val="superscript"/>
              </w:rPr>
              <w:t>(3)</w:t>
            </w:r>
          </w:p>
        </w:tc>
        <w:tc>
          <w:tcPr>
            <w:tcW w:w="300" w:type="dxa"/>
            <w:vAlign w:val="bottom"/>
          </w:tcPr>
          <w:p>
            <w:pPr>
              <w:spacing w:after="0"/>
              <w:rPr>
                <w:sz w:val="5"/>
                <w:szCs w:val="5"/>
                <w:color w:val="auto"/>
              </w:rPr>
            </w:pPr>
          </w:p>
        </w:tc>
        <w:tc>
          <w:tcPr>
            <w:tcW w:w="820" w:type="dxa"/>
            <w:vAlign w:val="bottom"/>
            <w:gridSpan w:val="2"/>
            <w:vMerge w:val="restart"/>
          </w:tcPr>
          <w:p>
            <w:pPr>
              <w:jc w:val="right"/>
              <w:ind w:right="318"/>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36,232</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gridSpan w:val="2"/>
            <w:vMerge w:val="restart"/>
          </w:tcPr>
          <w:p>
            <w:pPr>
              <w:ind w:left="140"/>
              <w:spacing w:after="0" w:line="212" w:lineRule="exact"/>
              <w:rPr>
                <w:sz w:val="20"/>
                <w:szCs w:val="20"/>
                <w:color w:val="auto"/>
              </w:rPr>
            </w:pPr>
            <w:r>
              <w:rPr>
                <w:rFonts w:ascii="Arial" w:cs="Arial" w:eastAsia="Arial" w:hAnsi="Arial"/>
                <w:sz w:val="13"/>
                <w:szCs w:val="13"/>
                <w:color w:val="0000FF"/>
              </w:rPr>
              <w:t>172,464</w:t>
            </w:r>
            <w:r>
              <w:rPr>
                <w:rFonts w:ascii="Arial" w:cs="Arial" w:eastAsia="Arial" w:hAnsi="Arial"/>
                <w:sz w:val="22"/>
                <w:szCs w:val="22"/>
                <w:color w:val="008000"/>
                <w:vertAlign w:val="superscript"/>
              </w:rPr>
              <w:t>(5)</w:t>
            </w: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20.59</w:t>
            </w:r>
          </w:p>
        </w:tc>
        <w:tc>
          <w:tcPr>
            <w:tcW w:w="160" w:type="dxa"/>
            <w:vAlign w:val="bottom"/>
          </w:tcPr>
          <w:p>
            <w:pPr>
              <w:spacing w:after="0"/>
              <w:rPr>
                <w:sz w:val="6"/>
                <w:szCs w:val="6"/>
                <w:color w:val="auto"/>
              </w:rPr>
            </w:pPr>
          </w:p>
        </w:tc>
        <w:tc>
          <w:tcPr>
            <w:tcW w:w="1080" w:type="dxa"/>
            <w:vAlign w:val="bottom"/>
            <w:vMerge w:val="restart"/>
          </w:tcPr>
          <w:p>
            <w:pPr>
              <w:ind w:left="260"/>
              <w:spacing w:after="0" w:line="146" w:lineRule="exact"/>
              <w:rPr>
                <w:sz w:val="20"/>
                <w:szCs w:val="20"/>
                <w:color w:val="auto"/>
              </w:rPr>
            </w:pPr>
            <w:r>
              <w:rPr>
                <w:rFonts w:ascii="Arial" w:cs="Arial" w:eastAsia="Arial" w:hAnsi="Arial"/>
                <w:sz w:val="13"/>
                <w:szCs w:val="13"/>
                <w:color w:val="0000FF"/>
              </w:rPr>
              <w:t>02/21/2020</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760" w:type="dxa"/>
            <w:vAlign w:val="bottom"/>
            <w:vMerge w:val="restart"/>
          </w:tcPr>
          <w:p>
            <w:pPr>
              <w:ind w:left="40"/>
              <w:spacing w:after="0" w:line="146" w:lineRule="exact"/>
              <w:rPr>
                <w:sz w:val="20"/>
                <w:szCs w:val="20"/>
                <w:color w:val="auto"/>
              </w:rPr>
            </w:pPr>
            <w:r>
              <w:rPr>
                <w:rFonts w:ascii="Arial" w:cs="Arial" w:eastAsia="Arial" w:hAnsi="Arial"/>
                <w:sz w:val="13"/>
                <w:szCs w:val="13"/>
                <w:color w:val="0000FF"/>
              </w:rPr>
              <w:t>10/26/2028</w:t>
            </w:r>
          </w:p>
        </w:tc>
        <w:tc>
          <w:tcPr>
            <w:tcW w:w="620" w:type="dxa"/>
            <w:vAlign w:val="bottom"/>
            <w:vMerge w:val="restart"/>
          </w:tcPr>
          <w:p>
            <w:pPr>
              <w:ind w:left="2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vMerge w:val="continue"/>
          </w:tcPr>
          <w:p>
            <w:pPr>
              <w:spacing w:after="0"/>
              <w:rPr>
                <w:sz w:val="6"/>
                <w:szCs w:val="6"/>
                <w:color w:val="auto"/>
              </w:rPr>
            </w:pPr>
          </w:p>
        </w:tc>
        <w:tc>
          <w:tcPr>
            <w:tcW w:w="68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vMerge w:val="restart"/>
          </w:tcPr>
          <w:p>
            <w:pPr>
              <w:jc w:val="center"/>
              <w:ind w:right="37"/>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6"/>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reflects the acquisition of performance-based restricted stock units ("RSUs") in respect of the issuer's Class A common stock ("Class A Common Stock") that were granted to the reporting person on February 13, 2019, subject to the achievement of certain performance goals in respect of calendar year 2019. Those performance goals were deemed achieved at the maximum performance level on February 21, 2020. These RSUs remain unvested and are scheduled to vest on January 1, 2022, subject to the reporting person's continued employment through such date.</w:t>
      </w:r>
    </w:p>
    <w:p>
      <w:pPr>
        <w:spacing w:after="0" w:line="7" w:lineRule="exact"/>
        <w:rPr>
          <w:rFonts w:ascii="Arial" w:cs="Arial" w:eastAsia="Arial" w:hAnsi="Arial"/>
          <w:sz w:val="12"/>
          <w:szCs w:val="12"/>
          <w:color w:val="008000"/>
        </w:rPr>
      </w:pPr>
    </w:p>
    <w:p>
      <w:pPr>
        <w:ind w:left="40" w:right="200" w:firstLine="6"/>
        <w:spacing w:after="0" w:line="30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RSUs in respect of Class A Common Stock which are scheduled to vest on January 1, 2021, subject to the reporting person's continued employment through such date, and (ii) 33,004 unvested RSUs in respect of Class A Common Stock which are scheduled to vest on January 1, 2022, subject to the reporting person's continued employment through such date.</w:t>
      </w:r>
    </w:p>
    <w:p>
      <w:pPr>
        <w:ind w:left="40" w:right="42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2019 which were deemed achieved on February 21, 2020.</w:t>
      </w:r>
    </w:p>
    <w:p>
      <w:pPr>
        <w:spacing w:after="0" w:line="15"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0" w:lineRule="exact"/>
        <w:rPr>
          <w:rFonts w:ascii="Arial" w:cs="Arial" w:eastAsia="Arial" w:hAnsi="Arial"/>
          <w:sz w:val="13"/>
          <w:szCs w:val="13"/>
          <w:color w:val="008000"/>
        </w:rPr>
      </w:pPr>
    </w:p>
    <w:p>
      <w:pPr>
        <w:ind w:left="40" w:right="260" w:firstLine="6"/>
        <w:spacing w:after="0" w:line="26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136,232 options that were granted on October 26, 2018 and previously reported by the reporting person, all of which are currently vested and exercisable.</w:t>
      </w:r>
    </w:p>
    <w:p>
      <w:pPr>
        <w:spacing w:after="0" w:line="2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Scott Zucker, Attorney-in-</w:t>
            </w:r>
          </w:p>
        </w:tc>
        <w:tc>
          <w:tcPr>
            <w:tcW w:w="24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02/25/2020</w:t>
            </w:r>
          </w:p>
        </w:tc>
        <w:tc>
          <w:tcPr>
            <w:tcW w:w="0" w:type="dxa"/>
            <w:vAlign w:val="bottom"/>
          </w:tcPr>
          <w:p>
            <w:pPr>
              <w:spacing w:after="0"/>
              <w:rPr>
                <w:sz w:val="1"/>
                <w:szCs w:val="1"/>
                <w:color w:val="auto"/>
              </w:rPr>
            </w:pPr>
          </w:p>
        </w:tc>
      </w:tr>
      <w:tr>
        <w:trPr>
          <w:trHeight w:val="91"/>
        </w:trPr>
        <w:tc>
          <w:tcPr>
            <w:tcW w:w="228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 for Douglas Friedman</w:t>
            </w: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28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0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1193"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2020-02-25T17:45:49Z</dcterms:created>
  <dcterms:modified xsi:type="dcterms:W3CDTF">2020-02-25T17:45:49Z</dcterms:modified>
</cp:coreProperties>
</file>