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29, 2021</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47"/>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r>
      <w:tr>
        <w:trPr>
          <w:trHeight w:val="203"/>
        </w:trPr>
        <w:tc>
          <w:tcPr>
            <w:tcW w:w="4080" w:type="dxa"/>
            <w:vAlign w:val="bottom"/>
          </w:tcPr>
          <w:p>
            <w:pPr>
              <w:jc w:val="center"/>
              <w:ind w:right="2050"/>
              <w:spacing w:after="0" w:line="203"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3"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3" w:lineRule="exact"/>
              <w:rPr>
                <w:sz w:val="20"/>
                <w:szCs w:val="20"/>
                <w:color w:val="auto"/>
              </w:rPr>
            </w:pPr>
            <w:r>
              <w:rPr>
                <w:rFonts w:ascii="Arial" w:cs="Arial" w:eastAsia="Arial" w:hAnsi="Arial"/>
                <w:sz w:val="18"/>
                <w:szCs w:val="18"/>
                <w:color w:val="auto"/>
                <w:w w:val="93"/>
              </w:rPr>
              <w:t>(I.R.S. Employer</w:t>
            </w:r>
          </w:p>
        </w:tc>
      </w:tr>
      <w:tr>
        <w:trPr>
          <w:trHeight w:val="243"/>
        </w:trPr>
        <w:tc>
          <w:tcPr>
            <w:tcW w:w="408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23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4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1"/>
                <w:szCs w:val="21"/>
                <w:color w:val="auto"/>
              </w:rPr>
            </w:pP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10036</w:t>
            </w: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5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30"/>
        </w:trPr>
        <w:tc>
          <w:tcPr>
            <w:tcW w:w="4560" w:type="dxa"/>
            <w:vAlign w:val="bottom"/>
            <w:gridSpan w:val="2"/>
            <w:vMerge w:val="continue"/>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8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April 29, 2021, Tradeweb Markets Inc. (the “Company”) issued a press release, a copy of which is furnished as Exhibit 99.1 hereto and incorporated herein by reference, announcing financial results for the quarter ended March 31, 2021.</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520" w:type="dxa"/>
            <w:vAlign w:val="bottom"/>
            <w:tcBorders>
              <w:top w:val="single" w:sz="8" w:color="auto"/>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of Tradeweb Markets Inc., dated April 29, 2021.</w:t>
              </w:r>
            </w:hyperlink>
          </w:p>
        </w:tc>
        <w:tc>
          <w:tcPr>
            <w:tcW w:w="4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78"/>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6840" w:type="dxa"/>
            <w:vAlign w:val="bottom"/>
            <w:gridSpan w:val="2"/>
          </w:tcPr>
          <w:p>
            <w:pPr>
              <w:ind w:left="2880"/>
              <w:spacing w:after="0"/>
              <w:rPr>
                <w:sz w:val="20"/>
                <w:szCs w:val="20"/>
                <w:color w:val="auto"/>
              </w:rPr>
            </w:pPr>
            <w:r>
              <w:rPr>
                <w:rFonts w:ascii="Arial" w:cs="Arial" w:eastAsia="Arial" w:hAnsi="Arial"/>
                <w:sz w:val="18"/>
                <w:szCs w:val="18"/>
                <w:color w:val="auto"/>
              </w:rPr>
              <w:t>TRADEWEB MARKETS INC.</w:t>
            </w:r>
          </w:p>
        </w:tc>
      </w:tr>
      <w:tr>
        <w:trPr>
          <w:trHeight w:val="500"/>
        </w:trPr>
        <w:tc>
          <w:tcPr>
            <w:tcW w:w="4380" w:type="dxa"/>
            <w:vAlign w:val="bottom"/>
          </w:tcPr>
          <w:p>
            <w:pPr>
              <w:spacing w:after="0"/>
              <w:rPr>
                <w:sz w:val="20"/>
                <w:szCs w:val="20"/>
                <w:color w:val="auto"/>
              </w:rPr>
            </w:pPr>
            <w:r>
              <w:rPr>
                <w:rFonts w:ascii="Arial" w:cs="Arial" w:eastAsia="Arial" w:hAnsi="Arial"/>
                <w:sz w:val="18"/>
                <w:szCs w:val="18"/>
                <w:color w:val="auto"/>
              </w:rPr>
              <w:t>Date: April 29, 2021</w:t>
            </w:r>
          </w:p>
        </w:tc>
        <w:tc>
          <w:tcPr>
            <w:tcW w:w="6840" w:type="dxa"/>
            <w:vAlign w:val="bottom"/>
            <w:gridSpan w:val="2"/>
          </w:tcPr>
          <w:p>
            <w:pPr>
              <w:ind w:left="2880"/>
              <w:spacing w:after="0"/>
              <w:rPr>
                <w:sz w:val="20"/>
                <w:szCs w:val="20"/>
                <w:color w:val="auto"/>
              </w:rPr>
            </w:pPr>
            <w:r>
              <w:rPr>
                <w:rFonts w:ascii="Arial" w:cs="Arial" w:eastAsia="Arial" w:hAnsi="Arial"/>
                <w:sz w:val="18"/>
                <w:szCs w:val="18"/>
                <w:color w:val="auto"/>
              </w:rPr>
              <w:t>By:   /s/ Douglas Friedman</w:t>
            </w:r>
          </w:p>
        </w:tc>
      </w:tr>
      <w:tr>
        <w:trPr>
          <w:trHeight w:val="222"/>
        </w:trPr>
        <w:tc>
          <w:tcPr>
            <w:tcW w:w="4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Douglas Friedman</w:t>
            </w:r>
          </w:p>
        </w:tc>
      </w:tr>
      <w:tr>
        <w:trPr>
          <w:trHeight w:val="230"/>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1240"/>
          </w:cols>
          <w:pgMar w:left="320" w:top="1134"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FIRST QUARTER 2021 FINANCIAL RESULTS</w:t>
      </w:r>
    </w:p>
    <w:p>
      <w:pPr>
        <w:spacing w:after="0" w:line="224" w:lineRule="exact"/>
        <w:rPr>
          <w:sz w:val="20"/>
          <w:szCs w:val="20"/>
          <w:color w:val="auto"/>
        </w:rPr>
      </w:pPr>
    </w:p>
    <w:p>
      <w:pPr>
        <w:ind w:left="20" w:right="280"/>
        <w:spacing w:after="0" w:line="286" w:lineRule="auto"/>
        <w:rPr>
          <w:sz w:val="20"/>
          <w:szCs w:val="20"/>
          <w:color w:val="auto"/>
        </w:rPr>
      </w:pPr>
      <w:r>
        <w:rPr>
          <w:rFonts w:ascii="Arial" w:cs="Arial" w:eastAsia="Arial" w:hAnsi="Arial"/>
          <w:sz w:val="16"/>
          <w:szCs w:val="16"/>
          <w:b w:val="1"/>
          <w:bCs w:val="1"/>
          <w:color w:val="auto"/>
        </w:rPr>
        <w:t xml:space="preserve">New York, April 29, 2021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59055</wp:posOffset>
            </wp:positionV>
            <wp:extent cx="3086100" cy="2503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2503170"/>
                    </a:xfrm>
                    <a:prstGeom prst="rect">
                      <a:avLst/>
                    </a:prstGeom>
                    <a:noFill/>
                  </pic:spPr>
                </pic:pic>
              </a:graphicData>
            </a:graphic>
          </wp:anchor>
        </w:drawing>
      </w:r>
    </w:p>
    <w:p>
      <w:pPr>
        <w:sectPr>
          <w:pgSz w:w="11900" w:h="16838" w:orient="portrait"/>
          <w:cols w:equalWidth="0" w:num="1">
            <w:col w:w="10980"/>
          </w:cols>
          <w:pgMar w:left="320" w:top="283" w:right="599" w:bottom="1440" w:gutter="0" w:footer="0" w:header="0"/>
        </w:sectPr>
      </w:pPr>
    </w:p>
    <w:p>
      <w:pPr>
        <w:spacing w:after="0" w:line="102" w:lineRule="exact"/>
        <w:rPr>
          <w:sz w:val="20"/>
          <w:szCs w:val="20"/>
          <w:color w:val="auto"/>
        </w:rPr>
      </w:pPr>
    </w:p>
    <w:p>
      <w:pPr>
        <w:ind w:left="20" w:right="600"/>
        <w:spacing w:after="0" w:line="286" w:lineRule="auto"/>
        <w:rPr>
          <w:sz w:val="20"/>
          <w:szCs w:val="20"/>
          <w:color w:val="auto"/>
        </w:rPr>
      </w:pPr>
      <w:r>
        <w:rPr>
          <w:rFonts w:ascii="Arial" w:cs="Arial" w:eastAsia="Arial" w:hAnsi="Arial"/>
          <w:sz w:val="16"/>
          <w:szCs w:val="16"/>
          <w:b w:val="1"/>
          <w:bCs w:val="1"/>
          <w:color w:val="auto"/>
        </w:rPr>
        <w:t xml:space="preserve">$273.4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16.5% </w:t>
      </w:r>
      <w:r>
        <w:rPr>
          <w:rFonts w:ascii="Arial" w:cs="Arial" w:eastAsia="Arial" w:hAnsi="Arial"/>
          <w:sz w:val="16"/>
          <w:szCs w:val="16"/>
          <w:color w:val="auto"/>
        </w:rPr>
        <w:t>(</w:t>
      </w:r>
      <w:r>
        <w:rPr>
          <w:rFonts w:ascii="Arial" w:cs="Arial" w:eastAsia="Arial" w:hAnsi="Arial"/>
          <w:sz w:val="16"/>
          <w:szCs w:val="16"/>
          <w:b w:val="1"/>
          <w:bCs w:val="1"/>
          <w:color w:val="auto"/>
        </w:rPr>
        <w:t xml:space="preserve">13.9%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48" w:lineRule="exact"/>
        <w:rPr>
          <w:sz w:val="20"/>
          <w:szCs w:val="20"/>
          <w:color w:val="auto"/>
        </w:rPr>
      </w:pPr>
    </w:p>
    <w:p>
      <w:pPr>
        <w:ind w:left="20"/>
        <w:spacing w:after="0" w:line="253" w:lineRule="auto"/>
        <w:rPr>
          <w:sz w:val="20"/>
          <w:szCs w:val="20"/>
          <w:color w:val="auto"/>
        </w:rPr>
      </w:pPr>
      <w:r>
        <w:rPr>
          <w:rFonts w:ascii="Arial" w:cs="Arial" w:eastAsia="Arial" w:hAnsi="Arial"/>
          <w:sz w:val="16"/>
          <w:szCs w:val="16"/>
          <w:b w:val="1"/>
          <w:bCs w:val="1"/>
          <w:color w:val="auto"/>
        </w:rPr>
        <w:t xml:space="preserve">$1.06 trillion </w:t>
      </w:r>
      <w:r>
        <w:rPr>
          <w:rFonts w:ascii="Arial" w:cs="Arial" w:eastAsia="Arial" w:hAnsi="Arial"/>
          <w:sz w:val="16"/>
          <w:szCs w:val="16"/>
          <w:color w:val="auto"/>
        </w:rPr>
        <w:t>record average daily volume (“ADV”) for the quarter, an increase of</w:t>
      </w:r>
      <w:r>
        <w:rPr>
          <w:rFonts w:ascii="Arial" w:cs="Arial" w:eastAsia="Arial" w:hAnsi="Arial"/>
          <w:sz w:val="16"/>
          <w:szCs w:val="16"/>
          <w:b w:val="1"/>
          <w:bCs w:val="1"/>
          <w:color w:val="auto"/>
        </w:rPr>
        <w:t xml:space="preserve"> 18.0% </w:t>
      </w:r>
      <w:r>
        <w:rPr>
          <w:rFonts w:ascii="Arial" w:cs="Arial" w:eastAsia="Arial" w:hAnsi="Arial"/>
          <w:sz w:val="16"/>
          <w:szCs w:val="16"/>
          <w:color w:val="auto"/>
        </w:rPr>
        <w:t>compared to prior year period with ADV records in U.S. and European</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 bonds, mortgages, rates derivatives, U.S. High Grade bonds, U.S. High Yield bonds, European Credit, Chinese bonds, Repurchase Agreements and European ETFs. Tradeweb share of fully electronic TRACE volume for the quarter was 1</w:t>
      </w:r>
      <w:r>
        <w:rPr>
          <w:rFonts w:ascii="Arial" w:cs="Arial" w:eastAsia="Arial" w:hAnsi="Arial"/>
          <w:sz w:val="16"/>
          <w:szCs w:val="16"/>
          <w:b w:val="1"/>
          <w:bCs w:val="1"/>
          <w:color w:val="auto"/>
        </w:rPr>
        <w:t>0.1%</w:t>
      </w:r>
      <w:r>
        <w:rPr>
          <w:rFonts w:ascii="Arial" w:cs="Arial" w:eastAsia="Arial" w:hAnsi="Arial"/>
          <w:sz w:val="16"/>
          <w:szCs w:val="16"/>
          <w:color w:val="auto"/>
        </w:rPr>
        <w:t xml:space="preserve"> for U.S. High Grade and </w:t>
      </w:r>
      <w:r>
        <w:rPr>
          <w:rFonts w:ascii="Arial" w:cs="Arial" w:eastAsia="Arial" w:hAnsi="Arial"/>
          <w:sz w:val="16"/>
          <w:szCs w:val="16"/>
          <w:b w:val="1"/>
          <w:bCs w:val="1"/>
          <w:color w:val="auto"/>
        </w:rPr>
        <w:t>4.0%</w:t>
      </w:r>
      <w:r>
        <w:rPr>
          <w:rFonts w:ascii="Arial" w:cs="Arial" w:eastAsia="Arial" w:hAnsi="Arial"/>
          <w:sz w:val="16"/>
          <w:szCs w:val="16"/>
          <w:color w:val="auto"/>
        </w:rPr>
        <w:t xml:space="preserve"> for U.S. High Yield, compared to 5.9% and 2.0% respectively in prior year period</w:t>
      </w:r>
    </w:p>
    <w:p>
      <w:pPr>
        <w:spacing w:after="0" w:line="73"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b w:val="1"/>
          <w:bCs w:val="1"/>
          <w:color w:val="auto"/>
        </w:rPr>
        <w:t xml:space="preserve">$81.6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$101.6 million </w:t>
      </w:r>
      <w:r>
        <w:rPr>
          <w:rFonts w:ascii="Arial" w:cs="Arial" w:eastAsia="Arial" w:hAnsi="Arial"/>
          <w:sz w:val="16"/>
          <w:szCs w:val="16"/>
          <w:color w:val="auto"/>
        </w:rPr>
        <w:t>adjusted net income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increases of </w:t>
      </w:r>
      <w:r>
        <w:rPr>
          <w:rFonts w:ascii="Arial" w:cs="Arial" w:eastAsia="Arial" w:hAnsi="Arial"/>
          <w:sz w:val="16"/>
          <w:szCs w:val="16"/>
          <w:b w:val="1"/>
          <w:bCs w:val="1"/>
          <w:color w:val="auto"/>
        </w:rPr>
        <w:t>30.5%</w:t>
      </w:r>
      <w:r>
        <w:rPr>
          <w:rFonts w:ascii="Arial" w:cs="Arial" w:eastAsia="Arial" w:hAnsi="Arial"/>
          <w:sz w:val="16"/>
          <w:szCs w:val="16"/>
          <w:color w:val="auto"/>
        </w:rPr>
        <w:t xml:space="preserve">, and </w:t>
      </w:r>
      <w:r>
        <w:rPr>
          <w:rFonts w:ascii="Arial" w:cs="Arial" w:eastAsia="Arial" w:hAnsi="Arial"/>
          <w:sz w:val="16"/>
          <w:szCs w:val="16"/>
          <w:b w:val="1"/>
          <w:bCs w:val="1"/>
          <w:color w:val="auto"/>
        </w:rPr>
        <w:t>19.0%</w:t>
      </w:r>
      <w:r>
        <w:rPr>
          <w:rFonts w:ascii="Arial" w:cs="Arial" w:eastAsia="Arial" w:hAnsi="Arial"/>
          <w:sz w:val="16"/>
          <w:szCs w:val="16"/>
          <w:color w:val="auto"/>
        </w:rPr>
        <w:t xml:space="preserve"> respectively from prior year period</w:t>
      </w:r>
    </w:p>
    <w:p>
      <w:pPr>
        <w:spacing w:after="0" w:line="48" w:lineRule="exact"/>
        <w:rPr>
          <w:sz w:val="20"/>
          <w:szCs w:val="20"/>
          <w:color w:val="auto"/>
        </w:rPr>
      </w:pPr>
    </w:p>
    <w:p>
      <w:pPr>
        <w:ind w:left="20" w:right="280"/>
        <w:spacing w:after="0" w:line="286" w:lineRule="auto"/>
        <w:rPr>
          <w:sz w:val="20"/>
          <w:szCs w:val="20"/>
          <w:color w:val="auto"/>
        </w:rPr>
      </w:pPr>
      <w:r>
        <w:rPr>
          <w:rFonts w:ascii="Arial" w:cs="Arial" w:eastAsia="Arial" w:hAnsi="Arial"/>
          <w:sz w:val="16"/>
          <w:szCs w:val="16"/>
          <w:b w:val="1"/>
          <w:bCs w:val="1"/>
          <w:color w:val="auto"/>
        </w:rPr>
        <w:t xml:space="preserve">52.0%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$142.1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51.0% or $119.7 million respectively for prior year period</w:t>
      </w:r>
    </w:p>
    <w:p>
      <w:pPr>
        <w:spacing w:after="0" w:line="48" w:lineRule="exact"/>
        <w:rPr>
          <w:sz w:val="20"/>
          <w:szCs w:val="20"/>
          <w:color w:val="auto"/>
        </w:rPr>
      </w:pPr>
    </w:p>
    <w:p>
      <w:pPr>
        <w:ind w:left="20" w:right="580"/>
        <w:spacing w:after="0" w:line="286" w:lineRule="auto"/>
        <w:rPr>
          <w:sz w:val="20"/>
          <w:szCs w:val="20"/>
          <w:color w:val="auto"/>
        </w:rPr>
      </w:pPr>
      <w:r>
        <w:rPr>
          <w:rFonts w:ascii="Arial" w:cs="Arial" w:eastAsia="Arial" w:hAnsi="Arial"/>
          <w:sz w:val="16"/>
          <w:szCs w:val="16"/>
          <w:b w:val="1"/>
          <w:bCs w:val="1"/>
          <w:color w:val="auto"/>
        </w:rPr>
        <w:t xml:space="preserve">$0.33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$0.43 </w:t>
      </w:r>
      <w:r>
        <w:rPr>
          <w:rFonts w:ascii="Arial" w:cs="Arial" w:eastAsia="Arial" w:hAnsi="Arial"/>
          <w:sz w:val="16"/>
          <w:szCs w:val="16"/>
          <w:color w:val="auto"/>
        </w:rPr>
        <w:t>adjusted diluted earnings per share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083566"/>
        </w:rPr>
        <w:t>Lee Olesky, CEO of Tradeweb Markets:</w:t>
      </w:r>
    </w:p>
    <w:p>
      <w:pPr>
        <w:spacing w:after="0" w:line="229" w:lineRule="exact"/>
        <w:rPr>
          <w:sz w:val="20"/>
          <w:szCs w:val="20"/>
          <w:color w:val="auto"/>
        </w:rPr>
      </w:pPr>
    </w:p>
    <w:p>
      <w:pPr>
        <w:jc w:val="both"/>
        <w:ind w:right="260"/>
        <w:spacing w:after="0" w:line="251" w:lineRule="auto"/>
        <w:rPr>
          <w:sz w:val="20"/>
          <w:szCs w:val="20"/>
          <w:color w:val="auto"/>
        </w:rPr>
      </w:pPr>
      <w:r>
        <w:rPr>
          <w:rFonts w:ascii="Arial" w:cs="Arial" w:eastAsia="Arial" w:hAnsi="Arial"/>
          <w:sz w:val="18"/>
          <w:szCs w:val="18"/>
          <w:color w:val="auto"/>
        </w:rPr>
        <w:t>“Tradeweb experienced sustained momentum throughout the first quarter of 2021 thanks in part to stronger client engagement, changing user behaviors and accelerated trends in electronic trading adoption and innovation. We averaged more than $1 trillion per day in trading volume during each of these three months, which was especially remarkable given the quarter’s relatively subdued volatility. Our first quarter’s record volume was driven by changing behaviors, which we believe will continue to fuel our growth over the long term</w:t>
      </w:r>
      <w:r>
        <w:rPr>
          <w:rFonts w:ascii="Arial" w:cs="Arial" w:eastAsia="Arial" w:hAnsi="Arial"/>
          <w:sz w:val="18"/>
          <w:szCs w:val="18"/>
          <w:color w:val="083566"/>
        </w:rPr>
        <w:t>.”</w:t>
      </w:r>
    </w:p>
    <w:p>
      <w:pPr>
        <w:spacing w:after="0" w:line="402" w:lineRule="exact"/>
        <w:rPr>
          <w:sz w:val="20"/>
          <w:szCs w:val="20"/>
          <w:color w:val="auto"/>
        </w:rPr>
      </w:pPr>
    </w:p>
    <w:p>
      <w:pPr>
        <w:sectPr>
          <w:pgSz w:w="11900" w:h="16838" w:orient="portrait"/>
          <w:cols w:equalWidth="0" w:num="2">
            <w:col w:w="5900" w:space="480"/>
            <w:col w:w="4600"/>
          </w:cols>
          <w:pgMar w:left="320" w:top="283" w:right="59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00" w:type="dxa"/>
            <w:vAlign w:val="bottom"/>
            <w:shd w:val="clear" w:color="auto" w:fill="083566"/>
          </w:tcPr>
          <w:p>
            <w:pPr>
              <w:spacing w:after="0"/>
              <w:rPr>
                <w:sz w:val="17"/>
                <w:szCs w:val="17"/>
                <w:color w:val="auto"/>
              </w:rPr>
            </w:pPr>
          </w:p>
        </w:tc>
        <w:tc>
          <w:tcPr>
            <w:tcW w:w="360" w:type="dxa"/>
            <w:vAlign w:val="bottom"/>
            <w:shd w:val="clear" w:color="auto" w:fill="083566"/>
          </w:tcPr>
          <w:p>
            <w:pPr>
              <w:spacing w:after="0"/>
              <w:rPr>
                <w:sz w:val="17"/>
                <w:szCs w:val="17"/>
                <w:color w:val="auto"/>
              </w:rPr>
            </w:pPr>
          </w:p>
        </w:tc>
        <w:tc>
          <w:tcPr>
            <w:tcW w:w="740" w:type="dxa"/>
            <w:vAlign w:val="bottom"/>
            <w:shd w:val="clear" w:color="auto" w:fill="083566"/>
          </w:tcPr>
          <w:p>
            <w:pPr>
              <w:spacing w:after="0"/>
              <w:rPr>
                <w:sz w:val="17"/>
                <w:szCs w:val="17"/>
                <w:color w:val="auto"/>
              </w:rPr>
            </w:pPr>
          </w:p>
        </w:tc>
        <w:tc>
          <w:tcPr>
            <w:tcW w:w="34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1040" w:type="dxa"/>
            <w:vAlign w:val="bottom"/>
            <w:gridSpan w:val="2"/>
            <w:shd w:val="clear" w:color="auto" w:fill="083566"/>
          </w:tcPr>
          <w:p>
            <w:pPr>
              <w:jc w:val="right"/>
              <w:ind w:right="79"/>
              <w:spacing w:after="0"/>
              <w:rPr>
                <w:sz w:val="20"/>
                <w:szCs w:val="20"/>
                <w:color w:val="auto"/>
              </w:rPr>
            </w:pPr>
            <w:r>
              <w:rPr>
                <w:rFonts w:ascii="Arial" w:cs="Arial" w:eastAsia="Arial" w:hAnsi="Arial"/>
                <w:sz w:val="16"/>
                <w:szCs w:val="16"/>
                <w:b w:val="1"/>
                <w:bCs w:val="1"/>
                <w:color w:val="FFFFFF"/>
              </w:rPr>
              <w:t>Constant</w:t>
            </w:r>
          </w:p>
        </w:tc>
        <w:tc>
          <w:tcPr>
            <w:tcW w:w="180" w:type="dxa"/>
            <w:vAlign w:val="bottom"/>
          </w:tcPr>
          <w:p>
            <w:pPr>
              <w:spacing w:after="0"/>
              <w:rPr>
                <w:sz w:val="17"/>
                <w:szCs w:val="17"/>
                <w:color w:val="auto"/>
              </w:rPr>
            </w:pPr>
          </w:p>
        </w:tc>
        <w:tc>
          <w:tcPr>
            <w:tcW w:w="120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580" w:type="dxa"/>
            <w:vAlign w:val="bottom"/>
            <w:shd w:val="clear" w:color="auto" w:fill="083566"/>
          </w:tcPr>
          <w:p>
            <w:pPr>
              <w:spacing w:after="0"/>
              <w:rPr>
                <w:sz w:val="17"/>
                <w:szCs w:val="17"/>
                <w:color w:val="auto"/>
              </w:rPr>
            </w:pPr>
          </w:p>
        </w:tc>
        <w:tc>
          <w:tcPr>
            <w:tcW w:w="240" w:type="dxa"/>
            <w:vAlign w:val="bottom"/>
            <w:shd w:val="clear" w:color="auto" w:fill="083566"/>
          </w:tcPr>
          <w:p>
            <w:pPr>
              <w:spacing w:after="0"/>
              <w:rPr>
                <w:sz w:val="17"/>
                <w:szCs w:val="17"/>
                <w:color w:val="auto"/>
              </w:rPr>
            </w:pPr>
          </w:p>
        </w:tc>
        <w:tc>
          <w:tcPr>
            <w:tcW w:w="780" w:type="dxa"/>
            <w:vAlign w:val="bottom"/>
            <w:shd w:val="clear" w:color="auto" w:fill="083566"/>
          </w:tcPr>
          <w:p>
            <w:pPr>
              <w:spacing w:after="0"/>
              <w:rPr>
                <w:sz w:val="17"/>
                <w:szCs w:val="17"/>
                <w:color w:val="auto"/>
              </w:rPr>
            </w:pPr>
          </w:p>
        </w:tc>
        <w:tc>
          <w:tcPr>
            <w:tcW w:w="84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360" w:type="dxa"/>
            <w:vAlign w:val="bottom"/>
            <w:shd w:val="clear" w:color="auto" w:fill="083566"/>
          </w:tcPr>
          <w:p>
            <w:pPr>
              <w:spacing w:after="0"/>
              <w:rPr>
                <w:sz w:val="16"/>
                <w:szCs w:val="16"/>
                <w:color w:val="auto"/>
              </w:rPr>
            </w:pPr>
          </w:p>
        </w:tc>
        <w:tc>
          <w:tcPr>
            <w:tcW w:w="740" w:type="dxa"/>
            <w:vAlign w:val="bottom"/>
            <w:shd w:val="clear" w:color="auto" w:fill="083566"/>
          </w:tcPr>
          <w:p>
            <w:pPr>
              <w:spacing w:after="0"/>
              <w:rPr>
                <w:sz w:val="16"/>
                <w:szCs w:val="16"/>
                <w:color w:val="auto"/>
              </w:rPr>
            </w:pPr>
          </w:p>
        </w:tc>
        <w:tc>
          <w:tcPr>
            <w:tcW w:w="34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1040" w:type="dxa"/>
            <w:vAlign w:val="bottom"/>
            <w:gridSpan w:val="2"/>
            <w:shd w:val="clear" w:color="auto" w:fill="083566"/>
          </w:tcPr>
          <w:p>
            <w:pPr>
              <w:jc w:val="right"/>
              <w:ind w:right="79"/>
              <w:spacing w:after="0"/>
              <w:rPr>
                <w:sz w:val="20"/>
                <w:szCs w:val="20"/>
                <w:color w:val="auto"/>
              </w:rPr>
            </w:pPr>
            <w:r>
              <w:rPr>
                <w:rFonts w:ascii="Arial" w:cs="Arial" w:eastAsia="Arial" w:hAnsi="Arial"/>
                <w:sz w:val="16"/>
                <w:szCs w:val="16"/>
                <w:b w:val="1"/>
                <w:bCs w:val="1"/>
                <w:color w:val="FFFFFF"/>
              </w:rPr>
              <w:t>Currency</w:t>
            </w:r>
          </w:p>
        </w:tc>
        <w:tc>
          <w:tcPr>
            <w:tcW w:w="180" w:type="dxa"/>
            <w:vAlign w:val="bottom"/>
          </w:tcPr>
          <w:p>
            <w:pPr>
              <w:spacing w:after="0"/>
              <w:rPr>
                <w:sz w:val="16"/>
                <w:szCs w:val="16"/>
                <w:color w:val="auto"/>
              </w:rPr>
            </w:pPr>
          </w:p>
        </w:tc>
        <w:tc>
          <w:tcPr>
            <w:tcW w:w="12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580" w:type="dxa"/>
            <w:vAlign w:val="bottom"/>
            <w:shd w:val="clear" w:color="auto" w:fill="083566"/>
          </w:tcPr>
          <w:p>
            <w:pPr>
              <w:spacing w:after="0"/>
              <w:rPr>
                <w:sz w:val="16"/>
                <w:szCs w:val="16"/>
                <w:color w:val="auto"/>
              </w:rPr>
            </w:pPr>
          </w:p>
        </w:tc>
        <w:tc>
          <w:tcPr>
            <w:tcW w:w="240" w:type="dxa"/>
            <w:vAlign w:val="bottom"/>
            <w:shd w:val="clear" w:color="auto" w:fill="083566"/>
          </w:tcPr>
          <w:p>
            <w:pPr>
              <w:spacing w:after="0"/>
              <w:rPr>
                <w:sz w:val="16"/>
                <w:szCs w:val="16"/>
                <w:color w:val="auto"/>
              </w:rPr>
            </w:pPr>
          </w:p>
        </w:tc>
        <w:tc>
          <w:tcPr>
            <w:tcW w:w="780" w:type="dxa"/>
            <w:vAlign w:val="bottom"/>
            <w:shd w:val="clear" w:color="auto" w:fill="083566"/>
          </w:tcPr>
          <w:p>
            <w:pPr>
              <w:spacing w:after="0"/>
              <w:rPr>
                <w:sz w:val="16"/>
                <w:szCs w:val="16"/>
                <w:color w:val="auto"/>
              </w:rPr>
            </w:pPr>
          </w:p>
        </w:tc>
        <w:tc>
          <w:tcPr>
            <w:tcW w:w="84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360" w:type="dxa"/>
            <w:vAlign w:val="bottom"/>
            <w:shd w:val="clear" w:color="auto" w:fill="083566"/>
          </w:tcPr>
          <w:p>
            <w:pPr>
              <w:spacing w:after="0"/>
              <w:rPr>
                <w:sz w:val="21"/>
                <w:szCs w:val="21"/>
                <w:color w:val="auto"/>
              </w:rPr>
            </w:pPr>
          </w:p>
        </w:tc>
        <w:tc>
          <w:tcPr>
            <w:tcW w:w="740" w:type="dxa"/>
            <w:vAlign w:val="bottom"/>
            <w:shd w:val="clear" w:color="auto" w:fill="083566"/>
          </w:tcPr>
          <w:p>
            <w:pPr>
              <w:jc w:val="right"/>
              <w:ind w:right="219"/>
              <w:spacing w:after="0"/>
              <w:rPr>
                <w:sz w:val="20"/>
                <w:szCs w:val="20"/>
                <w:color w:val="auto"/>
              </w:rPr>
            </w:pPr>
            <w:r>
              <w:rPr>
                <w:rFonts w:ascii="Arial" w:cs="Arial" w:eastAsia="Arial" w:hAnsi="Arial"/>
                <w:sz w:val="16"/>
                <w:szCs w:val="16"/>
                <w:b w:val="1"/>
                <w:bCs w:val="1"/>
                <w:color w:val="FFFFFF"/>
              </w:rPr>
              <w:t>1Q21</w:t>
            </w:r>
          </w:p>
        </w:tc>
        <w:tc>
          <w:tcPr>
            <w:tcW w:w="340" w:type="dxa"/>
            <w:vAlign w:val="bottom"/>
            <w:shd w:val="clear" w:color="auto" w:fill="083566"/>
          </w:tcPr>
          <w:p>
            <w:pPr>
              <w:spacing w:after="0"/>
              <w:rPr>
                <w:sz w:val="21"/>
                <w:szCs w:val="21"/>
                <w:color w:val="auto"/>
              </w:rPr>
            </w:pPr>
          </w:p>
        </w:tc>
        <w:tc>
          <w:tcPr>
            <w:tcW w:w="900" w:type="dxa"/>
            <w:vAlign w:val="bottom"/>
            <w:shd w:val="clear" w:color="auto" w:fill="083566"/>
          </w:tcPr>
          <w:p>
            <w:pPr>
              <w:jc w:val="right"/>
              <w:ind w:right="279"/>
              <w:spacing w:after="0"/>
              <w:rPr>
                <w:sz w:val="20"/>
                <w:szCs w:val="20"/>
                <w:color w:val="auto"/>
              </w:rPr>
            </w:pPr>
            <w:r>
              <w:rPr>
                <w:rFonts w:ascii="Arial" w:cs="Arial" w:eastAsia="Arial" w:hAnsi="Arial"/>
                <w:sz w:val="16"/>
                <w:szCs w:val="16"/>
                <w:b w:val="1"/>
                <w:bCs w:val="1"/>
                <w:color w:val="FFFFFF"/>
              </w:rPr>
              <w:t>1Q20</w:t>
            </w:r>
          </w:p>
        </w:tc>
        <w:tc>
          <w:tcPr>
            <w:tcW w:w="960" w:type="dxa"/>
            <w:vAlign w:val="bottom"/>
            <w:shd w:val="clear" w:color="auto" w:fill="083566"/>
          </w:tcPr>
          <w:p>
            <w:pPr>
              <w:jc w:val="right"/>
              <w:ind w:right="79"/>
              <w:spacing w:after="0"/>
              <w:rPr>
                <w:sz w:val="20"/>
                <w:szCs w:val="20"/>
                <w:color w:val="auto"/>
              </w:rPr>
            </w:pPr>
            <w:r>
              <w:rPr>
                <w:rFonts w:ascii="Arial" w:cs="Arial" w:eastAsia="Arial" w:hAnsi="Arial"/>
                <w:sz w:val="16"/>
                <w:szCs w:val="16"/>
                <w:b w:val="1"/>
                <w:bCs w:val="1"/>
                <w:color w:val="FFFFFF"/>
              </w:rPr>
              <w:t>Change</w:t>
            </w:r>
          </w:p>
        </w:tc>
        <w:tc>
          <w:tcPr>
            <w:tcW w:w="1040" w:type="dxa"/>
            <w:vAlign w:val="bottom"/>
            <w:gridSpan w:val="2"/>
            <w:shd w:val="clear" w:color="auto" w:fill="083566"/>
          </w:tcPr>
          <w:p>
            <w:pPr>
              <w:jc w:val="right"/>
              <w:ind w:right="99"/>
              <w:spacing w:after="0"/>
              <w:rPr>
                <w:sz w:val="20"/>
                <w:szCs w:val="20"/>
                <w:color w:val="auto"/>
              </w:rPr>
            </w:pPr>
            <w:r>
              <w:rPr>
                <w:rFonts w:ascii="Arial" w:cs="Arial" w:eastAsia="Arial" w:hAnsi="Arial"/>
                <w:sz w:val="16"/>
                <w:szCs w:val="16"/>
                <w:b w:val="1"/>
                <w:bCs w:val="1"/>
                <w:color w:val="FFFFFF"/>
              </w:rPr>
              <w:t>Growth</w:t>
            </w:r>
            <w:r>
              <w:rPr>
                <w:rFonts w:ascii="Arial" w:cs="Arial" w:eastAsia="Arial" w:hAnsi="Arial"/>
                <w:sz w:val="21"/>
                <w:szCs w:val="21"/>
                <w:b w:val="1"/>
                <w:bCs w:val="1"/>
                <w:color w:val="FFFFFF"/>
                <w:vertAlign w:val="superscript"/>
              </w:rPr>
              <w:t>(1)</w:t>
            </w:r>
          </w:p>
        </w:tc>
        <w:tc>
          <w:tcPr>
            <w:tcW w:w="180" w:type="dxa"/>
            <w:vAlign w:val="bottom"/>
          </w:tcPr>
          <w:p>
            <w:pPr>
              <w:spacing w:after="0"/>
              <w:rPr>
                <w:sz w:val="21"/>
                <w:szCs w:val="21"/>
                <w:color w:val="auto"/>
              </w:rPr>
            </w:pPr>
          </w:p>
        </w:tc>
        <w:tc>
          <w:tcPr>
            <w:tcW w:w="120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1"/>
                <w:szCs w:val="21"/>
                <w:color w:val="auto"/>
              </w:rPr>
            </w:pPr>
          </w:p>
        </w:tc>
        <w:tc>
          <w:tcPr>
            <w:tcW w:w="220" w:type="dxa"/>
            <w:vAlign w:val="bottom"/>
            <w:shd w:val="clear" w:color="auto" w:fill="083566"/>
          </w:tcPr>
          <w:p>
            <w:pPr>
              <w:spacing w:after="0"/>
              <w:rPr>
                <w:sz w:val="21"/>
                <w:szCs w:val="21"/>
                <w:color w:val="auto"/>
              </w:rPr>
            </w:pPr>
          </w:p>
        </w:tc>
        <w:tc>
          <w:tcPr>
            <w:tcW w:w="580" w:type="dxa"/>
            <w:vAlign w:val="bottom"/>
            <w:shd w:val="clear" w:color="auto" w:fill="083566"/>
          </w:tcPr>
          <w:p>
            <w:pPr>
              <w:spacing w:after="0"/>
              <w:rPr>
                <w:sz w:val="21"/>
                <w:szCs w:val="21"/>
                <w:color w:val="auto"/>
              </w:rPr>
            </w:pPr>
          </w:p>
        </w:tc>
        <w:tc>
          <w:tcPr>
            <w:tcW w:w="240" w:type="dxa"/>
            <w:vAlign w:val="bottom"/>
            <w:shd w:val="clear" w:color="auto" w:fill="083566"/>
          </w:tcPr>
          <w:p>
            <w:pPr>
              <w:spacing w:after="0"/>
              <w:rPr>
                <w:sz w:val="21"/>
                <w:szCs w:val="21"/>
                <w:color w:val="auto"/>
              </w:rPr>
            </w:pPr>
          </w:p>
        </w:tc>
        <w:tc>
          <w:tcPr>
            <w:tcW w:w="780" w:type="dxa"/>
            <w:vAlign w:val="bottom"/>
            <w:shd w:val="clear" w:color="auto" w:fill="083566"/>
          </w:tcPr>
          <w:p>
            <w:pPr>
              <w:spacing w:after="0"/>
              <w:rPr>
                <w:sz w:val="21"/>
                <w:szCs w:val="21"/>
                <w:color w:val="auto"/>
              </w:rPr>
            </w:pPr>
          </w:p>
        </w:tc>
        <w:tc>
          <w:tcPr>
            <w:tcW w:w="840" w:type="dxa"/>
            <w:vAlign w:val="bottom"/>
            <w:shd w:val="clear" w:color="auto" w:fill="083566"/>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0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80" w:type="dxa"/>
            <w:vAlign w:val="bottom"/>
            <w:shd w:val="clear" w:color="auto" w:fill="083566"/>
          </w:tcPr>
          <w:p>
            <w:pPr>
              <w:spacing w:after="0"/>
              <w:rPr>
                <w:sz w:val="20"/>
                <w:szCs w:val="20"/>
                <w:color w:val="auto"/>
              </w:rPr>
            </w:pPr>
          </w:p>
        </w:tc>
        <w:tc>
          <w:tcPr>
            <w:tcW w:w="460" w:type="dxa"/>
            <w:vAlign w:val="bottom"/>
            <w:shd w:val="clear" w:color="auto" w:fill="083566"/>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spacing w:after="0"/>
              <w:rPr>
                <w:sz w:val="20"/>
                <w:szCs w:val="20"/>
                <w:color w:val="auto"/>
              </w:rPr>
            </w:pPr>
            <w:r>
              <w:rPr>
                <w:rFonts w:ascii="Arial" w:cs="Arial" w:eastAsia="Arial" w:hAnsi="Arial"/>
                <w:sz w:val="16"/>
                <w:szCs w:val="16"/>
                <w:b w:val="1"/>
                <w:bCs w:val="1"/>
                <w:color w:val="FFFFFF"/>
              </w:rPr>
              <w:t>Product</w:t>
            </w:r>
          </w:p>
        </w:tc>
        <w:tc>
          <w:tcPr>
            <w:tcW w:w="220" w:type="dxa"/>
            <w:vAlign w:val="bottom"/>
            <w:shd w:val="clear" w:color="auto" w:fill="083566"/>
          </w:tcPr>
          <w:p>
            <w:pPr>
              <w:spacing w:after="0"/>
              <w:rPr>
                <w:sz w:val="20"/>
                <w:szCs w:val="20"/>
                <w:color w:val="auto"/>
              </w:rPr>
            </w:pPr>
          </w:p>
        </w:tc>
        <w:tc>
          <w:tcPr>
            <w:tcW w:w="58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1Q21</w:t>
            </w:r>
          </w:p>
        </w:tc>
        <w:tc>
          <w:tcPr>
            <w:tcW w:w="240" w:type="dxa"/>
            <w:vAlign w:val="bottom"/>
            <w:shd w:val="clear" w:color="auto" w:fill="083566"/>
          </w:tcPr>
          <w:p>
            <w:pPr>
              <w:spacing w:after="0"/>
              <w:rPr>
                <w:sz w:val="20"/>
                <w:szCs w:val="20"/>
                <w:color w:val="auto"/>
              </w:rPr>
            </w:pPr>
          </w:p>
        </w:tc>
        <w:tc>
          <w:tcPr>
            <w:tcW w:w="780" w:type="dxa"/>
            <w:vAlign w:val="bottom"/>
            <w:shd w:val="clear" w:color="auto" w:fill="083566"/>
          </w:tcPr>
          <w:p>
            <w:pPr>
              <w:jc w:val="right"/>
              <w:ind w:right="179"/>
              <w:spacing w:after="0"/>
              <w:rPr>
                <w:sz w:val="20"/>
                <w:szCs w:val="20"/>
                <w:color w:val="auto"/>
              </w:rPr>
            </w:pPr>
            <w:r>
              <w:rPr>
                <w:rFonts w:ascii="Arial" w:cs="Arial" w:eastAsia="Arial" w:hAnsi="Arial"/>
                <w:sz w:val="16"/>
                <w:szCs w:val="16"/>
                <w:b w:val="1"/>
                <w:bCs w:val="1"/>
                <w:color w:val="FFFFFF"/>
              </w:rPr>
              <w:t>1Q20</w:t>
            </w:r>
          </w:p>
        </w:tc>
        <w:tc>
          <w:tcPr>
            <w:tcW w:w="84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74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5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342</w:t>
            </w:r>
          </w:p>
        </w:tc>
        <w:tc>
          <w:tcPr>
            <w:tcW w:w="840" w:type="dxa"/>
            <w:vAlign w:val="bottom"/>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33"/>
        </w:trPr>
        <w:tc>
          <w:tcPr>
            <w:tcW w:w="16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273,399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234,606</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16.5 %</w:t>
            </w:r>
          </w:p>
        </w:tc>
        <w:tc>
          <w:tcPr>
            <w:tcW w:w="580" w:type="dxa"/>
            <w:vAlign w:val="bottom"/>
          </w:tcPr>
          <w:p>
            <w:pPr>
              <w:jc w:val="right"/>
              <w:spacing w:after="0"/>
              <w:rPr>
                <w:sz w:val="20"/>
                <w:szCs w:val="20"/>
                <w:color w:val="auto"/>
              </w:rPr>
            </w:pPr>
            <w:r>
              <w:rPr>
                <w:rFonts w:ascii="Arial" w:cs="Arial" w:eastAsia="Arial" w:hAnsi="Arial"/>
                <w:sz w:val="16"/>
                <w:szCs w:val="16"/>
                <w:color w:val="auto"/>
              </w:rPr>
              <w:t>13.9</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287</w:t>
            </w:r>
          </w:p>
        </w:tc>
        <w:tc>
          <w:tcPr>
            <w:tcW w:w="240" w:type="dxa"/>
            <w:vAlign w:val="bottom"/>
          </w:tcPr>
          <w:p>
            <w:pPr>
              <w:spacing w:after="0"/>
              <w:rPr>
                <w:sz w:val="20"/>
                <w:szCs w:val="20"/>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249</w:t>
            </w:r>
          </w:p>
        </w:tc>
        <w:tc>
          <w:tcPr>
            <w:tcW w:w="840" w:type="dxa"/>
            <w:vAlign w:val="bottom"/>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46"/>
        </w:trPr>
        <w:tc>
          <w:tcPr>
            <w:tcW w:w="1600" w:type="dxa"/>
            <w:vAlign w:val="bottom"/>
          </w:tcPr>
          <w:p>
            <w:pPr>
              <w:ind w:left="140"/>
              <w:spacing w:after="0"/>
              <w:rPr>
                <w:sz w:val="20"/>
                <w:szCs w:val="20"/>
                <w:color w:val="auto"/>
              </w:rPr>
            </w:pPr>
            <w:r>
              <w:rPr>
                <w:rFonts w:ascii="Arial" w:cs="Arial" w:eastAsia="Arial" w:hAnsi="Arial"/>
                <w:sz w:val="16"/>
                <w:szCs w:val="16"/>
                <w:color w:val="auto"/>
              </w:rPr>
              <w:t>Rates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142,929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126,039</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13.4 %</w:t>
            </w:r>
          </w:p>
        </w:tc>
        <w:tc>
          <w:tcPr>
            <w:tcW w:w="580" w:type="dxa"/>
            <w:vAlign w:val="bottom"/>
          </w:tcPr>
          <w:p>
            <w:pPr>
              <w:jc w:val="right"/>
              <w:spacing w:after="0"/>
              <w:rPr>
                <w:sz w:val="20"/>
                <w:szCs w:val="20"/>
                <w:color w:val="auto"/>
              </w:rPr>
            </w:pPr>
            <w:r>
              <w:rPr>
                <w:rFonts w:ascii="Arial" w:cs="Arial" w:eastAsia="Arial" w:hAnsi="Arial"/>
                <w:sz w:val="16"/>
                <w:szCs w:val="16"/>
                <w:color w:val="auto"/>
              </w:rPr>
              <w:t>10.7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666</w:t>
            </w:r>
          </w:p>
        </w:tc>
        <w:tc>
          <w:tcPr>
            <w:tcW w:w="24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219"/>
              <w:spacing w:after="0"/>
              <w:rPr>
                <w:sz w:val="20"/>
                <w:szCs w:val="20"/>
                <w:color w:val="auto"/>
              </w:rPr>
            </w:pPr>
            <w:r>
              <w:rPr>
                <w:rFonts w:ascii="Arial" w:cs="Arial" w:eastAsia="Arial" w:hAnsi="Arial"/>
                <w:sz w:val="16"/>
                <w:szCs w:val="16"/>
                <w:color w:val="auto"/>
              </w:rPr>
              <w:t>591</w:t>
            </w:r>
          </w:p>
        </w:tc>
        <w:tc>
          <w:tcPr>
            <w:tcW w:w="84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23"/>
        </w:trPr>
        <w:tc>
          <w:tcPr>
            <w:tcW w:w="1600" w:type="dxa"/>
            <w:vAlign w:val="bottom"/>
          </w:tcPr>
          <w:p>
            <w:pPr>
              <w:ind w:left="140"/>
              <w:spacing w:after="0"/>
              <w:rPr>
                <w:sz w:val="20"/>
                <w:szCs w:val="20"/>
                <w:color w:val="auto"/>
              </w:rPr>
            </w:pPr>
            <w:r>
              <w:rPr>
                <w:rFonts w:ascii="Arial" w:cs="Arial" w:eastAsia="Arial" w:hAnsi="Arial"/>
                <w:sz w:val="16"/>
                <w:szCs w:val="16"/>
                <w:color w:val="auto"/>
              </w:rPr>
              <w:t>Credit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74,368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53,978</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37.8 %</w:t>
            </w:r>
          </w:p>
        </w:tc>
        <w:tc>
          <w:tcPr>
            <w:tcW w:w="580" w:type="dxa"/>
            <w:vAlign w:val="bottom"/>
          </w:tcPr>
          <w:p>
            <w:pPr>
              <w:jc w:val="right"/>
              <w:spacing w:after="0"/>
              <w:rPr>
                <w:sz w:val="20"/>
                <w:szCs w:val="20"/>
                <w:color w:val="auto"/>
              </w:rPr>
            </w:pPr>
            <w:r>
              <w:rPr>
                <w:rFonts w:ascii="Arial" w:cs="Arial" w:eastAsia="Arial" w:hAnsi="Arial"/>
                <w:sz w:val="16"/>
                <w:szCs w:val="16"/>
                <w:color w:val="auto"/>
              </w:rPr>
              <w:t>35.0</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7</w:t>
            </w:r>
          </w:p>
        </w:tc>
        <w:tc>
          <w:tcPr>
            <w:tcW w:w="840" w:type="dxa"/>
            <w:vAlign w:val="bottom"/>
          </w:tcPr>
          <w:p>
            <w:pPr>
              <w:jc w:val="right"/>
              <w:spacing w:after="0"/>
              <w:rPr>
                <w:sz w:val="20"/>
                <w:szCs w:val="20"/>
                <w:color w:val="auto"/>
              </w:rPr>
            </w:pPr>
            <w:r>
              <w:rPr>
                <w:rFonts w:ascii="Arial" w:cs="Arial" w:eastAsia="Arial" w:hAnsi="Arial"/>
                <w:sz w:val="16"/>
                <w:szCs w:val="16"/>
                <w:color w:val="auto"/>
              </w:rPr>
              <w:t>43.1 %</w:t>
            </w:r>
          </w:p>
        </w:tc>
        <w:tc>
          <w:tcPr>
            <w:tcW w:w="0" w:type="dxa"/>
            <w:vAlign w:val="bottom"/>
          </w:tcPr>
          <w:p>
            <w:pPr>
              <w:spacing w:after="0"/>
              <w:rPr>
                <w:sz w:val="1"/>
                <w:szCs w:val="1"/>
                <w:color w:val="auto"/>
              </w:rPr>
            </w:pPr>
          </w:p>
        </w:tc>
      </w:tr>
      <w:tr>
        <w:trPr>
          <w:trHeight w:val="253"/>
        </w:trPr>
        <w:tc>
          <w:tcPr>
            <w:tcW w:w="1600" w:type="dxa"/>
            <w:vAlign w:val="bottom"/>
          </w:tcPr>
          <w:p>
            <w:pPr>
              <w:ind w:left="140"/>
              <w:spacing w:after="0"/>
              <w:rPr>
                <w:sz w:val="20"/>
                <w:szCs w:val="20"/>
                <w:color w:val="auto"/>
              </w:rPr>
            </w:pPr>
            <w:r>
              <w:rPr>
                <w:rFonts w:ascii="Arial" w:cs="Arial" w:eastAsia="Arial" w:hAnsi="Arial"/>
                <w:sz w:val="16"/>
                <w:szCs w:val="16"/>
                <w:color w:val="auto"/>
              </w:rPr>
              <w:t>Equities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18,861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19,434</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(2.9) %</w:t>
            </w: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(7.1) %</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21"/>
                <w:szCs w:val="21"/>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26</w:t>
            </w:r>
          </w:p>
        </w:tc>
        <w:tc>
          <w:tcPr>
            <w:tcW w:w="84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46"/>
        </w:trPr>
        <w:tc>
          <w:tcPr>
            <w:tcW w:w="160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10,818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11,208</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(3.5) %</w:t>
            </w:r>
          </w:p>
        </w:tc>
        <w:tc>
          <w:tcPr>
            <w:tcW w:w="1040" w:type="dxa"/>
            <w:vAlign w:val="bottom"/>
            <w:gridSpan w:val="2"/>
          </w:tcPr>
          <w:p>
            <w:pPr>
              <w:jc w:val="right"/>
              <w:ind w:right="179"/>
              <w:spacing w:after="0"/>
              <w:rPr>
                <w:sz w:val="20"/>
                <w:szCs w:val="20"/>
                <w:color w:val="auto"/>
              </w:rPr>
            </w:pPr>
            <w:r>
              <w:rPr>
                <w:rFonts w:ascii="Arial" w:cs="Arial" w:eastAsia="Arial" w:hAnsi="Arial"/>
                <w:sz w:val="16"/>
                <w:szCs w:val="16"/>
                <w:color w:val="auto"/>
              </w:rPr>
              <w:t>(5.0) %</w:t>
            </w:r>
          </w:p>
        </w:tc>
        <w:tc>
          <w:tcPr>
            <w:tcW w:w="180" w:type="dxa"/>
            <w:vAlign w:val="bottom"/>
          </w:tcPr>
          <w:p>
            <w:pPr>
              <w:spacing w:after="0"/>
              <w:rPr>
                <w:sz w:val="21"/>
                <w:szCs w:val="21"/>
                <w:color w:val="auto"/>
              </w:rPr>
            </w:pPr>
          </w:p>
        </w:tc>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219"/>
              <w:spacing w:after="0"/>
              <w:rPr>
                <w:sz w:val="20"/>
                <w:szCs w:val="20"/>
                <w:color w:val="auto"/>
              </w:rPr>
            </w:pPr>
            <w:r>
              <w:rPr>
                <w:rFonts w:ascii="Arial" w:cs="Arial" w:eastAsia="Arial" w:hAnsi="Arial"/>
                <w:sz w:val="16"/>
                <w:szCs w:val="16"/>
                <w:color w:val="auto"/>
              </w:rPr>
              <w:t>33</w:t>
            </w:r>
          </w:p>
        </w:tc>
        <w:tc>
          <w:tcPr>
            <w:tcW w:w="84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23"/>
        </w:trPr>
        <w:tc>
          <w:tcPr>
            <w:tcW w:w="160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19,972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18,562</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7.6 %</w:t>
            </w: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9</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3"/>
        </w:trPr>
        <w:tc>
          <w:tcPr>
            <w:tcW w:w="1600" w:type="dxa"/>
            <w:vAlign w:val="bottom"/>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6,451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5,385</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19.8 %</w:t>
            </w:r>
          </w:p>
        </w:tc>
        <w:tc>
          <w:tcPr>
            <w:tcW w:w="580" w:type="dxa"/>
            <w:vAlign w:val="bottom"/>
          </w:tcPr>
          <w:p>
            <w:pPr>
              <w:jc w:val="right"/>
              <w:spacing w:after="0"/>
              <w:rPr>
                <w:sz w:val="20"/>
                <w:szCs w:val="20"/>
                <w:color w:val="auto"/>
              </w:rPr>
            </w:pPr>
            <w:r>
              <w:rPr>
                <w:rFonts w:ascii="Arial" w:cs="Arial" w:eastAsia="Arial" w:hAnsi="Arial"/>
                <w:sz w:val="16"/>
                <w:szCs w:val="16"/>
                <w:color w:val="auto"/>
              </w:rPr>
              <w:t>19.8</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1"/>
                <w:szCs w:val="21"/>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9</w:t>
            </w:r>
          </w:p>
        </w:tc>
        <w:tc>
          <w:tcPr>
            <w:tcW w:w="8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46"/>
        </w:trPr>
        <w:tc>
          <w:tcPr>
            <w:tcW w:w="1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81,565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62,485</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30.5 %</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219"/>
              <w:spacing w:after="0"/>
              <w:rPr>
                <w:sz w:val="20"/>
                <w:szCs w:val="20"/>
                <w:color w:val="auto"/>
              </w:rPr>
            </w:pPr>
            <w:r>
              <w:rPr>
                <w:rFonts w:ascii="Arial" w:cs="Arial" w:eastAsia="Arial" w:hAnsi="Arial"/>
                <w:sz w:val="16"/>
                <w:szCs w:val="16"/>
                <w:color w:val="auto"/>
              </w:rPr>
              <w:t>18</w:t>
            </w:r>
          </w:p>
        </w:tc>
        <w:tc>
          <w:tcPr>
            <w:tcW w:w="84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4"/>
        </w:trPr>
        <w:tc>
          <w:tcPr>
            <w:tcW w:w="1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350</w:t>
            </w:r>
          </w:p>
        </w:tc>
        <w:tc>
          <w:tcPr>
            <w:tcW w:w="240" w:type="dxa"/>
            <w:vAlign w:val="bottom"/>
          </w:tcPr>
          <w:p>
            <w:pPr>
              <w:spacing w:after="0"/>
              <w:rPr>
                <w:sz w:val="16"/>
                <w:szCs w:val="16"/>
                <w:color w:val="auto"/>
              </w:rPr>
            </w:pPr>
          </w:p>
        </w:tc>
        <w:tc>
          <w:tcPr>
            <w:tcW w:w="780" w:type="dxa"/>
            <w:vAlign w:val="bottom"/>
            <w:vMerge w:val="restart"/>
          </w:tcPr>
          <w:p>
            <w:pPr>
              <w:jc w:val="right"/>
              <w:ind w:right="219"/>
              <w:spacing w:after="0"/>
              <w:rPr>
                <w:sz w:val="20"/>
                <w:szCs w:val="20"/>
                <w:color w:val="auto"/>
              </w:rPr>
            </w:pPr>
            <w:r>
              <w:rPr>
                <w:rFonts w:ascii="Arial" w:cs="Arial" w:eastAsia="Arial" w:hAnsi="Arial"/>
                <w:sz w:val="16"/>
                <w:szCs w:val="16"/>
                <w:color w:val="auto"/>
              </w:rPr>
              <w:t>256</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36.7 %</w:t>
            </w:r>
          </w:p>
        </w:tc>
        <w:tc>
          <w:tcPr>
            <w:tcW w:w="0" w:type="dxa"/>
            <w:vAlign w:val="bottom"/>
          </w:tcPr>
          <w:p>
            <w:pPr>
              <w:spacing w:after="0"/>
              <w:rPr>
                <w:sz w:val="1"/>
                <w:szCs w:val="1"/>
                <w:color w:val="auto"/>
              </w:rPr>
            </w:pPr>
          </w:p>
        </w:tc>
      </w:tr>
      <w:tr>
        <w:trPr>
          <w:trHeight w:val="69"/>
        </w:trPr>
        <w:tc>
          <w:tcPr>
            <w:tcW w:w="1600" w:type="dxa"/>
            <w:vAlign w:val="bottom"/>
            <w:vMerge w:val="restart"/>
          </w:tcPr>
          <w:p>
            <w:pPr>
              <w:ind w:left="20"/>
              <w:spacing w:after="0"/>
              <w:rPr>
                <w:sz w:val="20"/>
                <w:szCs w:val="20"/>
                <w:color w:val="auto"/>
              </w:rPr>
            </w:pPr>
            <w:r>
              <w:rPr>
                <w:rFonts w:ascii="Arial" w:cs="Arial" w:eastAsia="Arial" w:hAnsi="Arial"/>
                <w:sz w:val="16"/>
                <w:szCs w:val="16"/>
                <w:color w:val="auto"/>
              </w:rPr>
              <w:t>Tradeweb Markets</w:t>
            </w: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6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shd w:val="clear" w:color="auto" w:fill="D5DCE4"/>
          </w:tcPr>
          <w:p>
            <w:pPr>
              <w:spacing w:after="0"/>
              <w:rPr>
                <w:sz w:val="10"/>
                <w:szCs w:val="10"/>
                <w:color w:val="auto"/>
              </w:rPr>
            </w:pPr>
          </w:p>
        </w:tc>
        <w:tc>
          <w:tcPr>
            <w:tcW w:w="220" w:type="dxa"/>
            <w:vAlign w:val="bottom"/>
            <w:shd w:val="clear" w:color="auto" w:fill="D5DCE4"/>
          </w:tcPr>
          <w:p>
            <w:pPr>
              <w:spacing w:after="0"/>
              <w:rPr>
                <w:sz w:val="10"/>
                <w:szCs w:val="10"/>
                <w:color w:val="auto"/>
              </w:rPr>
            </w:pPr>
          </w:p>
        </w:tc>
        <w:tc>
          <w:tcPr>
            <w:tcW w:w="580" w:type="dxa"/>
            <w:vAlign w:val="bottom"/>
            <w:shd w:val="clear" w:color="auto" w:fill="D5DCE4"/>
          </w:tcPr>
          <w:p>
            <w:pPr>
              <w:spacing w:after="0"/>
              <w:rPr>
                <w:sz w:val="10"/>
                <w:szCs w:val="10"/>
                <w:color w:val="auto"/>
              </w:rPr>
            </w:pPr>
          </w:p>
        </w:tc>
        <w:tc>
          <w:tcPr>
            <w:tcW w:w="240" w:type="dxa"/>
            <w:vAlign w:val="bottom"/>
            <w:shd w:val="clear" w:color="auto" w:fill="D5DCE4"/>
          </w:tcPr>
          <w:p>
            <w:pPr>
              <w:spacing w:after="0"/>
              <w:rPr>
                <w:sz w:val="10"/>
                <w:szCs w:val="10"/>
                <w:color w:val="auto"/>
              </w:rPr>
            </w:pPr>
          </w:p>
        </w:tc>
        <w:tc>
          <w:tcPr>
            <w:tcW w:w="780" w:type="dxa"/>
            <w:vAlign w:val="bottom"/>
            <w:shd w:val="clear" w:color="auto" w:fill="D5DCE4"/>
          </w:tcPr>
          <w:p>
            <w:pPr>
              <w:spacing w:after="0"/>
              <w:rPr>
                <w:sz w:val="10"/>
                <w:szCs w:val="10"/>
                <w:color w:val="auto"/>
              </w:rPr>
            </w:pPr>
          </w:p>
        </w:tc>
        <w:tc>
          <w:tcPr>
            <w:tcW w:w="840" w:type="dxa"/>
            <w:vAlign w:val="bottom"/>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1600" w:type="dxa"/>
            <w:vAlign w:val="bottom"/>
          </w:tcPr>
          <w:p>
            <w:pPr>
              <w:ind w:left="20"/>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1"/>
                <w:szCs w:val="21"/>
                <w:color w:val="auto"/>
                <w:vertAlign w:val="superscript"/>
              </w:rPr>
              <w:t>(2)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67,859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43,928</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54.5 %</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bottom w:val="single" w:sz="8" w:color="083566"/>
            </w:tcBorders>
          </w:tcPr>
          <w:p>
            <w:pPr>
              <w:spacing w:after="0"/>
              <w:rPr>
                <w:sz w:val="18"/>
                <w:szCs w:val="18"/>
                <w:color w:val="auto"/>
              </w:rPr>
            </w:pPr>
          </w:p>
        </w:tc>
        <w:tc>
          <w:tcPr>
            <w:tcW w:w="100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18"/>
                <w:szCs w:val="18"/>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350</w:t>
            </w:r>
          </w:p>
        </w:tc>
        <w:tc>
          <w:tcPr>
            <w:tcW w:w="240" w:type="dxa"/>
            <w:vAlign w:val="bottom"/>
            <w:tcBorders>
              <w:bottom w:val="single" w:sz="8" w:color="083566"/>
            </w:tcBorders>
            <w:shd w:val="clear" w:color="auto" w:fill="D5DCE4"/>
          </w:tcPr>
          <w:p>
            <w:pPr>
              <w:spacing w:after="0"/>
              <w:rPr>
                <w:sz w:val="18"/>
                <w:szCs w:val="18"/>
                <w:color w:val="auto"/>
              </w:rPr>
            </w:pPr>
          </w:p>
        </w:tc>
        <w:tc>
          <w:tcPr>
            <w:tcW w:w="780" w:type="dxa"/>
            <w:vAlign w:val="bottom"/>
            <w:tcBorders>
              <w:bottom w:val="single" w:sz="8" w:color="083566"/>
            </w:tcBorders>
            <w:shd w:val="clear" w:color="auto" w:fill="D5DCE4"/>
          </w:tcPr>
          <w:p>
            <w:pPr>
              <w:jc w:val="right"/>
              <w:ind w:right="219"/>
              <w:spacing w:after="0"/>
              <w:rPr>
                <w:sz w:val="20"/>
                <w:szCs w:val="20"/>
                <w:color w:val="auto"/>
              </w:rPr>
            </w:pPr>
            <w:r>
              <w:rPr>
                <w:rFonts w:ascii="Arial" w:cs="Arial" w:eastAsia="Arial" w:hAnsi="Arial"/>
                <w:sz w:val="16"/>
                <w:szCs w:val="16"/>
                <w:color w:val="auto"/>
              </w:rPr>
              <w:t>256</w:t>
            </w:r>
          </w:p>
        </w:tc>
        <w:tc>
          <w:tcPr>
            <w:tcW w:w="84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36.7 %</w:t>
            </w:r>
          </w:p>
        </w:tc>
        <w:tc>
          <w:tcPr>
            <w:tcW w:w="0" w:type="dxa"/>
            <w:vAlign w:val="bottom"/>
          </w:tcPr>
          <w:p>
            <w:pPr>
              <w:spacing w:after="0"/>
              <w:rPr>
                <w:sz w:val="1"/>
                <w:szCs w:val="1"/>
                <w:color w:val="auto"/>
              </w:rPr>
            </w:pPr>
          </w:p>
        </w:tc>
      </w:tr>
      <w:tr>
        <w:trPr>
          <w:trHeight w:val="237"/>
        </w:trPr>
        <w:tc>
          <w:tcPr>
            <w:tcW w:w="16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0.25</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32.0 %</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1,059</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ind w:right="219"/>
              <w:spacing w:after="0"/>
              <w:rPr>
                <w:sz w:val="20"/>
                <w:szCs w:val="20"/>
                <w:color w:val="auto"/>
              </w:rPr>
            </w:pPr>
            <w:r>
              <w:rPr>
                <w:rFonts w:ascii="Arial" w:cs="Arial" w:eastAsia="Arial" w:hAnsi="Arial"/>
                <w:sz w:val="16"/>
                <w:szCs w:val="16"/>
                <w:b w:val="1"/>
                <w:bCs w:val="1"/>
                <w:color w:val="auto"/>
              </w:rPr>
              <w:t>897</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76301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6301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980"/>
          </w:cols>
          <w:pgMar w:left="320" w:top="283" w:right="599" w:bottom="1440" w:gutter="0" w:footer="0" w:header="0"/>
          <w:type w:val="continuous"/>
        </w:sectPr>
      </w:pP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156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142,084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119,650</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18.7 %</w:t>
            </w:r>
          </w:p>
        </w:tc>
        <w:tc>
          <w:tcPr>
            <w:tcW w:w="500" w:type="dxa"/>
            <w:vAlign w:val="bottom"/>
          </w:tcPr>
          <w:p>
            <w:pPr>
              <w:ind w:left="140"/>
              <w:spacing w:after="0"/>
              <w:rPr>
                <w:sz w:val="20"/>
                <w:szCs w:val="20"/>
                <w:color w:val="auto"/>
              </w:rPr>
            </w:pPr>
            <w:r>
              <w:rPr>
                <w:rFonts w:ascii="Arial" w:cs="Arial" w:eastAsia="Arial" w:hAnsi="Arial"/>
                <w:sz w:val="16"/>
                <w:szCs w:val="16"/>
                <w:color w:val="auto"/>
              </w:rPr>
              <w:t>18.5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52.0 %</w:t>
            </w:r>
          </w:p>
        </w:tc>
        <w:tc>
          <w:tcPr>
            <w:tcW w:w="26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51.0 %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+97 bps</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w w:val="96"/>
              </w:rPr>
              <w:t>+201 bps</w:t>
            </w:r>
          </w:p>
        </w:tc>
        <w:tc>
          <w:tcPr>
            <w:tcW w:w="0" w:type="dxa"/>
            <w:vAlign w:val="bottom"/>
          </w:tcPr>
          <w:p>
            <w:pPr>
              <w:spacing w:after="0"/>
              <w:rPr>
                <w:sz w:val="1"/>
                <w:szCs w:val="1"/>
                <w:color w:val="auto"/>
              </w:rPr>
            </w:pPr>
          </w:p>
        </w:tc>
      </w:tr>
      <w:tr>
        <w:trPr>
          <w:trHeight w:val="246"/>
        </w:trPr>
        <w:tc>
          <w:tcPr>
            <w:tcW w:w="156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130,721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108,747</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20.2 %</w:t>
            </w:r>
          </w:p>
        </w:tc>
        <w:tc>
          <w:tcPr>
            <w:tcW w:w="500" w:type="dxa"/>
            <w:vAlign w:val="bottom"/>
          </w:tcPr>
          <w:p>
            <w:pPr>
              <w:ind w:left="140"/>
              <w:spacing w:after="0"/>
              <w:rPr>
                <w:sz w:val="20"/>
                <w:szCs w:val="20"/>
                <w:color w:val="auto"/>
              </w:rPr>
            </w:pPr>
            <w:r>
              <w:rPr>
                <w:rFonts w:ascii="Arial" w:cs="Arial" w:eastAsia="Arial" w:hAnsi="Arial"/>
                <w:sz w:val="16"/>
                <w:szCs w:val="16"/>
                <w:color w:val="auto"/>
              </w:rPr>
              <w:t>20.0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1560" w:type="dxa"/>
            <w:vAlign w:val="bottom"/>
          </w:tcPr>
          <w:p>
            <w:pPr>
              <w:spacing w:after="0"/>
              <w:rPr>
                <w:sz w:val="20"/>
                <w:szCs w:val="20"/>
                <w:color w:val="auto"/>
              </w:rPr>
            </w:pPr>
            <w:r>
              <w:rPr>
                <w:rFonts w:ascii="Arial" w:cs="Arial" w:eastAsia="Arial" w:hAnsi="Arial"/>
                <w:sz w:val="16"/>
                <w:szCs w:val="16"/>
                <w:color w:val="auto"/>
              </w:rPr>
              <w:t>Adjusted EBIT</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56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47.8 %</w:t>
            </w:r>
          </w:p>
        </w:tc>
        <w:tc>
          <w:tcPr>
            <w:tcW w:w="26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46.4 %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+146 bps</w:t>
            </w:r>
          </w:p>
        </w:tc>
        <w:tc>
          <w:tcPr>
            <w:tcW w:w="820" w:type="dxa"/>
            <w:vAlign w:val="bottom"/>
            <w:gridSpan w:val="2"/>
          </w:tcPr>
          <w:p>
            <w:pPr>
              <w:ind w:left="160"/>
              <w:spacing w:after="0"/>
              <w:rPr>
                <w:sz w:val="20"/>
                <w:szCs w:val="20"/>
                <w:color w:val="auto"/>
              </w:rPr>
            </w:pPr>
            <w:r>
              <w:rPr>
                <w:rFonts w:ascii="Arial" w:cs="Arial" w:eastAsia="Arial" w:hAnsi="Arial"/>
                <w:sz w:val="16"/>
                <w:szCs w:val="16"/>
                <w:color w:val="auto"/>
                <w:w w:val="96"/>
              </w:rPr>
              <w:t>+243 bps</w:t>
            </w:r>
          </w:p>
        </w:tc>
        <w:tc>
          <w:tcPr>
            <w:tcW w:w="0" w:type="dxa"/>
            <w:vAlign w:val="bottom"/>
          </w:tcPr>
          <w:p>
            <w:pPr>
              <w:spacing w:after="0"/>
              <w:rPr>
                <w:sz w:val="1"/>
                <w:szCs w:val="1"/>
                <w:color w:val="auto"/>
              </w:rPr>
            </w:pPr>
          </w:p>
        </w:tc>
      </w:tr>
      <w:tr>
        <w:trPr>
          <w:trHeight w:val="147"/>
        </w:trPr>
        <w:tc>
          <w:tcPr>
            <w:tcW w:w="1560" w:type="dxa"/>
            <w:vAlign w:val="bottom"/>
          </w:tcPr>
          <w:p>
            <w:pPr>
              <w:spacing w:after="0" w:line="147" w:lineRule="exact"/>
              <w:rPr>
                <w:sz w:val="20"/>
                <w:szCs w:val="20"/>
                <w:color w:val="auto"/>
              </w:rPr>
            </w:pPr>
            <w:r>
              <w:rPr>
                <w:rFonts w:ascii="Arial" w:cs="Arial" w:eastAsia="Arial" w:hAnsi="Arial"/>
                <w:sz w:val="16"/>
                <w:szCs w:val="16"/>
                <w:color w:val="auto"/>
              </w:rPr>
              <w:t>Adjusted Net Income</w:t>
            </w:r>
          </w:p>
        </w:tc>
        <w:tc>
          <w:tcPr>
            <w:tcW w:w="28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19"/>
              <w:spacing w:after="0"/>
              <w:rPr>
                <w:sz w:val="20"/>
                <w:szCs w:val="20"/>
                <w:color w:val="auto"/>
              </w:rPr>
            </w:pPr>
            <w:r>
              <w:rPr>
                <w:rFonts w:ascii="Arial" w:cs="Arial" w:eastAsia="Arial" w:hAnsi="Arial"/>
                <w:sz w:val="16"/>
                <w:szCs w:val="16"/>
                <w:color w:val="auto"/>
              </w:rPr>
              <w:t>101,578</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219"/>
              <w:spacing w:after="0"/>
              <w:rPr>
                <w:sz w:val="20"/>
                <w:szCs w:val="20"/>
                <w:color w:val="auto"/>
              </w:rPr>
            </w:pPr>
            <w:r>
              <w:rPr>
                <w:rFonts w:ascii="Arial" w:cs="Arial" w:eastAsia="Arial" w:hAnsi="Arial"/>
                <w:sz w:val="16"/>
                <w:szCs w:val="16"/>
                <w:color w:val="auto"/>
              </w:rPr>
              <w:t>85,368</w:t>
            </w:r>
          </w:p>
        </w:tc>
        <w:tc>
          <w:tcPr>
            <w:tcW w:w="920" w:type="dxa"/>
            <w:vAlign w:val="bottom"/>
            <w:vMerge w:val="restart"/>
          </w:tcPr>
          <w:p>
            <w:pPr>
              <w:jc w:val="right"/>
              <w:ind w:right="179"/>
              <w:spacing w:after="0"/>
              <w:rPr>
                <w:sz w:val="20"/>
                <w:szCs w:val="20"/>
                <w:color w:val="auto"/>
              </w:rPr>
            </w:pPr>
            <w:r>
              <w:rPr>
                <w:rFonts w:ascii="Arial" w:cs="Arial" w:eastAsia="Arial" w:hAnsi="Arial"/>
                <w:sz w:val="16"/>
                <w:szCs w:val="16"/>
                <w:color w:val="auto"/>
              </w:rPr>
              <w:t>19.0 %</w:t>
            </w:r>
          </w:p>
        </w:tc>
        <w:tc>
          <w:tcPr>
            <w:tcW w:w="500" w:type="dxa"/>
            <w:vAlign w:val="bottom"/>
            <w:vMerge w:val="restart"/>
          </w:tcPr>
          <w:p>
            <w:pPr>
              <w:ind w:left="140"/>
              <w:spacing w:after="0"/>
              <w:rPr>
                <w:sz w:val="20"/>
                <w:szCs w:val="20"/>
                <w:color w:val="auto"/>
              </w:rPr>
            </w:pPr>
            <w:r>
              <w:rPr>
                <w:rFonts w:ascii="Arial" w:cs="Arial" w:eastAsia="Arial" w:hAnsi="Arial"/>
                <w:sz w:val="16"/>
                <w:szCs w:val="16"/>
                <w:color w:val="auto"/>
              </w:rPr>
              <w:t>18.7</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560" w:type="dxa"/>
            <w:vAlign w:val="bottom"/>
          </w:tcPr>
          <w:p>
            <w:pPr>
              <w:spacing w:after="0" w:line="125" w:lineRule="exact"/>
              <w:rPr>
                <w:sz w:val="20"/>
                <w:szCs w:val="20"/>
                <w:color w:val="auto"/>
              </w:rPr>
            </w:pPr>
            <w:r>
              <w:rPr>
                <w:rFonts w:ascii="Arial" w:cs="Arial" w:eastAsia="Arial" w:hAnsi="Arial"/>
                <w:sz w:val="11"/>
                <w:szCs w:val="11"/>
                <w:color w:val="auto"/>
              </w:rPr>
              <w:t>(1)</w:t>
            </w:r>
          </w:p>
        </w:tc>
        <w:tc>
          <w:tcPr>
            <w:tcW w:w="2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560" w:type="dxa"/>
            <w:vAlign w:val="bottom"/>
          </w:tcPr>
          <w:p>
            <w:pPr>
              <w:spacing w:after="0"/>
              <w:rPr>
                <w:sz w:val="20"/>
                <w:szCs w:val="20"/>
                <w:color w:val="auto"/>
              </w:rPr>
            </w:pPr>
            <w:r>
              <w:rPr>
                <w:rFonts w:ascii="Arial" w:cs="Arial" w:eastAsia="Arial" w:hAnsi="Arial"/>
                <w:sz w:val="16"/>
                <w:szCs w:val="16"/>
                <w:color w:val="auto"/>
              </w:rPr>
              <w:t>Adjusted Diluted</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560" w:type="dxa"/>
            <w:vAlign w:val="bottom"/>
          </w:tcPr>
          <w:p>
            <w:pPr>
              <w:spacing w:after="0"/>
              <w:rPr>
                <w:sz w:val="20"/>
                <w:szCs w:val="20"/>
                <w:color w:val="auto"/>
              </w:rPr>
            </w:pPr>
            <w:r>
              <w:rPr>
                <w:rFonts w:ascii="Arial" w:cs="Arial" w:eastAsia="Arial" w:hAnsi="Arial"/>
                <w:sz w:val="16"/>
                <w:szCs w:val="16"/>
                <w:color w:val="auto"/>
              </w:rPr>
              <w:t xml:space="preserve">EPS </w:t>
            </w:r>
            <w:r>
              <w:rPr>
                <w:rFonts w:ascii="Arial" w:cs="Arial" w:eastAsia="Arial" w:hAnsi="Arial"/>
                <w:sz w:val="21"/>
                <w:szCs w:val="21"/>
                <w:color w:val="auto"/>
                <w:vertAlign w:val="superscript"/>
              </w:rPr>
              <w:t>(1)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0.43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0.37</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16.2 %</w:t>
            </w:r>
          </w:p>
        </w:tc>
        <w:tc>
          <w:tcPr>
            <w:tcW w:w="500" w:type="dxa"/>
            <w:vAlign w:val="bottom"/>
          </w:tcPr>
          <w:p>
            <w:pPr>
              <w:ind w:left="140"/>
              <w:spacing w:after="0"/>
              <w:rPr>
                <w:sz w:val="20"/>
                <w:szCs w:val="20"/>
                <w:color w:val="auto"/>
              </w:rPr>
            </w:pPr>
            <w:r>
              <w:rPr>
                <w:rFonts w:ascii="Arial" w:cs="Arial" w:eastAsia="Arial" w:hAnsi="Arial"/>
                <w:sz w:val="16"/>
                <w:szCs w:val="16"/>
                <w:color w:val="auto"/>
              </w:rPr>
              <w:t>16.2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1" w:right="40" w:firstLine="1"/>
        <w:spacing w:after="0" w:line="239" w:lineRule="auto"/>
        <w:tabs>
          <w:tab w:leader="none" w:pos="188"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68" w:lineRule="exact"/>
        <w:rPr>
          <w:rFonts w:ascii="Arial" w:cs="Arial" w:eastAsia="Arial" w:hAnsi="Arial"/>
          <w:sz w:val="13"/>
          <w:szCs w:val="13"/>
          <w:color w:val="auto"/>
        </w:rPr>
      </w:pPr>
    </w:p>
    <w:p>
      <w:pPr>
        <w:ind w:left="199" w:hanging="199"/>
        <w:spacing w:after="0"/>
        <w:tabs>
          <w:tab w:leader="none" w:pos="19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Represents net income less net income attributable to non-controlling interests.</w:t>
      </w:r>
    </w:p>
    <w:p>
      <w:pPr>
        <w:sectPr>
          <w:pgSz w:w="11900" w:h="16838" w:orient="portrait"/>
          <w:cols w:equalWidth="0" w:num="2">
            <w:col w:w="5800" w:space="341"/>
            <w:col w:w="4839"/>
          </w:cols>
          <w:pgMar w:left="320" w:top="283" w:right="5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$142.9 million in the first quarter of 2021 increased 13.4% compared to prior year period (10.7% on a constant currency basis). Higher</w:t>
      </w:r>
      <w:r>
        <w:rPr>
          <w:rFonts w:ascii="Arial" w:cs="Arial" w:eastAsia="Arial" w:hAnsi="Arial"/>
          <w:sz w:val="16"/>
          <w:szCs w:val="16"/>
          <w:b w:val="1"/>
          <w:bCs w:val="1"/>
          <w:color w:val="auto"/>
        </w:rPr>
        <w:t xml:space="preserve"> </w:t>
      </w:r>
      <w:r>
        <w:rPr>
          <w:rFonts w:ascii="Arial" w:cs="Arial" w:eastAsia="Arial" w:hAnsi="Arial"/>
          <w:sz w:val="16"/>
          <w:szCs w:val="16"/>
          <w:color w:val="auto"/>
        </w:rPr>
        <w:t>global issuance and increased client adoption drove higher volumes in government bonds, mortgages and swaps. Government bond trading saw growth in execution via streams and session-based trading, while swaps saw growth in RFM List trading and Emerging Markets IRS.</w:t>
      </w:r>
    </w:p>
    <w:p>
      <w:pPr>
        <w:spacing w:after="0" w:line="199" w:lineRule="exact"/>
        <w:rPr>
          <w:sz w:val="20"/>
          <w:szCs w:val="20"/>
          <w:color w:val="auto"/>
        </w:rPr>
      </w:pPr>
    </w:p>
    <w:p>
      <w:pPr>
        <w:ind w:right="280"/>
        <w:spacing w:after="0" w:line="242"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$74.4 million in the first quarter of 2021 increased 37.8% compared to prior year period (35.0% on a constant currency basis). U.S.</w:t>
      </w:r>
      <w:r>
        <w:rPr>
          <w:rFonts w:ascii="Arial" w:cs="Arial" w:eastAsia="Arial" w:hAnsi="Arial"/>
          <w:sz w:val="16"/>
          <w:szCs w:val="16"/>
          <w:b w:val="1"/>
          <w:bCs w:val="1"/>
          <w:color w:val="auto"/>
        </w:rPr>
        <w:t xml:space="preserve"> </w:t>
      </w:r>
      <w:r>
        <w:rPr>
          <w:rFonts w:ascii="Arial" w:cs="Arial" w:eastAsia="Arial" w:hAnsi="Arial"/>
          <w:sz w:val="16"/>
          <w:szCs w:val="16"/>
          <w:color w:val="auto"/>
        </w:rPr>
        <w:t>and European corporate bond trading volumes grew to record levels. Corporate bond client activity was strong across trading protocols, most notably in global portfolio trading, as well as Tradeweb AllTrade with anonymous all-to-all and session-based trading being highlights. CDS volumes, which carry a lower fee per million than overall credit, decreased as volatility declined from unprecedented levels seen last year.</w:t>
      </w:r>
    </w:p>
    <w:p>
      <w:pPr>
        <w:spacing w:after="0" w:line="203" w:lineRule="exact"/>
        <w:rPr>
          <w:sz w:val="20"/>
          <w:szCs w:val="20"/>
          <w:color w:val="auto"/>
        </w:rPr>
      </w:pPr>
    </w:p>
    <w:p>
      <w:pPr>
        <w:ind w:right="480"/>
        <w:spacing w:after="0" w:line="248"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$18.9 million in the first quarter of 2021 decreased 2.9% compared to prior year period (7.1%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Continued growth in institutional equities driven by new client adoption and higher AiEX activity was more than offset by lower volumes and revenue in wholesale ETFs as lower equity market volatility weighed on overall activity.</w:t>
      </w:r>
    </w:p>
    <w:p>
      <w:pPr>
        <w:spacing w:after="0" w:line="19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$10.8 million in the first quarter of 2021 decreased 3.5% compared to prior year period (5.0% on a constant currency basis).</w:t>
      </w:r>
      <w:r>
        <w:rPr>
          <w:rFonts w:ascii="Arial" w:cs="Arial" w:eastAsia="Arial" w:hAnsi="Arial"/>
          <w:sz w:val="16"/>
          <w:szCs w:val="16"/>
          <w:b w:val="1"/>
          <w:bCs w:val="1"/>
          <w:color w:val="auto"/>
        </w:rPr>
        <w:t xml:space="preserve"> </w:t>
      </w:r>
      <w:r>
        <w:rPr>
          <w:rFonts w:ascii="Arial" w:cs="Arial" w:eastAsia="Arial" w:hAnsi="Arial"/>
          <w:sz w:val="16"/>
          <w:szCs w:val="16"/>
          <w:color w:val="auto"/>
        </w:rPr>
        <w:t>Growth in institutional repo driven by the addition of new dealers and participants was more than offset by continued pressure on retail money markets activity due to the low interest rate environment.</w:t>
      </w:r>
    </w:p>
    <w:p>
      <w:pPr>
        <w:spacing w:after="0" w:line="19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$20.0 million in the first quarter of 2021 increased 7.6% compared to prior year period (6.3% on a constant currency basis) due</w:t>
      </w:r>
      <w:r>
        <w:rPr>
          <w:rFonts w:ascii="Arial" w:cs="Arial" w:eastAsia="Arial" w:hAnsi="Arial"/>
          <w:sz w:val="16"/>
          <w:szCs w:val="16"/>
          <w:b w:val="1"/>
          <w:bCs w:val="1"/>
          <w:color w:val="auto"/>
        </w:rPr>
        <w:t xml:space="preserve"> </w:t>
      </w:r>
      <w:r>
        <w:rPr>
          <w:rFonts w:ascii="Arial" w:cs="Arial" w:eastAsia="Arial" w:hAnsi="Arial"/>
          <w:sz w:val="16"/>
          <w:szCs w:val="16"/>
          <w:color w:val="auto"/>
        </w:rPr>
        <w:t>to delivery of additional data under our market data license agreements with Refinitiv.</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$6.5 million in the first quarter of 2021 increased 19.8% compared to prior year period (19.8% on a constant currency basis).</w:t>
      </w:r>
    </w:p>
    <w:p>
      <w:pPr>
        <w:spacing w:after="0" w:line="235" w:lineRule="exact"/>
        <w:rPr>
          <w:sz w:val="20"/>
          <w:szCs w:val="20"/>
          <w:color w:val="auto"/>
        </w:rPr>
      </w:pPr>
    </w:p>
    <w:p>
      <w:pPr>
        <w:ind w:right="20"/>
        <w:spacing w:after="0"/>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$175.1 million in the first quarter of 2021 increased 11.5% compared to $157.0 million in the prior year period</w:t>
      </w:r>
      <w:r>
        <w:rPr>
          <w:rFonts w:ascii="Arial" w:cs="Arial" w:eastAsia="Arial" w:hAnsi="Arial"/>
          <w:sz w:val="16"/>
          <w:szCs w:val="16"/>
          <w:b w:val="1"/>
          <w:bCs w:val="1"/>
          <w:color w:val="auto"/>
        </w:rPr>
        <w:t xml:space="preserve"> </w:t>
      </w:r>
      <w:r>
        <w:rPr>
          <w:rFonts w:ascii="Arial" w:cs="Arial" w:eastAsia="Arial" w:hAnsi="Arial"/>
          <w:sz w:val="16"/>
          <w:szCs w:val="16"/>
          <w:color w:val="auto"/>
        </w:rPr>
        <w:t>due to: higher employee compensation and benefits expense; higher depreciation and amortization expense; and higher technology and communications expense. Adjusted Expenses of $142.7 million increased 13.4% (8.8% on a constant currency basis) compared to the prior year period due to: higher employee compensation and benefits expense associated with performance-related compensation and higher headcount to support growth; higher technology and communications expense; and the adverse impact of foreign exchange. Please see "Non-GAAP Financial Measures" below for additional information.</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First Quarter 2021</w:t>
      </w:r>
    </w:p>
    <w:p>
      <w:pPr>
        <w:spacing w:after="0" w:line="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Agreed to acquire Nasdaq’s U.S. fixed income electronic trading platform (formerly known as eSpeed) for $190 million in cash</w:t>
      </w:r>
    </w:p>
    <w:p>
      <w:pPr>
        <w:spacing w:after="0" w:line="5" w:lineRule="exact"/>
        <w:rPr>
          <w:rFonts w:ascii="Arial" w:cs="Arial" w:eastAsia="Arial" w:hAnsi="Arial"/>
          <w:sz w:val="16"/>
          <w:szCs w:val="16"/>
          <w:color w:val="auto"/>
        </w:rPr>
      </w:pPr>
    </w:p>
    <w:p>
      <w:pPr>
        <w:ind w:left="660" w:right="4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Launched Multi-Client Net Spotting, a new tool that significantly enhances how credit market participants access the U.S. Treasury market to hedge their risk</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first-ever fully electronic standardized total return swap trade based on IHS Markit’s iBoxx USD Liquid High Grade Index</w:t>
      </w:r>
    </w:p>
    <w:p>
      <w:pPr>
        <w:spacing w:after="0" w:line="5" w:lineRule="exact"/>
        <w:rPr>
          <w:rFonts w:ascii="Arial" w:cs="Arial" w:eastAsia="Arial" w:hAnsi="Arial"/>
          <w:sz w:val="16"/>
          <w:szCs w:val="16"/>
          <w:color w:val="auto"/>
        </w:rPr>
      </w:pPr>
    </w:p>
    <w:p>
      <w:pPr>
        <w:ind w:left="660" w:right="26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Appointed Von M. Hughes, Partner and Managing Director of PAAMCO Prisma, to the Board of Directors as an independent director and Murray Roos, Group Head of Capital Markets for London Stock Exchange Group, to the Board of Directors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Appointed James Sun as Managing Director, Head of Asia</w:t>
      </w:r>
    </w:p>
    <w:p>
      <w:pPr>
        <w:spacing w:after="0" w:line="5" w:lineRule="exact"/>
        <w:rPr>
          <w:rFonts w:ascii="Arial" w:cs="Arial" w:eastAsia="Arial" w:hAnsi="Arial"/>
          <w:sz w:val="16"/>
          <w:szCs w:val="16"/>
          <w:color w:val="auto"/>
        </w:rPr>
      </w:pPr>
    </w:p>
    <w:p>
      <w:pPr>
        <w:ind w:left="660" w:right="20" w:hanging="328"/>
        <w:spacing w:after="0" w:line="24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Recognized in numerous awards including: Impact Innovation Awards, Customer Experience – Portfolio Trading (Aite); Digital Initiative of the Year – AiEX (The TRADE); Best ETF Platform (ETF Express); Market Data Professional of the Year – Lisa Schirf (WatersTechnology); and Vendor Professional of the Year, Trading and Risk – Zara Pratley (WatersTechnology)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2021</w:t>
      </w:r>
    </w:p>
    <w:p>
      <w:pPr>
        <w:spacing w:after="0" w:line="12" w:lineRule="exact"/>
        <w:rPr>
          <w:sz w:val="20"/>
          <w:szCs w:val="20"/>
          <w:color w:val="auto"/>
        </w:rPr>
      </w:pPr>
    </w:p>
    <w:p>
      <w:pPr>
        <w:jc w:val="both"/>
        <w:ind w:left="660" w:right="360" w:hanging="328"/>
        <w:spacing w:after="0" w:line="248"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Joined the Climate Bonds Initiative’s Partners Program, a global movement seeking to mobilize bond markets for climate change solutions, and announced that Climate Bonds Initiative-screened Green bonds accounted for $79 billion of trading volume executed on Tradeweb in 2020, an increase of 65% over 2019 volumes</w:t>
      </w:r>
    </w:p>
    <w:p>
      <w:pPr>
        <w:spacing w:after="0" w:line="10" w:lineRule="exact"/>
        <w:rPr>
          <w:rFonts w:ascii="Arial" w:cs="Arial" w:eastAsia="Arial" w:hAnsi="Arial"/>
          <w:sz w:val="16"/>
          <w:szCs w:val="16"/>
          <w:color w:val="auto"/>
        </w:rPr>
      </w:pPr>
    </w:p>
    <w:p>
      <w:pPr>
        <w:ind w:left="660" w:right="180" w:hanging="328"/>
        <w:spacing w:after="0"/>
        <w:tabs>
          <w:tab w:leader="none" w:pos="655" w:val="left"/>
        </w:tabs>
        <w:numPr>
          <w:ilvl w:val="0"/>
          <w:numId w:val="4"/>
        </w:numPr>
        <w:rPr>
          <w:rFonts w:ascii="Arial" w:cs="Arial" w:eastAsia="Arial" w:hAnsi="Arial"/>
          <w:sz w:val="18"/>
          <w:szCs w:val="18"/>
          <w:color w:val="auto"/>
        </w:rPr>
      </w:pPr>
      <w:r>
        <w:rPr>
          <w:rFonts w:ascii="Arial" w:cs="Arial" w:eastAsia="Arial" w:hAnsi="Arial"/>
          <w:sz w:val="16"/>
          <w:szCs w:val="16"/>
          <w:color w:val="auto"/>
        </w:rPr>
        <w:t>Announced collaboration with Amazon Web Services to broaden access to Tradeweb U.S. Treasury and U.K. Gilt closing price data through AWS Data Exchange, making it easier to find, subscribe to, and use third-party data in the cloud</w:t>
      </w:r>
    </w:p>
    <w:p>
      <w:pPr>
        <w:ind w:left="660" w:right="5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Recognized in numerous awards including: Best Swap Execution Facility (WatersTechnology); Best Fixed Income Trading Platform (Markets Media); and Rising Star – Chika Nwafor (Markets Media)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3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$809.9 million in cash and cash equivalents and an undrawn $500 million credit facility at March 31, 2021</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$12.6 million</w:t>
      </w:r>
    </w:p>
    <w:p>
      <w:pPr>
        <w:spacing w:after="0" w:line="5" w:lineRule="exact"/>
        <w:rPr>
          <w:rFonts w:ascii="Arial" w:cs="Arial" w:eastAsia="Arial" w:hAnsi="Arial"/>
          <w:sz w:val="16"/>
          <w:szCs w:val="16"/>
          <w:color w:val="auto"/>
        </w:rPr>
      </w:pPr>
    </w:p>
    <w:p>
      <w:pPr>
        <w:ind w:left="660" w:right="720" w:hanging="328"/>
        <w:spacing w:after="0" w:line="24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March 31, 2021 of $473.8 million, up 78.3% year over year. See “Non-GAAP Financial Measures” for additional information</w:t>
      </w:r>
    </w:p>
    <w:p>
      <w:pPr>
        <w:ind w:left="660" w:right="440" w:hanging="328"/>
        <w:spacing w:after="0" w:line="26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Board of Directors of Tradeweb Markets Inc. declared a quarterly cash dividend of $0.08 per share of Class A common stock and Class B common stock. The </w:t>
      </w:r>
      <w:r>
        <w:rPr>
          <w:rFonts w:ascii="Arial" w:cs="Arial" w:eastAsia="Arial" w:hAnsi="Arial"/>
          <w:sz w:val="17"/>
          <w:szCs w:val="17"/>
          <w:color w:val="auto"/>
        </w:rPr>
        <w:t>dividend will be payable on June 15, 2021 to stockholders of record as of June 1, 2021</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4" w:right="339" w:bottom="1440" w:gutter="0" w:footer="0" w:header="0"/>
        </w:sectPr>
      </w:pPr>
    </w:p>
    <w:bookmarkStart w:id="5" w:name="page6"/>
    <w:bookmarkEnd w:id="5"/>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2021 Guidance*</w:t>
      </w:r>
    </w:p>
    <w:p>
      <w:pPr>
        <w:spacing w:after="0" w:line="13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Expenses: $530 - $560 million (upper half of range)</w:t>
      </w:r>
    </w:p>
    <w:p>
      <w:pPr>
        <w:spacing w:after="0" w:line="5" w:lineRule="exact"/>
        <w:rPr>
          <w:rFonts w:ascii="Arial" w:cs="Arial" w:eastAsia="Arial" w:hAnsi="Arial"/>
          <w:sz w:val="16"/>
          <w:szCs w:val="16"/>
          <w:color w:val="auto"/>
        </w:rPr>
      </w:pPr>
    </w:p>
    <w:p>
      <w:pPr>
        <w:ind w:left="1300" w:right="440" w:hanging="320"/>
        <w:spacing w:after="0" w:line="246" w:lineRule="auto"/>
        <w:tabs>
          <w:tab w:leader="none" w:pos="1290" w:val="left"/>
        </w:tabs>
        <w:numPr>
          <w:ilvl w:val="1"/>
          <w:numId w:val="6"/>
        </w:numPr>
        <w:rPr>
          <w:rFonts w:ascii="Arial" w:cs="Arial" w:eastAsia="Arial" w:hAnsi="Arial"/>
          <w:sz w:val="16"/>
          <w:szCs w:val="16"/>
          <w:color w:val="auto"/>
        </w:rPr>
      </w:pPr>
      <w:r>
        <w:rPr>
          <w:rFonts w:ascii="Arial" w:cs="Arial" w:eastAsia="Arial" w:hAnsi="Arial"/>
          <w:sz w:val="16"/>
          <w:szCs w:val="16"/>
          <w:color w:val="auto"/>
        </w:rPr>
        <w:t>Non-GAAP adjusted expense guidance does not include any expenses tied to our pending acquisition of Nasdaq’s U.S. fixed income electronic trading platform. We will update our guidance following the closing of the deal.</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$120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$45 - $50 million</w:t>
      </w:r>
    </w:p>
    <w:p>
      <w:pPr>
        <w:spacing w:after="0" w:line="237"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Tradeweb Markets will hold a conference call to discuss first quarter 2021 results starting at 9:30 AM EDT today, April 29, 2021. A live, audio webcast of the conference call along with related materials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passcode 3446984. After the conference call, an archived recording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000000"/>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$870 billion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60" w:type="dxa"/>
            <w:vAlign w:val="bottom"/>
            <w:gridSpan w:val="5"/>
          </w:tcPr>
          <w:p>
            <w:pPr>
              <w:jc w:val="right"/>
              <w:ind w:right="1008"/>
              <w:spacing w:after="0"/>
              <w:rPr>
                <w:sz w:val="20"/>
                <w:szCs w:val="20"/>
                <w:color w:val="auto"/>
              </w:rPr>
            </w:pPr>
            <w:r>
              <w:rPr>
                <w:rFonts w:ascii="Arial" w:cs="Arial" w:eastAsia="Arial" w:hAnsi="Arial"/>
                <w:sz w:val="14"/>
                <w:szCs w:val="14"/>
                <w:b w:val="1"/>
                <w:bCs w:val="1"/>
                <w:color w:val="auto"/>
              </w:rPr>
              <w:t>Quarter Ended March 31,</w:t>
            </w:r>
          </w:p>
        </w:tc>
      </w:tr>
      <w:tr>
        <w:trPr>
          <w:trHeight w:val="222"/>
        </w:trPr>
        <w:tc>
          <w:tcPr>
            <w:tcW w:w="7360" w:type="dxa"/>
            <w:vAlign w:val="bottom"/>
            <w:tcBorders>
              <w:bottom w:val="single" w:sz="8" w:color="D5DCE4"/>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D5DCE4"/>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216"/>
        </w:trPr>
        <w:tc>
          <w:tcPr>
            <w:tcW w:w="736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shd w:val="clear" w:color="auto" w:fill="D5DCE4"/>
          </w:tcPr>
          <w:p>
            <w:pPr>
              <w:spacing w:after="0"/>
              <w:rPr>
                <w:sz w:val="18"/>
                <w:szCs w:val="18"/>
                <w:color w:val="auto"/>
              </w:rPr>
            </w:pPr>
          </w:p>
        </w:tc>
        <w:tc>
          <w:tcPr>
            <w:tcW w:w="1740" w:type="dxa"/>
            <w:vAlign w:val="bottom"/>
            <w:gridSpan w:val="3"/>
            <w:shd w:val="clear" w:color="auto" w:fill="D5DCE4"/>
          </w:tcPr>
          <w:p>
            <w:pPr>
              <w:ind w:left="200"/>
              <w:spacing w:after="0"/>
              <w:rPr>
                <w:sz w:val="20"/>
                <w:szCs w:val="20"/>
                <w:color w:val="auto"/>
              </w:rPr>
            </w:pPr>
            <w:r>
              <w:rPr>
                <w:rFonts w:ascii="Arial" w:cs="Arial" w:eastAsia="Arial" w:hAnsi="Arial"/>
                <w:sz w:val="14"/>
                <w:szCs w:val="14"/>
                <w:color w:val="auto"/>
              </w:rPr>
              <w:t>(unaudited)</w:t>
            </w:r>
          </w:p>
        </w:tc>
        <w:tc>
          <w:tcPr>
            <w:tcW w:w="400" w:type="dxa"/>
            <w:vAlign w:val="bottom"/>
            <w:shd w:val="clear" w:color="auto" w:fill="D5DCE4"/>
          </w:tcPr>
          <w:p>
            <w:pPr>
              <w:spacing w:after="0"/>
              <w:rPr>
                <w:sz w:val="18"/>
                <w:szCs w:val="18"/>
                <w:color w:val="auto"/>
              </w:rPr>
            </w:pPr>
          </w:p>
        </w:tc>
        <w:tc>
          <w:tcPr>
            <w:tcW w:w="1320" w:type="dxa"/>
            <w:vAlign w:val="bottom"/>
            <w:shd w:val="clear" w:color="auto" w:fill="D5DCE4"/>
          </w:tcPr>
          <w:p>
            <w:pPr>
              <w:jc w:val="right"/>
              <w:ind w:right="308"/>
              <w:spacing w:after="0"/>
              <w:rPr>
                <w:sz w:val="20"/>
                <w:szCs w:val="20"/>
                <w:color w:val="auto"/>
              </w:rPr>
            </w:pPr>
            <w:r>
              <w:rPr>
                <w:rFonts w:ascii="Arial" w:cs="Arial" w:eastAsia="Arial" w:hAnsi="Arial"/>
                <w:sz w:val="14"/>
                <w:szCs w:val="14"/>
                <w:color w:val="auto"/>
              </w:rPr>
              <w:t>(unaudited)</w:t>
            </w:r>
          </w:p>
        </w:tc>
      </w:tr>
      <w:tr>
        <w:trPr>
          <w:trHeight w:val="210"/>
        </w:trPr>
        <w:tc>
          <w:tcPr>
            <w:tcW w:w="736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217,816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183,317</w:t>
            </w:r>
          </w:p>
        </w:tc>
      </w:tr>
      <w:tr>
        <w:trPr>
          <w:trHeight w:val="222"/>
        </w:trPr>
        <w:tc>
          <w:tcPr>
            <w:tcW w:w="73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Subscription fees</w:t>
            </w:r>
          </w:p>
        </w:tc>
        <w:tc>
          <w:tcPr>
            <w:tcW w:w="420" w:type="dxa"/>
            <w:vAlign w:val="bottom"/>
            <w:shd w:val="clear" w:color="auto" w:fill="D5DCE4"/>
          </w:tcPr>
          <w:p>
            <w:pPr>
              <w:spacing w:after="0"/>
              <w:rPr>
                <w:sz w:val="19"/>
                <w:szCs w:val="19"/>
                <w:color w:val="auto"/>
              </w:rPr>
            </w:pPr>
          </w:p>
        </w:tc>
        <w:tc>
          <w:tcPr>
            <w:tcW w:w="13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37,868</w:t>
            </w:r>
          </w:p>
        </w:tc>
        <w:tc>
          <w:tcPr>
            <w:tcW w:w="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34,483</w:t>
            </w:r>
          </w:p>
        </w:tc>
      </w:tr>
      <w:tr>
        <w:trPr>
          <w:trHeight w:val="210"/>
        </w:trPr>
        <w:tc>
          <w:tcPr>
            <w:tcW w:w="736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4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15,117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14,628</w:t>
            </w:r>
          </w:p>
        </w:tc>
      </w:tr>
      <w:tr>
        <w:trPr>
          <w:trHeight w:val="216"/>
        </w:trPr>
        <w:tc>
          <w:tcPr>
            <w:tcW w:w="73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2,598</w:t>
            </w:r>
          </w:p>
        </w:tc>
        <w:tc>
          <w:tcPr>
            <w:tcW w:w="3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2,178</w:t>
            </w:r>
          </w:p>
        </w:tc>
      </w:tr>
      <w:tr>
        <w:trPr>
          <w:trHeight w:val="209"/>
        </w:trPr>
        <w:tc>
          <w:tcPr>
            <w:tcW w:w="736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4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273,399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234,606</w:t>
            </w:r>
          </w:p>
        </w:tc>
      </w:tr>
      <w:tr>
        <w:trPr>
          <w:trHeight w:val="263"/>
        </w:trPr>
        <w:tc>
          <w:tcPr>
            <w:tcW w:w="7360" w:type="dxa"/>
            <w:vAlign w:val="bottom"/>
            <w:shd w:val="clear" w:color="auto" w:fill="D5DCE4"/>
          </w:tcPr>
          <w:p>
            <w:pPr>
              <w:spacing w:after="0"/>
              <w:rPr>
                <w:sz w:val="22"/>
                <w:szCs w:val="22"/>
                <w:color w:val="auto"/>
              </w:rPr>
            </w:pPr>
          </w:p>
        </w:tc>
        <w:tc>
          <w:tcPr>
            <w:tcW w:w="420" w:type="dxa"/>
            <w:vAlign w:val="bottom"/>
            <w:shd w:val="clear" w:color="auto" w:fill="D5DCE4"/>
          </w:tcPr>
          <w:p>
            <w:pPr>
              <w:spacing w:after="0"/>
              <w:rPr>
                <w:sz w:val="22"/>
                <w:szCs w:val="22"/>
                <w:color w:val="auto"/>
              </w:rPr>
            </w:pPr>
          </w:p>
        </w:tc>
        <w:tc>
          <w:tcPr>
            <w:tcW w:w="1320" w:type="dxa"/>
            <w:vAlign w:val="bottom"/>
            <w:shd w:val="clear" w:color="auto" w:fill="D5DCE4"/>
          </w:tcPr>
          <w:p>
            <w:pPr>
              <w:spacing w:after="0"/>
              <w:rPr>
                <w:sz w:val="22"/>
                <w:szCs w:val="22"/>
                <w:color w:val="auto"/>
              </w:rPr>
            </w:pPr>
          </w:p>
        </w:tc>
        <w:tc>
          <w:tcPr>
            <w:tcW w:w="340" w:type="dxa"/>
            <w:vAlign w:val="bottom"/>
            <w:shd w:val="clear" w:color="auto" w:fill="D5DCE4"/>
          </w:tcPr>
          <w:p>
            <w:pPr>
              <w:spacing w:after="0"/>
              <w:rPr>
                <w:sz w:val="22"/>
                <w:szCs w:val="22"/>
                <w:color w:val="auto"/>
              </w:rPr>
            </w:pPr>
          </w:p>
        </w:tc>
        <w:tc>
          <w:tcPr>
            <w:tcW w:w="80" w:type="dxa"/>
            <w:vAlign w:val="bottom"/>
            <w:shd w:val="clear" w:color="auto" w:fill="D5DCE4"/>
          </w:tcPr>
          <w:p>
            <w:pPr>
              <w:spacing w:after="0"/>
              <w:rPr>
                <w:sz w:val="22"/>
                <w:szCs w:val="22"/>
                <w:color w:val="auto"/>
              </w:rPr>
            </w:pPr>
          </w:p>
        </w:tc>
        <w:tc>
          <w:tcPr>
            <w:tcW w:w="400" w:type="dxa"/>
            <w:vAlign w:val="bottom"/>
            <w:shd w:val="clear" w:color="auto" w:fill="D5DCE4"/>
          </w:tcPr>
          <w:p>
            <w:pPr>
              <w:spacing w:after="0"/>
              <w:rPr>
                <w:sz w:val="22"/>
                <w:szCs w:val="22"/>
                <w:color w:val="auto"/>
              </w:rPr>
            </w:pPr>
          </w:p>
        </w:tc>
        <w:tc>
          <w:tcPr>
            <w:tcW w:w="1320" w:type="dxa"/>
            <w:vAlign w:val="bottom"/>
            <w:shd w:val="clear" w:color="auto" w:fill="D5DCE4"/>
          </w:tcPr>
          <w:p>
            <w:pPr>
              <w:spacing w:after="0"/>
              <w:rPr>
                <w:sz w:val="22"/>
                <w:szCs w:val="22"/>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73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Employee compensation and benefits</w:t>
            </w:r>
          </w:p>
        </w:tc>
        <w:tc>
          <w:tcPr>
            <w:tcW w:w="420" w:type="dxa"/>
            <w:vAlign w:val="bottom"/>
            <w:shd w:val="clear" w:color="auto" w:fill="D5DCE4"/>
          </w:tcPr>
          <w:p>
            <w:pPr>
              <w:spacing w:after="0"/>
              <w:rPr>
                <w:sz w:val="19"/>
                <w:szCs w:val="19"/>
                <w:color w:val="auto"/>
              </w:rPr>
            </w:pPr>
          </w:p>
        </w:tc>
        <w:tc>
          <w:tcPr>
            <w:tcW w:w="13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103,622</w:t>
            </w:r>
          </w:p>
        </w:tc>
        <w:tc>
          <w:tcPr>
            <w:tcW w:w="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90,520</w:t>
            </w:r>
          </w:p>
        </w:tc>
      </w:tr>
      <w:tr>
        <w:trPr>
          <w:trHeight w:val="210"/>
        </w:trPr>
        <w:tc>
          <w:tcPr>
            <w:tcW w:w="73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40,966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37,176</w:t>
            </w:r>
          </w:p>
        </w:tc>
      </w:tr>
      <w:tr>
        <w:trPr>
          <w:trHeight w:val="222"/>
        </w:trPr>
        <w:tc>
          <w:tcPr>
            <w:tcW w:w="73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Technology and communications</w:t>
            </w:r>
          </w:p>
        </w:tc>
        <w:tc>
          <w:tcPr>
            <w:tcW w:w="420" w:type="dxa"/>
            <w:vAlign w:val="bottom"/>
            <w:shd w:val="clear" w:color="auto" w:fill="D5DCE4"/>
          </w:tcPr>
          <w:p>
            <w:pPr>
              <w:spacing w:after="0"/>
              <w:rPr>
                <w:sz w:val="19"/>
                <w:szCs w:val="19"/>
                <w:color w:val="auto"/>
              </w:rPr>
            </w:pPr>
          </w:p>
        </w:tc>
        <w:tc>
          <w:tcPr>
            <w:tcW w:w="13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13,544</w:t>
            </w:r>
          </w:p>
        </w:tc>
        <w:tc>
          <w:tcPr>
            <w:tcW w:w="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10,318</w:t>
            </w:r>
          </w:p>
        </w:tc>
      </w:tr>
      <w:tr>
        <w:trPr>
          <w:trHeight w:val="210"/>
        </w:trPr>
        <w:tc>
          <w:tcPr>
            <w:tcW w:w="736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4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3,459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8,340</w:t>
            </w:r>
          </w:p>
        </w:tc>
      </w:tr>
      <w:tr>
        <w:trPr>
          <w:trHeight w:val="222"/>
        </w:trPr>
        <w:tc>
          <w:tcPr>
            <w:tcW w:w="73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Professional fees</w:t>
            </w:r>
          </w:p>
        </w:tc>
        <w:tc>
          <w:tcPr>
            <w:tcW w:w="420" w:type="dxa"/>
            <w:vAlign w:val="bottom"/>
            <w:shd w:val="clear" w:color="auto" w:fill="D5DCE4"/>
          </w:tcPr>
          <w:p>
            <w:pPr>
              <w:spacing w:after="0"/>
              <w:rPr>
                <w:sz w:val="19"/>
                <w:szCs w:val="19"/>
                <w:color w:val="auto"/>
              </w:rPr>
            </w:pPr>
          </w:p>
        </w:tc>
        <w:tc>
          <w:tcPr>
            <w:tcW w:w="13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9,728</w:t>
            </w:r>
          </w:p>
        </w:tc>
        <w:tc>
          <w:tcPr>
            <w:tcW w:w="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6,911</w:t>
            </w:r>
          </w:p>
        </w:tc>
      </w:tr>
      <w:tr>
        <w:trPr>
          <w:trHeight w:val="210"/>
        </w:trPr>
        <w:tc>
          <w:tcPr>
            <w:tcW w:w="7360" w:type="dxa"/>
            <w:vAlign w:val="bottom"/>
            <w:tcBorders>
              <w:bottom w:val="single" w:sz="8" w:color="D5DCE4"/>
            </w:tcBorders>
          </w:tcPr>
          <w:p>
            <w:pPr>
              <w:ind w:left="140"/>
              <w:spacing w:after="0"/>
              <w:rPr>
                <w:sz w:val="20"/>
                <w:szCs w:val="20"/>
                <w:color w:val="auto"/>
              </w:rPr>
            </w:pPr>
            <w:r>
              <w:rPr>
                <w:rFonts w:ascii="Arial" w:cs="Arial" w:eastAsia="Arial" w:hAnsi="Arial"/>
                <w:sz w:val="14"/>
                <w:szCs w:val="14"/>
                <w:color w:val="auto"/>
              </w:rPr>
              <w:t>Occupancy</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3,753</w:t>
            </w:r>
          </w:p>
        </w:tc>
        <w:tc>
          <w:tcPr>
            <w:tcW w:w="34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3,726</w:t>
            </w:r>
          </w:p>
        </w:tc>
      </w:tr>
      <w:tr>
        <w:trPr>
          <w:trHeight w:val="210"/>
        </w:trPr>
        <w:tc>
          <w:tcPr>
            <w:tcW w:w="7360" w:type="dxa"/>
            <w:vAlign w:val="bottom"/>
            <w:shd w:val="clear" w:color="auto" w:fill="D5DCE4"/>
          </w:tcPr>
          <w:p>
            <w:pPr>
              <w:ind w:left="220"/>
              <w:spacing w:after="0"/>
              <w:rPr>
                <w:sz w:val="20"/>
                <w:szCs w:val="20"/>
                <w:color w:val="auto"/>
              </w:rPr>
            </w:pPr>
            <w:r>
              <w:rPr>
                <w:rFonts w:ascii="Arial" w:cs="Arial" w:eastAsia="Arial" w:hAnsi="Arial"/>
                <w:sz w:val="14"/>
                <w:szCs w:val="14"/>
                <w:b w:val="1"/>
                <w:bCs w:val="1"/>
                <w:color w:val="auto"/>
              </w:rPr>
              <w:t>Total expenses</w:t>
            </w:r>
          </w:p>
        </w:tc>
        <w:tc>
          <w:tcPr>
            <w:tcW w:w="42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175,072</w:t>
            </w:r>
          </w:p>
        </w:tc>
        <w:tc>
          <w:tcPr>
            <w:tcW w:w="3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156,991</w:t>
            </w:r>
          </w:p>
        </w:tc>
      </w:tr>
      <w:tr>
        <w:trPr>
          <w:trHeight w:val="209"/>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4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98,327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77,615</w:t>
            </w:r>
          </w:p>
        </w:tc>
      </w:tr>
      <w:tr>
        <w:trPr>
          <w:trHeight w:val="216"/>
        </w:trPr>
        <w:tc>
          <w:tcPr>
            <w:tcW w:w="73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Net interest income (expense)</w:t>
            </w:r>
          </w:p>
        </w:tc>
        <w:tc>
          <w:tcPr>
            <w:tcW w:w="42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(493)</w:t>
            </w:r>
          </w:p>
        </w:tc>
        <w:tc>
          <w:tcPr>
            <w:tcW w:w="3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699</w:t>
            </w:r>
          </w:p>
        </w:tc>
      </w:tr>
      <w:tr>
        <w:trPr>
          <w:trHeight w:val="210"/>
        </w:trPr>
        <w:tc>
          <w:tcPr>
            <w:tcW w:w="7360" w:type="dxa"/>
            <w:vAlign w:val="bottom"/>
            <w:tcBorders>
              <w:bottom w:val="single" w:sz="8" w:color="D5DCE4"/>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97,834</w:t>
            </w:r>
          </w:p>
        </w:tc>
        <w:tc>
          <w:tcPr>
            <w:tcW w:w="340" w:type="dxa"/>
            <w:vAlign w:val="bottom"/>
            <w:tcBorders>
              <w:bottom w:val="single" w:sz="8" w:color="D5DCE4"/>
            </w:tcBorders>
          </w:tcPr>
          <w:p>
            <w:pPr>
              <w:spacing w:after="0"/>
              <w:rPr>
                <w:sz w:val="18"/>
                <w:szCs w:val="18"/>
                <w:color w:val="auto"/>
              </w:rPr>
            </w:pPr>
          </w:p>
        </w:tc>
        <w:tc>
          <w:tcPr>
            <w:tcW w:w="80" w:type="dxa"/>
            <w:vAlign w:val="bottom"/>
            <w:tcBorders>
              <w:bottom w:val="single" w:sz="8" w:color="D5DCE4"/>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78,314</w:t>
            </w:r>
          </w:p>
        </w:tc>
      </w:tr>
      <w:tr>
        <w:trPr>
          <w:trHeight w:val="209"/>
        </w:trPr>
        <w:tc>
          <w:tcPr>
            <w:tcW w:w="7360" w:type="dxa"/>
            <w:vAlign w:val="bottom"/>
            <w:shd w:val="clear" w:color="auto" w:fill="D5DCE4"/>
          </w:tcPr>
          <w:p>
            <w:pPr>
              <w:ind w:left="20"/>
              <w:spacing w:after="0"/>
              <w:rPr>
                <w:sz w:val="20"/>
                <w:szCs w:val="20"/>
                <w:color w:val="auto"/>
              </w:rPr>
            </w:pPr>
            <w:r>
              <w:rPr>
                <w:rFonts w:ascii="Arial" w:cs="Arial" w:eastAsia="Arial" w:hAnsi="Arial"/>
                <w:sz w:val="14"/>
                <w:szCs w:val="14"/>
                <w:color w:val="auto"/>
              </w:rPr>
              <w:t>Provision for income taxes</w:t>
            </w:r>
          </w:p>
        </w:tc>
        <w:tc>
          <w:tcPr>
            <w:tcW w:w="42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(16,269)</w:t>
            </w:r>
          </w:p>
        </w:tc>
        <w:tc>
          <w:tcPr>
            <w:tcW w:w="3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(15,829)</w:t>
            </w:r>
          </w:p>
        </w:tc>
      </w:tr>
      <w:tr>
        <w:trPr>
          <w:trHeight w:val="209"/>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4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81,565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62,485</w:t>
            </w:r>
          </w:p>
        </w:tc>
      </w:tr>
      <w:tr>
        <w:trPr>
          <w:trHeight w:val="216"/>
        </w:trPr>
        <w:tc>
          <w:tcPr>
            <w:tcW w:w="7360" w:type="dxa"/>
            <w:vAlign w:val="bottom"/>
            <w:shd w:val="clear" w:color="auto" w:fill="D5DCE4"/>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42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13,706</w:t>
            </w:r>
          </w:p>
        </w:tc>
        <w:tc>
          <w:tcPr>
            <w:tcW w:w="3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18,557</w:t>
            </w:r>
          </w:p>
        </w:tc>
      </w:tr>
      <w:tr>
        <w:trPr>
          <w:trHeight w:val="215"/>
        </w:trPr>
        <w:tc>
          <w:tcPr>
            <w:tcW w:w="73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67,859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43,928</w:t>
            </w:r>
          </w:p>
        </w:tc>
      </w:tr>
      <w:tr>
        <w:trPr>
          <w:trHeight w:val="20"/>
        </w:trPr>
        <w:tc>
          <w:tcPr>
            <w:tcW w:w="736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7360" w:type="dxa"/>
            <w:vAlign w:val="bottom"/>
            <w:shd w:val="clear" w:color="auto" w:fill="D5DCE4"/>
          </w:tcPr>
          <w:p>
            <w:pPr>
              <w:spacing w:after="0"/>
              <w:rPr>
                <w:sz w:val="19"/>
                <w:szCs w:val="19"/>
                <w:color w:val="auto"/>
              </w:rPr>
            </w:pPr>
          </w:p>
        </w:tc>
        <w:tc>
          <w:tcPr>
            <w:tcW w:w="420" w:type="dxa"/>
            <w:vAlign w:val="bottom"/>
            <w:shd w:val="clear" w:color="auto" w:fill="D5DCE4"/>
          </w:tcPr>
          <w:p>
            <w:pPr>
              <w:spacing w:after="0"/>
              <w:rPr>
                <w:sz w:val="19"/>
                <w:szCs w:val="19"/>
                <w:color w:val="auto"/>
              </w:rPr>
            </w:pPr>
          </w:p>
        </w:tc>
        <w:tc>
          <w:tcPr>
            <w:tcW w:w="1320" w:type="dxa"/>
            <w:vAlign w:val="bottom"/>
            <w:shd w:val="clear" w:color="auto" w:fill="D5DCE4"/>
          </w:tcPr>
          <w:p>
            <w:pPr>
              <w:spacing w:after="0"/>
              <w:rPr>
                <w:sz w:val="19"/>
                <w:szCs w:val="19"/>
                <w:color w:val="auto"/>
              </w:rPr>
            </w:pPr>
          </w:p>
        </w:tc>
        <w:tc>
          <w:tcPr>
            <w:tcW w:w="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320" w:type="dxa"/>
            <w:vAlign w:val="bottom"/>
            <w:shd w:val="clear" w:color="auto" w:fill="D5DCE4"/>
          </w:tcPr>
          <w:p>
            <w:pPr>
              <w:spacing w:after="0"/>
              <w:rPr>
                <w:sz w:val="19"/>
                <w:szCs w:val="19"/>
                <w:color w:val="auto"/>
              </w:rPr>
            </w:pPr>
          </w:p>
        </w:tc>
      </w:tr>
      <w:tr>
        <w:trPr>
          <w:trHeight w:val="210"/>
        </w:trPr>
        <w:tc>
          <w:tcPr>
            <w:tcW w:w="7360" w:type="dxa"/>
            <w:vAlign w:val="bottom"/>
          </w:tcPr>
          <w:p>
            <w:pPr>
              <w:ind w:left="20"/>
              <w:spacing w:after="0"/>
              <w:rPr>
                <w:sz w:val="20"/>
                <w:szCs w:val="20"/>
                <w:color w:val="auto"/>
              </w:rPr>
            </w:pPr>
            <w:r>
              <w:rPr>
                <w:rFonts w:ascii="Arial" w:cs="Arial" w:eastAsia="Arial" w:hAnsi="Arial"/>
                <w:sz w:val="14"/>
                <w:szCs w:val="14"/>
                <w:color w:val="auto"/>
              </w:rPr>
              <w:t>Earnings per share attributable to Tradeweb Markets Inc. Class A and B common stockholders:</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36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4"/>
                <w:szCs w:val="14"/>
                <w:color w:val="auto"/>
              </w:rPr>
              <w:t>Basic</w:t>
            </w:r>
          </w:p>
        </w:tc>
        <w:tc>
          <w:tcPr>
            <w:tcW w:w="420" w:type="dxa"/>
            <w:vAlign w:val="bottom"/>
            <w:tcBorders>
              <w:bottom w:val="single" w:sz="8" w:color="auto"/>
            </w:tcBorders>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0.34</w:t>
            </w:r>
          </w:p>
        </w:tc>
        <w:tc>
          <w:tcPr>
            <w:tcW w:w="340" w:type="dxa"/>
            <w:vAlign w:val="bottom"/>
            <w:tcBorders>
              <w:bottom w:val="single" w:sz="8" w:color="D5DCE4"/>
            </w:tcBorders>
            <w:shd w:val="clear" w:color="auto" w:fill="D5DCE4"/>
          </w:tcPr>
          <w:p>
            <w:pPr>
              <w:spacing w:after="0"/>
              <w:rPr>
                <w:sz w:val="18"/>
                <w:szCs w:val="18"/>
                <w:color w:val="auto"/>
              </w:rPr>
            </w:pPr>
          </w:p>
        </w:tc>
        <w:tc>
          <w:tcPr>
            <w:tcW w:w="80" w:type="dxa"/>
            <w:vAlign w:val="bottom"/>
            <w:tcBorders>
              <w:bottom w:val="single" w:sz="8" w:color="D5DCE4"/>
            </w:tcBorders>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0.26</w:t>
            </w:r>
          </w:p>
        </w:tc>
      </w:tr>
      <w:tr>
        <w:trPr>
          <w:trHeight w:val="20"/>
        </w:trPr>
        <w:tc>
          <w:tcPr>
            <w:tcW w:w="736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c>
          <w:tcPr>
            <w:tcW w:w="34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r>
      <w:tr>
        <w:trPr>
          <w:trHeight w:val="190"/>
        </w:trPr>
        <w:tc>
          <w:tcPr>
            <w:tcW w:w="7360" w:type="dxa"/>
            <w:vAlign w:val="bottom"/>
          </w:tcPr>
          <w:p>
            <w:pPr>
              <w:ind w:left="140"/>
              <w:spacing w:after="0"/>
              <w:rPr>
                <w:sz w:val="20"/>
                <w:szCs w:val="20"/>
                <w:color w:val="auto"/>
              </w:rPr>
            </w:pPr>
            <w:r>
              <w:rPr>
                <w:rFonts w:ascii="Arial" w:cs="Arial" w:eastAsia="Arial" w:hAnsi="Arial"/>
                <w:sz w:val="14"/>
                <w:szCs w:val="14"/>
                <w:color w:val="auto"/>
              </w:rPr>
              <w:t>Diluted</w:t>
            </w:r>
          </w:p>
        </w:tc>
        <w:tc>
          <w:tcPr>
            <w:tcW w:w="4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0.33</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r>
      <w:tr>
        <w:trPr>
          <w:trHeight w:val="20"/>
        </w:trPr>
        <w:tc>
          <w:tcPr>
            <w:tcW w:w="7360" w:type="dxa"/>
            <w:vAlign w:val="bottom"/>
            <w:tcBorders>
              <w:bottom w:val="single" w:sz="8" w:color="D5DCE4"/>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7360" w:type="dxa"/>
            <w:vAlign w:val="bottom"/>
            <w:shd w:val="clear" w:color="auto" w:fill="D5DCE4"/>
          </w:tcPr>
          <w:p>
            <w:pPr>
              <w:ind w:left="20"/>
              <w:spacing w:after="0"/>
              <w:rPr>
                <w:sz w:val="20"/>
                <w:szCs w:val="20"/>
                <w:color w:val="auto"/>
              </w:rPr>
            </w:pPr>
            <w:r>
              <w:rPr>
                <w:rFonts w:ascii="Arial" w:cs="Arial" w:eastAsia="Arial" w:hAnsi="Arial"/>
                <w:sz w:val="14"/>
                <w:szCs w:val="14"/>
                <w:color w:val="auto"/>
              </w:rPr>
              <w:t>Weighted average shares outstanding:</w:t>
            </w:r>
          </w:p>
        </w:tc>
        <w:tc>
          <w:tcPr>
            <w:tcW w:w="420" w:type="dxa"/>
            <w:vAlign w:val="bottom"/>
            <w:shd w:val="clear" w:color="auto" w:fill="D5DCE4"/>
          </w:tcPr>
          <w:p>
            <w:pPr>
              <w:spacing w:after="0"/>
              <w:rPr>
                <w:sz w:val="15"/>
                <w:szCs w:val="15"/>
                <w:color w:val="auto"/>
              </w:rPr>
            </w:pPr>
          </w:p>
        </w:tc>
        <w:tc>
          <w:tcPr>
            <w:tcW w:w="1320" w:type="dxa"/>
            <w:vAlign w:val="bottom"/>
            <w:shd w:val="clear" w:color="auto" w:fill="D5DCE4"/>
          </w:tcPr>
          <w:p>
            <w:pPr>
              <w:spacing w:after="0"/>
              <w:rPr>
                <w:sz w:val="15"/>
                <w:szCs w:val="15"/>
                <w:color w:val="auto"/>
              </w:rPr>
            </w:pPr>
          </w:p>
        </w:tc>
        <w:tc>
          <w:tcPr>
            <w:tcW w:w="34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00" w:type="dxa"/>
            <w:vAlign w:val="bottom"/>
            <w:shd w:val="clear" w:color="auto" w:fill="D5DCE4"/>
          </w:tcPr>
          <w:p>
            <w:pPr>
              <w:spacing w:after="0"/>
              <w:rPr>
                <w:sz w:val="15"/>
                <w:szCs w:val="15"/>
                <w:color w:val="auto"/>
              </w:rPr>
            </w:pPr>
          </w:p>
        </w:tc>
        <w:tc>
          <w:tcPr>
            <w:tcW w:w="1320" w:type="dxa"/>
            <w:vAlign w:val="bottom"/>
            <w:shd w:val="clear" w:color="auto" w:fill="D5DCE4"/>
          </w:tcPr>
          <w:p>
            <w:pPr>
              <w:spacing w:after="0"/>
              <w:rPr>
                <w:sz w:val="15"/>
                <w:szCs w:val="15"/>
                <w:color w:val="auto"/>
              </w:rPr>
            </w:pPr>
          </w:p>
        </w:tc>
      </w:tr>
      <w:tr>
        <w:trPr>
          <w:trHeight w:val="210"/>
        </w:trPr>
        <w:tc>
          <w:tcPr>
            <w:tcW w:w="7360" w:type="dxa"/>
            <w:vAlign w:val="bottom"/>
          </w:tcPr>
          <w:p>
            <w:pPr>
              <w:ind w:left="140"/>
              <w:spacing w:after="0"/>
              <w:rPr>
                <w:sz w:val="20"/>
                <w:szCs w:val="20"/>
                <w:color w:val="auto"/>
              </w:rPr>
            </w:pPr>
            <w:r>
              <w:rPr>
                <w:rFonts w:ascii="Arial" w:cs="Arial" w:eastAsia="Arial" w:hAnsi="Arial"/>
                <w:sz w:val="14"/>
                <w:szCs w:val="14"/>
                <w:color w:val="auto"/>
              </w:rPr>
              <w:t>Basic</w:t>
            </w:r>
          </w:p>
        </w:tc>
        <w:tc>
          <w:tcPr>
            <w:tcW w:w="4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199,064,607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166,234,749</w:t>
            </w:r>
          </w:p>
        </w:tc>
      </w:tr>
      <w:tr>
        <w:trPr>
          <w:trHeight w:val="222"/>
        </w:trPr>
        <w:tc>
          <w:tcPr>
            <w:tcW w:w="7360" w:type="dxa"/>
            <w:vAlign w:val="bottom"/>
            <w:shd w:val="clear" w:color="auto" w:fill="D5DCE4"/>
          </w:tcPr>
          <w:p>
            <w:pPr>
              <w:ind w:left="140"/>
              <w:spacing w:after="0"/>
              <w:rPr>
                <w:sz w:val="20"/>
                <w:szCs w:val="20"/>
                <w:color w:val="auto"/>
              </w:rPr>
            </w:pPr>
            <w:r>
              <w:rPr>
                <w:rFonts w:ascii="Arial" w:cs="Arial" w:eastAsia="Arial" w:hAnsi="Arial"/>
                <w:sz w:val="14"/>
                <w:szCs w:val="14"/>
                <w:color w:val="auto"/>
              </w:rPr>
              <w:t>Diluted</w:t>
            </w:r>
          </w:p>
        </w:tc>
        <w:tc>
          <w:tcPr>
            <w:tcW w:w="420" w:type="dxa"/>
            <w:vAlign w:val="bottom"/>
            <w:shd w:val="clear" w:color="auto" w:fill="D5DCE4"/>
          </w:tcPr>
          <w:p>
            <w:pPr>
              <w:spacing w:after="0"/>
              <w:rPr>
                <w:sz w:val="19"/>
                <w:szCs w:val="19"/>
                <w:color w:val="auto"/>
              </w:rPr>
            </w:pPr>
          </w:p>
        </w:tc>
        <w:tc>
          <w:tcPr>
            <w:tcW w:w="13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205,028,717</w:t>
            </w:r>
          </w:p>
        </w:tc>
        <w:tc>
          <w:tcPr>
            <w:tcW w:w="3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174,517,244</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120" w:lineRule="exact"/>
        <w:rPr>
          <w:sz w:val="20"/>
          <w:szCs w:val="20"/>
          <w:color w:val="auto"/>
        </w:rPr>
      </w:pPr>
    </w:p>
    <w:p>
      <w:pPr>
        <w:ind w:left="20" w:right="500"/>
        <w:spacing w:after="0" w:line="286"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663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20"/>
        <w:spacing w:after="0"/>
        <w:rPr>
          <w:sz w:val="20"/>
          <w:szCs w:val="20"/>
          <w:color w:val="auto"/>
        </w:rPr>
      </w:pPr>
      <w:r>
        <w:rPr>
          <w:rFonts w:ascii="Arial" w:cs="Arial" w:eastAsia="Arial" w:hAnsi="Arial"/>
          <w:sz w:val="16"/>
          <w:szCs w:val="16"/>
          <w:b w:val="1"/>
          <w:bCs w:val="1"/>
          <w:color w:val="auto"/>
        </w:rPr>
        <w:t>Quarter Ended March 31,</w:t>
      </w:r>
    </w:p>
    <w:p>
      <w:pPr>
        <w:spacing w:after="0" w:line="86"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31750</wp:posOffset>
            </wp:positionV>
            <wp:extent cx="23488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(dollars in thousands)</w:t>
      </w:r>
    </w:p>
    <w:p>
      <w:pPr>
        <w:spacing w:after="0" w:line="51" w:lineRule="exact"/>
        <w:rPr>
          <w:sz w:val="20"/>
          <w:szCs w:val="20"/>
          <w:color w:val="auto"/>
        </w:rPr>
      </w:pPr>
    </w:p>
    <w:p>
      <w:pPr>
        <w:sectPr>
          <w:pgSz w:w="11900" w:h="16838" w:orient="portrait"/>
          <w:cols w:equalWidth="0" w:num="2">
            <w:col w:w="7540" w:space="720"/>
            <w:col w:w="2980"/>
          </w:cols>
          <w:pgMar w:left="320" w:top="688" w:right="339" w:bottom="1440" w:gutter="0" w:footer="0" w:header="0"/>
        </w:sectPr>
      </w:pPr>
    </w:p>
    <w:tbl>
      <w:tblPr>
        <w:tblLayout w:type="fixed"/>
        <w:tblInd w:w="0" w:type="dxa"/>
        <w:tblCellMar>
          <w:top w:w="0" w:type="dxa"/>
          <w:left w:w="0" w:type="dxa"/>
          <w:bottom w:w="0" w:type="dxa"/>
          <w:right w:w="0" w:type="dxa"/>
        </w:tblCellMar>
      </w:tblPr>
      <w:tr>
        <w:trPr>
          <w:trHeight w:val="243"/>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81,565</w:t>
            </w:r>
          </w:p>
        </w:tc>
        <w:tc>
          <w:tcPr>
            <w:tcW w:w="100" w:type="dxa"/>
            <w:vAlign w:val="bottom"/>
            <w:shd w:val="clear" w:color="auto" w:fill="D5DCE4"/>
          </w:tcPr>
          <w:p>
            <w:pPr>
              <w:spacing w:after="0"/>
              <w:rPr>
                <w:sz w:val="21"/>
                <w:szCs w:val="21"/>
                <w:color w:val="auto"/>
              </w:rPr>
            </w:pPr>
          </w:p>
        </w:tc>
        <w:tc>
          <w:tcPr>
            <w:tcW w:w="56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62,485</w:t>
            </w:r>
          </w:p>
        </w:tc>
      </w:tr>
      <w:tr>
        <w:trPr>
          <w:trHeight w:val="243"/>
        </w:trPr>
        <w:tc>
          <w:tcPr>
            <w:tcW w:w="7540" w:type="dxa"/>
            <w:vAlign w:val="bottom"/>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56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3"/>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560" w:type="dxa"/>
            <w:vAlign w:val="bottom"/>
            <w:shd w:val="clear" w:color="auto" w:fill="D5DCE4"/>
          </w:tcPr>
          <w:p>
            <w:pPr>
              <w:spacing w:after="0"/>
              <w:rPr>
                <w:sz w:val="21"/>
                <w:szCs w:val="21"/>
                <w:color w:val="auto"/>
              </w:rPr>
            </w:pPr>
          </w:p>
        </w:tc>
        <w:tc>
          <w:tcPr>
            <w:tcW w:w="12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2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(699)</w:t>
            </w:r>
          </w:p>
        </w:tc>
      </w:tr>
      <w:tr>
        <w:trPr>
          <w:trHeight w:val="233"/>
        </w:trPr>
        <w:tc>
          <w:tcPr>
            <w:tcW w:w="754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40,966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37,176</w:t>
            </w:r>
          </w:p>
        </w:tc>
      </w:tr>
      <w:tr>
        <w:trPr>
          <w:trHeight w:val="253"/>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560" w:type="dxa"/>
            <w:vAlign w:val="bottom"/>
            <w:shd w:val="clear" w:color="auto" w:fill="D5DCE4"/>
          </w:tcPr>
          <w:p>
            <w:pPr>
              <w:spacing w:after="0"/>
              <w:rPr>
                <w:sz w:val="21"/>
                <w:szCs w:val="21"/>
                <w:color w:val="auto"/>
              </w:rPr>
            </w:pPr>
          </w:p>
        </w:tc>
        <w:tc>
          <w:tcPr>
            <w:tcW w:w="12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6,383</w:t>
            </w:r>
          </w:p>
        </w:tc>
        <w:tc>
          <w:tcPr>
            <w:tcW w:w="1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2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3,497</w:t>
            </w:r>
          </w:p>
        </w:tc>
      </w:tr>
      <w:tr>
        <w:trPr>
          <w:trHeight w:val="233"/>
        </w:trPr>
        <w:tc>
          <w:tcPr>
            <w:tcW w:w="75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56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16,269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15,829</w:t>
            </w:r>
          </w:p>
        </w:tc>
      </w:tr>
      <w:tr>
        <w:trPr>
          <w:trHeight w:val="253"/>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(gains)/losses </w:t>
            </w:r>
            <w:r>
              <w:rPr>
                <w:rFonts w:ascii="Arial" w:cs="Arial" w:eastAsia="Arial" w:hAnsi="Arial"/>
                <w:sz w:val="21"/>
                <w:szCs w:val="21"/>
                <w:color w:val="auto"/>
                <w:vertAlign w:val="superscript"/>
              </w:rPr>
              <w:t>(3)</w:t>
            </w:r>
          </w:p>
        </w:tc>
        <w:tc>
          <w:tcPr>
            <w:tcW w:w="560" w:type="dxa"/>
            <w:vAlign w:val="bottom"/>
            <w:shd w:val="clear" w:color="auto" w:fill="D5DCE4"/>
          </w:tcPr>
          <w:p>
            <w:pPr>
              <w:spacing w:after="0"/>
              <w:rPr>
                <w:sz w:val="21"/>
                <w:szCs w:val="21"/>
                <w:color w:val="auto"/>
              </w:rPr>
            </w:pPr>
          </w:p>
        </w:tc>
        <w:tc>
          <w:tcPr>
            <w:tcW w:w="12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(5,353)</w:t>
            </w:r>
          </w:p>
        </w:tc>
        <w:tc>
          <w:tcPr>
            <w:tcW w:w="1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12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1,362</w:t>
            </w:r>
          </w:p>
        </w:tc>
      </w:tr>
      <w:tr>
        <w:trPr>
          <w:trHeight w:val="243"/>
        </w:trPr>
        <w:tc>
          <w:tcPr>
            <w:tcW w:w="754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56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61"/>
        </w:trPr>
        <w:tc>
          <w:tcPr>
            <w:tcW w:w="7540" w:type="dxa"/>
            <w:vAlign w:val="bottom"/>
            <w:tcBorders>
              <w:top w:val="single" w:sz="8" w:color="D5DCE4"/>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560" w:type="dxa"/>
            <w:vAlign w:val="bottom"/>
            <w:tcBorders>
              <w:top w:val="single" w:sz="8" w:color="auto"/>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142,084</w:t>
            </w:r>
          </w:p>
        </w:tc>
        <w:tc>
          <w:tcPr>
            <w:tcW w:w="100" w:type="dxa"/>
            <w:vAlign w:val="bottom"/>
            <w:tcBorders>
              <w:top w:val="single" w:sz="8" w:color="D5DCE4"/>
              <w:bottom w:val="single" w:sz="8" w:color="D5DCE4"/>
            </w:tcBorders>
            <w:shd w:val="clear" w:color="auto" w:fill="D5DCE4"/>
          </w:tcPr>
          <w:p>
            <w:pPr>
              <w:spacing w:after="0"/>
              <w:rPr>
                <w:sz w:val="22"/>
                <w:szCs w:val="22"/>
                <w:color w:val="auto"/>
              </w:rPr>
            </w:pPr>
          </w:p>
        </w:tc>
        <w:tc>
          <w:tcPr>
            <w:tcW w:w="560" w:type="dxa"/>
            <w:vAlign w:val="bottom"/>
            <w:tcBorders>
              <w:top w:val="single" w:sz="8" w:color="auto"/>
              <w:bottom w:val="single" w:sz="8" w:color="auto"/>
            </w:tcBorders>
            <w:shd w:val="clear" w:color="auto" w:fill="D5DCE4"/>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119,650</w:t>
            </w:r>
          </w:p>
        </w:tc>
      </w:tr>
      <w:tr>
        <w:trPr>
          <w:trHeight w:val="20"/>
        </w:trPr>
        <w:tc>
          <w:tcPr>
            <w:tcW w:w="754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240" w:type="dxa"/>
            <w:vAlign w:val="bottom"/>
            <w:tcBorders>
              <w:top w:val="single" w:sz="8" w:color="D5DCE4"/>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60" w:type="dxa"/>
            <w:vAlign w:val="bottom"/>
            <w:tcBorders>
              <w:top w:val="single" w:sz="8" w:color="D5DCE4"/>
              <w:bottom w:val="single" w:sz="8" w:color="auto"/>
            </w:tcBorders>
          </w:tcPr>
          <w:p>
            <w:pPr>
              <w:spacing w:after="0" w:line="20" w:lineRule="exact"/>
              <w:rPr>
                <w:sz w:val="1"/>
                <w:szCs w:val="1"/>
                <w:color w:val="auto"/>
              </w:rPr>
            </w:pPr>
          </w:p>
        </w:tc>
        <w:tc>
          <w:tcPr>
            <w:tcW w:w="1240" w:type="dxa"/>
            <w:vAlign w:val="bottom"/>
            <w:tcBorders>
              <w:top w:val="single" w:sz="8" w:color="D5DCE4"/>
              <w:bottom w:val="single" w:sz="8" w:color="auto"/>
            </w:tcBorders>
          </w:tcPr>
          <w:p>
            <w:pPr>
              <w:spacing w:after="0" w:line="20" w:lineRule="exact"/>
              <w:rPr>
                <w:sz w:val="1"/>
                <w:szCs w:val="1"/>
                <w:color w:val="auto"/>
              </w:rPr>
            </w:pPr>
          </w:p>
        </w:tc>
      </w:tr>
      <w:tr>
        <w:trPr>
          <w:trHeight w:val="207"/>
        </w:trPr>
        <w:tc>
          <w:tcPr>
            <w:tcW w:w="754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5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(40,966)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(37,176)</w:t>
            </w:r>
          </w:p>
        </w:tc>
      </w:tr>
      <w:tr>
        <w:trPr>
          <w:trHeight w:val="253"/>
        </w:trPr>
        <w:tc>
          <w:tcPr>
            <w:tcW w:w="754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Add: Acquisition and Refinitiv Transaction related D&amp;A </w:t>
            </w:r>
            <w:r>
              <w:rPr>
                <w:rFonts w:ascii="Arial" w:cs="Arial" w:eastAsia="Arial" w:hAnsi="Arial"/>
                <w:sz w:val="21"/>
                <w:szCs w:val="21"/>
                <w:color w:val="auto"/>
                <w:vertAlign w:val="superscript"/>
              </w:rPr>
              <w:t>(5)</w:t>
            </w:r>
          </w:p>
        </w:tc>
        <w:tc>
          <w:tcPr>
            <w:tcW w:w="5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29,603</w:t>
            </w:r>
          </w:p>
        </w:tc>
        <w:tc>
          <w:tcPr>
            <w:tcW w:w="100" w:type="dxa"/>
            <w:vAlign w:val="bottom"/>
            <w:shd w:val="clear" w:color="auto" w:fill="D5DCE4"/>
          </w:tcPr>
          <w:p>
            <w:pPr>
              <w:spacing w:after="0"/>
              <w:rPr>
                <w:sz w:val="21"/>
                <w:szCs w:val="21"/>
                <w:color w:val="auto"/>
              </w:rPr>
            </w:pPr>
          </w:p>
        </w:tc>
        <w:tc>
          <w:tcPr>
            <w:tcW w:w="560" w:type="dxa"/>
            <w:vAlign w:val="bottom"/>
            <w:tcBorders>
              <w:bottom w:val="single" w:sz="8" w:color="auto"/>
            </w:tcBorders>
            <w:shd w:val="clear" w:color="auto" w:fill="D5DCE4"/>
          </w:tcPr>
          <w:p>
            <w:pPr>
              <w:spacing w:after="0"/>
              <w:rPr>
                <w:sz w:val="21"/>
                <w:szCs w:val="21"/>
                <w:color w:val="auto"/>
              </w:rPr>
            </w:pPr>
          </w:p>
        </w:tc>
        <w:tc>
          <w:tcPr>
            <w:tcW w:w="124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26,273</w:t>
            </w:r>
          </w:p>
        </w:tc>
      </w:tr>
      <w:tr>
        <w:trPr>
          <w:trHeight w:val="237"/>
        </w:trPr>
        <w:tc>
          <w:tcPr>
            <w:tcW w:w="754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130,721</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108,747</w:t>
            </w:r>
          </w:p>
        </w:tc>
      </w:tr>
      <w:tr>
        <w:trPr>
          <w:trHeight w:val="20"/>
        </w:trPr>
        <w:tc>
          <w:tcPr>
            <w:tcW w:w="754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560" w:type="dxa"/>
            <w:vAlign w:val="bottom"/>
            <w:shd w:val="clear" w:color="auto" w:fill="D5DCE4"/>
          </w:tcPr>
          <w:p>
            <w:pPr>
              <w:spacing w:after="0"/>
              <w:rPr>
                <w:sz w:val="20"/>
                <w:szCs w:val="20"/>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52.0 %</w:t>
            </w:r>
          </w:p>
        </w:tc>
        <w:tc>
          <w:tcPr>
            <w:tcW w:w="100" w:type="dxa"/>
            <w:vAlign w:val="bottom"/>
            <w:shd w:val="clear" w:color="auto" w:fill="D5DCE4"/>
          </w:tcPr>
          <w:p>
            <w:pPr>
              <w:spacing w:after="0"/>
              <w:rPr>
                <w:sz w:val="20"/>
                <w:szCs w:val="20"/>
                <w:color w:val="auto"/>
              </w:rPr>
            </w:pPr>
          </w:p>
        </w:tc>
        <w:tc>
          <w:tcPr>
            <w:tcW w:w="560" w:type="dxa"/>
            <w:vAlign w:val="bottom"/>
            <w:shd w:val="clear" w:color="auto" w:fill="D5DCE4"/>
          </w:tcPr>
          <w:p>
            <w:pPr>
              <w:spacing w:after="0"/>
              <w:rPr>
                <w:sz w:val="20"/>
                <w:szCs w:val="20"/>
                <w:color w:val="auto"/>
              </w:rPr>
            </w:pPr>
          </w:p>
        </w:tc>
        <w:tc>
          <w:tcPr>
            <w:tcW w:w="12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51.0 %</w:t>
            </w:r>
          </w:p>
        </w:tc>
      </w:tr>
      <w:tr>
        <w:trPr>
          <w:trHeight w:val="294"/>
        </w:trPr>
        <w:tc>
          <w:tcPr>
            <w:tcW w:w="7540" w:type="dxa"/>
            <w:vAlign w:val="bottom"/>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47.8 %</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46.4 %</w:t>
            </w:r>
          </w:p>
        </w:tc>
      </w:tr>
    </w:tbl>
    <w:p>
      <w:pPr>
        <w:spacing w:after="0" w:line="51" w:lineRule="exact"/>
        <w:rPr>
          <w:sz w:val="20"/>
          <w:szCs w:val="20"/>
          <w:color w:val="auto"/>
        </w:rPr>
      </w:pPr>
    </w:p>
    <w:p>
      <w:pPr>
        <w:ind w:left="660" w:right="80" w:hanging="328"/>
        <w:spacing w:after="0" w:line="238"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acquisition-related transaction costs associated with the pending acquisition of Nasdaq’s U.S. fixed income electronic trading platform (formerly known as eSpeed) announced in February 2021.</w:t>
      </w:r>
    </w:p>
    <w:p>
      <w:pPr>
        <w:ind w:left="660" w:right="220" w:hanging="328"/>
        <w:spacing w:after="0" w:line="238"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60" w:right="80" w:hanging="328"/>
        <w:spacing w:after="0" w:line="238"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unrealized gain or loss recognized on foreign currency forward contracts and foreign exchange gain or loss from the revaluation of cash denominated in a different currency than the entity’s functional currency.</w:t>
      </w:r>
    </w:p>
    <w:p>
      <w:pPr>
        <w:ind w:left="660" w:right="140" w:hanging="328"/>
        <w:spacing w:after="0" w:line="238"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right="180" w:hanging="328"/>
        <w:spacing w:after="0" w:line="238"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40" w:hanging="308"/>
        <w:spacing w:after="0"/>
        <w:tabs>
          <w:tab w:leader="none" w:pos="6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EBITDA margin and Adjusted EBIT margin are defined as Adjusted EBITDA and Adjusted EBIT, respectively, divided by revenue for the applicable period.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w:t>
            </w:r>
          </w:p>
        </w:tc>
        <w:tc>
          <w:tcPr>
            <w:tcW w:w="200" w:type="dxa"/>
            <w:vAlign w:val="bottom"/>
          </w:tcPr>
          <w:p>
            <w:pPr>
              <w:spacing w:after="0"/>
              <w:rPr>
                <w:sz w:val="18"/>
                <w:szCs w:val="18"/>
                <w:color w:val="auto"/>
              </w:rPr>
            </w:pPr>
          </w:p>
        </w:tc>
        <w:tc>
          <w:tcPr>
            <w:tcW w:w="364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Quarter Ended March 31,</w:t>
            </w:r>
          </w:p>
        </w:tc>
      </w:tr>
      <w:tr>
        <w:trPr>
          <w:trHeight w:val="256"/>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Net Income and Adjusted Diluted EPS</w:t>
            </w:r>
          </w:p>
        </w:tc>
        <w:tc>
          <w:tcPr>
            <w:tcW w:w="200" w:type="dxa"/>
            <w:vAlign w:val="bottom"/>
          </w:tcPr>
          <w:p>
            <w:pPr>
              <w:spacing w:after="0"/>
              <w:rPr>
                <w:sz w:val="22"/>
                <w:szCs w:val="22"/>
                <w:color w:val="auto"/>
              </w:rPr>
            </w:pPr>
          </w:p>
        </w:tc>
        <w:tc>
          <w:tcPr>
            <w:tcW w:w="15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r>
      <w:tr>
        <w:trPr>
          <w:trHeight w:val="233"/>
        </w:trPr>
        <w:tc>
          <w:tcPr>
            <w:tcW w:w="7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278"/>
        </w:trPr>
        <w:tc>
          <w:tcPr>
            <w:tcW w:w="740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0.33</w:t>
            </w:r>
          </w:p>
        </w:tc>
        <w:tc>
          <w:tcPr>
            <w:tcW w:w="420" w:type="dxa"/>
            <w:vAlign w:val="bottom"/>
            <w:tcBorders>
              <w:bottom w:val="single" w:sz="8" w:color="D5DCE4"/>
            </w:tcBorders>
            <w:shd w:val="clear" w:color="auto" w:fill="D5DCE4"/>
          </w:tcPr>
          <w:p>
            <w:pPr>
              <w:spacing w:after="0"/>
              <w:rPr>
                <w:sz w:val="23"/>
                <w:szCs w:val="23"/>
                <w:color w:val="auto"/>
              </w:rPr>
            </w:pPr>
          </w:p>
        </w:tc>
        <w:tc>
          <w:tcPr>
            <w:tcW w:w="400" w:type="dxa"/>
            <w:vAlign w:val="bottom"/>
            <w:tcBorders>
              <w:bottom w:val="single" w:sz="8" w:color="auto"/>
            </w:tcBorders>
            <w:shd w:val="clear" w:color="auto" w:fill="D5DCE4"/>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73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500" w:type="dxa"/>
            <w:vAlign w:val="bottom"/>
            <w:tcBorders>
              <w:top w:val="single" w:sz="8" w:color="D5DCE4"/>
              <w:bottom w:val="single" w:sz="8" w:color="auto"/>
            </w:tcBorders>
          </w:tcPr>
          <w:p>
            <w:pPr>
              <w:spacing w:after="0" w:line="20" w:lineRule="exact"/>
              <w:rPr>
                <w:sz w:val="1"/>
                <w:szCs w:val="1"/>
                <w:color w:val="auto"/>
              </w:rPr>
            </w:pPr>
          </w:p>
        </w:tc>
        <w:tc>
          <w:tcPr>
            <w:tcW w:w="42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r>
      <w:tr>
        <w:trPr>
          <w:trHeight w:val="203"/>
        </w:trPr>
        <w:tc>
          <w:tcPr>
            <w:tcW w:w="7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3"/>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200" w:type="dxa"/>
            <w:vAlign w:val="bottom"/>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67,859</w:t>
            </w:r>
          </w:p>
        </w:tc>
        <w:tc>
          <w:tcPr>
            <w:tcW w:w="420" w:type="dxa"/>
            <w:vAlign w:val="bottom"/>
            <w:shd w:val="clear" w:color="auto" w:fill="D5DCE4"/>
          </w:tcPr>
          <w:p>
            <w:pPr>
              <w:spacing w:after="0"/>
              <w:rPr>
                <w:sz w:val="21"/>
                <w:szCs w:val="21"/>
                <w:color w:val="auto"/>
              </w:rPr>
            </w:pPr>
          </w:p>
        </w:tc>
        <w:tc>
          <w:tcPr>
            <w:tcW w:w="400" w:type="dxa"/>
            <w:vAlign w:val="bottom"/>
            <w:shd w:val="clear" w:color="auto" w:fill="D5DCE4"/>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43,928</w:t>
            </w:r>
          </w:p>
        </w:tc>
      </w:tr>
      <w:tr>
        <w:trPr>
          <w:trHeight w:val="243"/>
        </w:trPr>
        <w:tc>
          <w:tcPr>
            <w:tcW w:w="740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13,706</w:t>
            </w:r>
          </w:p>
        </w:tc>
        <w:tc>
          <w:tcPr>
            <w:tcW w:w="420" w:type="dxa"/>
            <w:vAlign w:val="bottom"/>
            <w:tcBorders>
              <w:bottom w:val="single" w:sz="8" w:color="D5DCE4"/>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18,557</w:t>
            </w:r>
          </w:p>
        </w:tc>
      </w:tr>
      <w:tr>
        <w:trPr>
          <w:trHeight w:val="236"/>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D5DCE4"/>
          </w:tcPr>
          <w:p>
            <w:pPr>
              <w:spacing w:after="0"/>
              <w:rPr>
                <w:sz w:val="20"/>
                <w:szCs w:val="20"/>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81,565</w:t>
            </w:r>
          </w:p>
        </w:tc>
        <w:tc>
          <w:tcPr>
            <w:tcW w:w="420" w:type="dxa"/>
            <w:vAlign w:val="bottom"/>
            <w:shd w:val="clear" w:color="auto" w:fill="D5DCE4"/>
          </w:tcPr>
          <w:p>
            <w:pPr>
              <w:spacing w:after="0"/>
              <w:rPr>
                <w:sz w:val="20"/>
                <w:szCs w:val="20"/>
                <w:color w:val="auto"/>
              </w:rPr>
            </w:pPr>
          </w:p>
        </w:tc>
        <w:tc>
          <w:tcPr>
            <w:tcW w:w="400" w:type="dxa"/>
            <w:vAlign w:val="bottom"/>
            <w:shd w:val="clear" w:color="auto" w:fill="D5DCE4"/>
          </w:tcPr>
          <w:p>
            <w:pPr>
              <w:spacing w:after="0"/>
              <w:rPr>
                <w:sz w:val="20"/>
                <w:szCs w:val="20"/>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62,485</w:t>
            </w:r>
          </w:p>
        </w:tc>
      </w:tr>
      <w:tr>
        <w:trPr>
          <w:trHeight w:val="23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16,269</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15,829</w:t>
            </w:r>
          </w:p>
        </w:tc>
      </w:tr>
      <w:tr>
        <w:trPr>
          <w:trHeight w:val="253"/>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(2)</w:t>
            </w:r>
          </w:p>
        </w:tc>
        <w:tc>
          <w:tcPr>
            <w:tcW w:w="20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1,761</w:t>
            </w:r>
          </w:p>
        </w:tc>
        <w:tc>
          <w:tcPr>
            <w:tcW w:w="42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and Refinitiv Transaction related D&amp;A </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29,603</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26,273</w:t>
            </w:r>
          </w:p>
        </w:tc>
      </w:tr>
      <w:tr>
        <w:trPr>
          <w:trHeight w:val="243"/>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20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6,383</w:t>
            </w:r>
          </w:p>
        </w:tc>
        <w:tc>
          <w:tcPr>
            <w:tcW w:w="42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3,497</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(5,353)</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1,362</w:t>
            </w:r>
          </w:p>
        </w:tc>
      </w:tr>
      <w:tr>
        <w:trPr>
          <w:trHeight w:val="243"/>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200" w:type="dxa"/>
            <w:vAlign w:val="bottom"/>
            <w:shd w:val="clear" w:color="auto" w:fill="D5DCE4"/>
          </w:tcPr>
          <w:p>
            <w:pPr>
              <w:spacing w:after="0"/>
              <w:rPr>
                <w:sz w:val="21"/>
                <w:szCs w:val="21"/>
                <w:color w:val="auto"/>
              </w:rPr>
            </w:pPr>
          </w:p>
        </w:tc>
        <w:tc>
          <w:tcPr>
            <w:tcW w:w="1920" w:type="dxa"/>
            <w:vAlign w:val="bottom"/>
            <w:gridSpan w:val="2"/>
            <w:shd w:val="clear" w:color="auto" w:fill="D5DCE4"/>
          </w:tcPr>
          <w:p>
            <w:pPr>
              <w:jc w:val="right"/>
              <w:ind w:right="4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5DCE4"/>
          </w:tcPr>
          <w:p>
            <w:pPr>
              <w:spacing w:after="0"/>
              <w:rPr>
                <w:sz w:val="21"/>
                <w:szCs w:val="21"/>
                <w:color w:val="auto"/>
              </w:rPr>
            </w:pPr>
          </w:p>
        </w:tc>
        <w:tc>
          <w:tcPr>
            <w:tcW w:w="13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2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130,228</w:t>
            </w:r>
          </w:p>
        </w:tc>
        <w:tc>
          <w:tcPr>
            <w:tcW w:w="4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109,446</w:t>
            </w:r>
          </w:p>
        </w:tc>
      </w:tr>
      <w:tr>
        <w:trPr>
          <w:trHeight w:val="253"/>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200" w:type="dxa"/>
            <w:vAlign w:val="bottom"/>
            <w:tcBorders>
              <w:bottom w:val="single" w:sz="8" w:color="auto"/>
            </w:tcBorders>
            <w:shd w:val="clear" w:color="auto" w:fill="D5DCE4"/>
          </w:tcPr>
          <w:p>
            <w:pPr>
              <w:spacing w:after="0"/>
              <w:rPr>
                <w:sz w:val="21"/>
                <w:szCs w:val="21"/>
                <w:color w:val="auto"/>
              </w:rPr>
            </w:pPr>
          </w:p>
        </w:tc>
        <w:tc>
          <w:tcPr>
            <w:tcW w:w="15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(28,650)</w:t>
            </w:r>
          </w:p>
        </w:tc>
        <w:tc>
          <w:tcPr>
            <w:tcW w:w="420" w:type="dxa"/>
            <w:vAlign w:val="bottom"/>
            <w:shd w:val="clear" w:color="auto" w:fill="D5DCE4"/>
          </w:tcPr>
          <w:p>
            <w:pPr>
              <w:spacing w:after="0"/>
              <w:rPr>
                <w:sz w:val="21"/>
                <w:szCs w:val="21"/>
                <w:color w:val="auto"/>
              </w:rPr>
            </w:pPr>
          </w:p>
        </w:tc>
        <w:tc>
          <w:tcPr>
            <w:tcW w:w="400" w:type="dxa"/>
            <w:vAlign w:val="bottom"/>
            <w:tcBorders>
              <w:bottom w:val="single" w:sz="8" w:color="auto"/>
            </w:tcBorders>
            <w:shd w:val="clear" w:color="auto" w:fill="D5DCE4"/>
          </w:tcPr>
          <w:p>
            <w:pPr>
              <w:spacing w:after="0"/>
              <w:rPr>
                <w:sz w:val="21"/>
                <w:szCs w:val="21"/>
                <w:color w:val="auto"/>
              </w:rPr>
            </w:pP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(24,078)</w:t>
            </w:r>
          </w:p>
        </w:tc>
      </w:tr>
      <w:tr>
        <w:trPr>
          <w:trHeight w:val="236"/>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Adjusted Net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101,578</w:t>
            </w:r>
          </w:p>
        </w:tc>
        <w:tc>
          <w:tcPr>
            <w:tcW w:w="42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85,368</w:t>
            </w:r>
          </w:p>
        </w:tc>
      </w:tr>
      <w:tr>
        <w:trPr>
          <w:trHeight w:val="20"/>
        </w:trPr>
        <w:tc>
          <w:tcPr>
            <w:tcW w:w="732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D5DCE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2"/>
        </w:trPr>
        <w:tc>
          <w:tcPr>
            <w:tcW w:w="7400" w:type="dxa"/>
            <w:vAlign w:val="bottom"/>
            <w:tcBorders>
              <w:bottom w:val="single" w:sz="8" w:color="D5DCE4"/>
            </w:tcBorders>
            <w:gridSpan w:val="2"/>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200" w:type="dxa"/>
            <w:vAlign w:val="bottom"/>
            <w:tcBorders>
              <w:bottom w:val="single" w:sz="8" w:color="auto"/>
            </w:tcBorders>
            <w:shd w:val="clear" w:color="auto" w:fill="D5DCE4"/>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0.43</w:t>
            </w:r>
          </w:p>
        </w:tc>
        <w:tc>
          <w:tcPr>
            <w:tcW w:w="420" w:type="dxa"/>
            <w:vAlign w:val="bottom"/>
            <w:tcBorders>
              <w:bottom w:val="single" w:sz="8" w:color="D5DCE4"/>
            </w:tcBorders>
            <w:shd w:val="clear" w:color="auto" w:fill="D5DCE4"/>
          </w:tcPr>
          <w:p>
            <w:pPr>
              <w:spacing w:after="0"/>
              <w:rPr>
                <w:sz w:val="22"/>
                <w:szCs w:val="22"/>
                <w:color w:val="auto"/>
              </w:rPr>
            </w:pPr>
          </w:p>
        </w:tc>
        <w:tc>
          <w:tcPr>
            <w:tcW w:w="400" w:type="dxa"/>
            <w:vAlign w:val="bottom"/>
            <w:tcBorders>
              <w:bottom w:val="single" w:sz="8" w:color="auto"/>
            </w:tcBorders>
            <w:shd w:val="clear" w:color="auto" w:fill="D5DCE4"/>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0.37</w:t>
            </w:r>
          </w:p>
        </w:tc>
      </w:tr>
      <w:tr>
        <w:trPr>
          <w:trHeight w:val="20"/>
        </w:trPr>
        <w:tc>
          <w:tcPr>
            <w:tcW w:w="73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1500" w:type="dxa"/>
            <w:vAlign w:val="bottom"/>
            <w:tcBorders>
              <w:top w:val="single" w:sz="8" w:color="D5DCE4"/>
              <w:bottom w:val="single" w:sz="8" w:color="auto"/>
            </w:tcBorders>
          </w:tcPr>
          <w:p>
            <w:pPr>
              <w:spacing w:after="0" w:line="20" w:lineRule="exact"/>
              <w:rPr>
                <w:sz w:val="1"/>
                <w:szCs w:val="1"/>
                <w:color w:val="auto"/>
              </w:rPr>
            </w:pPr>
          </w:p>
        </w:tc>
        <w:tc>
          <w:tcPr>
            <w:tcW w:w="42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D5DCE4"/>
              <w:bottom w:val="single" w:sz="8" w:color="auto"/>
            </w:tcBorders>
          </w:tcPr>
          <w:p>
            <w:pPr>
              <w:spacing w:after="0" w:line="20" w:lineRule="exact"/>
              <w:rPr>
                <w:sz w:val="1"/>
                <w:szCs w:val="1"/>
                <w:color w:val="auto"/>
              </w:rPr>
            </w:pPr>
          </w:p>
        </w:tc>
        <w:tc>
          <w:tcPr>
            <w:tcW w:w="1320" w:type="dxa"/>
            <w:vAlign w:val="bottom"/>
            <w:tcBorders>
              <w:top w:val="single" w:sz="8" w:color="D5DCE4"/>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660" w:right="160" w:hanging="328"/>
        <w:spacing w:after="0" w:line="187" w:lineRule="auto"/>
        <w:tabs>
          <w:tab w:leader="none" w:pos="652"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660" w:right="80" w:hanging="328"/>
        <w:spacing w:after="0" w:line="184"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acquisition-related transaction costs associated with the pending acquisition of Nasdaq’s U.S. fixed income electronic trading platform (formerly known as eSpeed) announced in February 2021.</w:t>
      </w:r>
    </w:p>
    <w:p>
      <w:pPr>
        <w:ind w:left="660" w:right="180" w:hanging="328"/>
        <w:spacing w:after="0" w:line="216"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60" w:right="2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the post-IPO options awarded in 2019 and payroll taxes associated with exercises of such options during the applicable period.</w:t>
      </w:r>
    </w:p>
    <w:p>
      <w:pPr>
        <w:ind w:left="660" w:right="80" w:hanging="328"/>
        <w:spacing w:after="0" w:line="242"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unrealized gain or loss recognized on foreign currency forward contracts and foreign exchange gain or loss from the revaluation of cash denominated in a different currency than the entity’s functional currency.</w:t>
      </w:r>
    </w:p>
    <w:p>
      <w:pPr>
        <w:sectPr>
          <w:pgSz w:w="11900" w:h="16838" w:orient="portrait"/>
          <w:cols w:equalWidth="0" w:num="1">
            <w:col w:w="11240"/>
          </w:cols>
          <w:pgMar w:left="320" w:top="688" w:right="339" w:bottom="1440" w:gutter="0" w:footer="0" w:header="0"/>
          <w:type w:val="continuous"/>
        </w:sectPr>
      </w:pPr>
    </w:p>
    <w:p>
      <w:pPr>
        <w:spacing w:after="0" w:line="109"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88" w:right="339" w:bottom="1440" w:gutter="0" w:footer="0" w:header="0"/>
          <w:type w:val="continuous"/>
        </w:sectPr>
      </w:pPr>
    </w:p>
    <w:bookmarkStart w:id="8" w:name="page9"/>
    <w:bookmarkEnd w:id="8"/>
    <w:p>
      <w:pPr>
        <w:ind w:left="660" w:right="140" w:hanging="328"/>
        <w:spacing w:after="0" w:line="216" w:lineRule="auto"/>
        <w:tabs>
          <w:tab w:leader="none" w:pos="652"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40" w:hanging="308"/>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22.0% applied to Adjusted Net Income before income taxes for each of the quarters ended March 31, 2021 and 2020.</w:t>
      </w:r>
    </w:p>
    <w:p>
      <w:pPr>
        <w:spacing w:after="0" w:line="10" w:lineRule="exact"/>
        <w:rPr>
          <w:rFonts w:ascii="Arial" w:cs="Arial" w:eastAsia="Arial" w:hAnsi="Arial"/>
          <w:sz w:val="12"/>
          <w:szCs w:val="12"/>
          <w:color w:val="auto"/>
        </w:rPr>
      </w:pPr>
    </w:p>
    <w:p>
      <w:pPr>
        <w:ind w:left="660" w:right="120" w:hanging="328"/>
        <w:spacing w:after="0" w:line="242" w:lineRule="auto"/>
        <w:tabs>
          <w:tab w:leader="none" w:pos="652"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a summary of the calculation of Adjusted Diluted EPS, see “Reconciliation of Diluted Weighted Average Shares Outstanding to Adjusted Diluted Weighted Average Shares Outstanding” below.</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701" w:right="339" w:bottom="1440" w:gutter="0" w:footer="0" w:header="0"/>
        </w:sectPr>
      </w:pPr>
    </w:p>
    <w:p>
      <w:pPr>
        <w:spacing w:after="0" w:line="113" w:lineRule="exact"/>
        <w:rPr>
          <w:sz w:val="20"/>
          <w:szCs w:val="20"/>
          <w:color w:val="auto"/>
        </w:rPr>
      </w:pPr>
    </w:p>
    <w:p>
      <w:pPr>
        <w:ind w:left="20" w:right="740"/>
        <w:spacing w:after="0" w:line="286"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20" w:right="1000"/>
        <w:spacing w:after="0" w:line="268" w:lineRule="auto"/>
        <w:rPr>
          <w:sz w:val="20"/>
          <w:szCs w:val="20"/>
          <w:color w:val="auto"/>
        </w:rPr>
      </w:pPr>
      <w:r>
        <w:rPr>
          <w:rFonts w:ascii="Arial" w:cs="Arial" w:eastAsia="Arial" w:hAnsi="Arial"/>
          <w:sz w:val="16"/>
          <w:szCs w:val="16"/>
          <w:color w:val="auto"/>
        </w:rPr>
        <w:t xml:space="preserve">Diluted weighted average shares of Class A and Class B common stock outstanding Assumed exchange of LLC interests for shares of Class A or Class B common stock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Quarter Ended March 31,</w:t>
      </w:r>
    </w:p>
    <w:p>
      <w:pPr>
        <w:spacing w:after="0" w:line="86" w:lineRule="exact"/>
        <w:rPr>
          <w:sz w:val="20"/>
          <w:szCs w:val="20"/>
          <w:color w:val="auto"/>
        </w:rPr>
      </w:pPr>
    </w:p>
    <w:p>
      <w:pPr>
        <w:spacing w:after="0"/>
        <w:tabs>
          <w:tab w:leader="none" w:pos="208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93" w:lineRule="exact"/>
        <w:rPr>
          <w:sz w:val="20"/>
          <w:szCs w:val="20"/>
          <w:color w:val="auto"/>
        </w:rPr>
      </w:pPr>
    </w:p>
    <w:p>
      <w:pPr>
        <w:ind w:left="220"/>
        <w:spacing w:after="0"/>
        <w:tabs>
          <w:tab w:leader="none" w:pos="2300" w:val="left"/>
        </w:tabs>
        <w:rPr>
          <w:sz w:val="20"/>
          <w:szCs w:val="20"/>
          <w:color w:val="auto"/>
        </w:rPr>
      </w:pPr>
      <w:r>
        <w:rPr>
          <w:rFonts w:ascii="Arial" w:cs="Arial" w:eastAsia="Arial" w:hAnsi="Arial"/>
          <w:sz w:val="16"/>
          <w:szCs w:val="16"/>
          <w:color w:val="auto"/>
        </w:rPr>
        <w:t>205,028,717</w:t>
      </w:r>
      <w:r>
        <w:rPr>
          <w:sz w:val="20"/>
          <w:szCs w:val="20"/>
          <w:color w:val="auto"/>
        </w:rPr>
        <w:tab/>
      </w:r>
      <w:r>
        <w:rPr>
          <w:rFonts w:ascii="Arial" w:cs="Arial" w:eastAsia="Arial" w:hAnsi="Arial"/>
          <w:sz w:val="16"/>
          <w:szCs w:val="16"/>
          <w:color w:val="auto"/>
        </w:rPr>
        <w:t>174,517,244</w:t>
      </w:r>
    </w:p>
    <w:p>
      <w:pPr>
        <w:spacing w:after="0" w:line="59" w:lineRule="exact"/>
        <w:rPr>
          <w:sz w:val="20"/>
          <w:szCs w:val="20"/>
          <w:color w:val="auto"/>
        </w:rPr>
      </w:pPr>
    </w:p>
    <w:p>
      <w:pPr>
        <w:ind w:left="320"/>
        <w:spacing w:after="0"/>
        <w:tabs>
          <w:tab w:leader="none" w:pos="2400" w:val="left"/>
        </w:tabs>
        <w:rPr>
          <w:sz w:val="20"/>
          <w:szCs w:val="20"/>
          <w:color w:val="auto"/>
        </w:rPr>
      </w:pPr>
      <w:r>
        <w:rPr>
          <w:rFonts w:ascii="Arial" w:cs="Arial" w:eastAsia="Arial" w:hAnsi="Arial"/>
          <w:sz w:val="15"/>
          <w:szCs w:val="15"/>
          <w:color w:val="auto"/>
        </w:rPr>
        <w:t>31,214,407</w:t>
      </w:r>
      <w:r>
        <w:rPr>
          <w:sz w:val="20"/>
          <w:szCs w:val="20"/>
          <w:color w:val="auto"/>
        </w:rPr>
        <w:tab/>
      </w:r>
      <w:r>
        <w:rPr>
          <w:rFonts w:ascii="Arial" w:cs="Arial" w:eastAsia="Arial" w:hAnsi="Arial"/>
          <w:sz w:val="15"/>
          <w:szCs w:val="15"/>
          <w:color w:val="auto"/>
        </w:rPr>
        <w:t>57,644,547</w:t>
      </w:r>
    </w:p>
    <w:p>
      <w:pPr>
        <w:spacing w:after="0" w:line="60" w:lineRule="exact"/>
        <w:rPr>
          <w:sz w:val="20"/>
          <w:szCs w:val="20"/>
          <w:color w:val="auto"/>
        </w:rPr>
      </w:pPr>
    </w:p>
    <w:p>
      <w:pPr>
        <w:sectPr>
          <w:pgSz w:w="11900" w:h="16838" w:orient="portrait"/>
          <w:cols w:equalWidth="0" w:num="2">
            <w:col w:w="7220" w:space="720"/>
            <w:col w:w="3300"/>
          </w:cols>
          <w:pgMar w:left="320" w:top="701"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7100" w:type="dxa"/>
            <w:vAlign w:val="bottom"/>
            <w:tcBorders>
              <w:top w:val="single" w:sz="8" w:color="D5DCE4"/>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580" w:type="dxa"/>
            <w:vAlign w:val="bottom"/>
            <w:tcBorders>
              <w:top w:val="single" w:sz="8" w:color="auto"/>
              <w:bottom w:val="single" w:sz="8" w:color="auto"/>
            </w:tcBorders>
            <w:shd w:val="clear" w:color="auto" w:fill="D5DCE4"/>
          </w:tcPr>
          <w:p>
            <w:pPr>
              <w:spacing w:after="0"/>
              <w:rPr>
                <w:sz w:val="20"/>
                <w:szCs w:val="20"/>
                <w:color w:val="auto"/>
              </w:rPr>
            </w:pPr>
          </w:p>
        </w:tc>
        <w:tc>
          <w:tcPr>
            <w:tcW w:w="14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236,243,124</w:t>
            </w:r>
          </w:p>
        </w:tc>
        <w:tc>
          <w:tcPr>
            <w:tcW w:w="80" w:type="dxa"/>
            <w:vAlign w:val="bottom"/>
            <w:tcBorders>
              <w:top w:val="single" w:sz="8" w:color="D5DCE4"/>
              <w:bottom w:val="single" w:sz="8" w:color="D5DCE4"/>
            </w:tcBorders>
            <w:shd w:val="clear" w:color="auto" w:fill="D5DCE4"/>
          </w:tcPr>
          <w:p>
            <w:pPr>
              <w:spacing w:after="0"/>
              <w:rPr>
                <w:sz w:val="20"/>
                <w:szCs w:val="20"/>
                <w:color w:val="auto"/>
              </w:rPr>
            </w:pPr>
          </w:p>
        </w:tc>
        <w:tc>
          <w:tcPr>
            <w:tcW w:w="580" w:type="dxa"/>
            <w:vAlign w:val="bottom"/>
            <w:tcBorders>
              <w:top w:val="single" w:sz="8" w:color="auto"/>
              <w:bottom w:val="single" w:sz="8" w:color="auto"/>
            </w:tcBorders>
            <w:shd w:val="clear" w:color="auto" w:fill="D5DCE4"/>
          </w:tcPr>
          <w:p>
            <w:pPr>
              <w:spacing w:after="0"/>
              <w:rPr>
                <w:sz w:val="20"/>
                <w:szCs w:val="20"/>
                <w:color w:val="auto"/>
              </w:rPr>
            </w:pPr>
          </w:p>
        </w:tc>
        <w:tc>
          <w:tcPr>
            <w:tcW w:w="14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232,161,791</w:t>
            </w:r>
          </w:p>
        </w:tc>
      </w:tr>
      <w:tr>
        <w:trPr>
          <w:trHeight w:val="20"/>
        </w:trPr>
        <w:tc>
          <w:tcPr>
            <w:tcW w:w="7100" w:type="dxa"/>
            <w:vAlign w:val="bottom"/>
            <w:tcBorders>
              <w:top w:val="single" w:sz="8" w:color="D5DCE4"/>
            </w:tcBorders>
          </w:tcPr>
          <w:p>
            <w:pPr>
              <w:spacing w:after="0" w:line="20" w:lineRule="exact"/>
              <w:rPr>
                <w:sz w:val="1"/>
                <w:szCs w:val="1"/>
                <w:color w:val="auto"/>
              </w:rPr>
            </w:pPr>
          </w:p>
        </w:tc>
        <w:tc>
          <w:tcPr>
            <w:tcW w:w="580" w:type="dxa"/>
            <w:vAlign w:val="bottom"/>
            <w:tcBorders>
              <w:top w:val="single" w:sz="8" w:color="D5DCE4"/>
              <w:bottom w:val="single" w:sz="8" w:color="auto"/>
            </w:tcBorders>
          </w:tcPr>
          <w:p>
            <w:pPr>
              <w:spacing w:after="0" w:line="20" w:lineRule="exact"/>
              <w:rPr>
                <w:sz w:val="1"/>
                <w:szCs w:val="1"/>
                <w:color w:val="auto"/>
              </w:rPr>
            </w:pPr>
          </w:p>
        </w:tc>
        <w:tc>
          <w:tcPr>
            <w:tcW w:w="14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80" w:type="dxa"/>
            <w:vAlign w:val="bottom"/>
            <w:tcBorders>
              <w:top w:val="single" w:sz="8" w:color="D5DCE4"/>
              <w:bottom w:val="single" w:sz="8" w:color="auto"/>
            </w:tcBorders>
          </w:tcPr>
          <w:p>
            <w:pPr>
              <w:spacing w:after="0" w:line="20" w:lineRule="exact"/>
              <w:rPr>
                <w:sz w:val="1"/>
                <w:szCs w:val="1"/>
                <w:color w:val="auto"/>
              </w:rPr>
            </w:pPr>
          </w:p>
        </w:tc>
        <w:tc>
          <w:tcPr>
            <w:tcW w:w="144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7100" w:type="dxa"/>
            <w:vAlign w:val="bottom"/>
          </w:tcPr>
          <w:p>
            <w:pPr>
              <w:ind w:left="20"/>
              <w:spacing w:after="0"/>
              <w:rPr>
                <w:sz w:val="20"/>
                <w:szCs w:val="20"/>
                <w:color w:val="auto"/>
              </w:rPr>
            </w:pPr>
            <w:r>
              <w:rPr>
                <w:rFonts w:ascii="Arial" w:cs="Arial" w:eastAsia="Arial" w:hAnsi="Arial"/>
                <w:sz w:val="16"/>
                <w:szCs w:val="16"/>
                <w:color w:val="auto"/>
              </w:rPr>
              <w:t>Adjusted Net Income (in thousands)</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101,578</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85,368</w:t>
            </w:r>
          </w:p>
        </w:tc>
      </w:tr>
      <w:tr>
        <w:trPr>
          <w:trHeight w:val="20"/>
        </w:trPr>
        <w:tc>
          <w:tcPr>
            <w:tcW w:w="7100" w:type="dxa"/>
            <w:vAlign w:val="bottom"/>
            <w:tcBorders>
              <w:bottom w:val="single" w:sz="8" w:color="D5DCE4"/>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D5DCE4"/>
          </w:tcPr>
          <w:p>
            <w:pPr>
              <w:ind w:left="20"/>
              <w:spacing w:after="0"/>
              <w:rPr>
                <w:sz w:val="20"/>
                <w:szCs w:val="20"/>
                <w:color w:val="auto"/>
              </w:rPr>
            </w:pPr>
            <w:r>
              <w:rPr>
                <w:rFonts w:ascii="Arial" w:cs="Arial" w:eastAsia="Arial" w:hAnsi="Arial"/>
                <w:sz w:val="16"/>
                <w:szCs w:val="16"/>
                <w:color w:val="auto"/>
              </w:rPr>
              <w:t>Adjusted Diluted EPS</w:t>
            </w:r>
          </w:p>
        </w:tc>
        <w:tc>
          <w:tcPr>
            <w:tcW w:w="580" w:type="dxa"/>
            <w:vAlign w:val="bottom"/>
            <w:shd w:val="clear" w:color="auto" w:fill="D5DCE4"/>
          </w:tcPr>
          <w:p>
            <w:pPr>
              <w:jc w:val="right"/>
              <w:ind w:right="3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0.43</w:t>
            </w:r>
          </w:p>
        </w:tc>
        <w:tc>
          <w:tcPr>
            <w:tcW w:w="80" w:type="dxa"/>
            <w:vAlign w:val="bottom"/>
            <w:shd w:val="clear" w:color="auto" w:fill="D5DCE4"/>
          </w:tcPr>
          <w:p>
            <w:pPr>
              <w:spacing w:after="0"/>
              <w:rPr>
                <w:sz w:val="20"/>
                <w:szCs w:val="20"/>
                <w:color w:val="auto"/>
              </w:rPr>
            </w:pPr>
          </w:p>
        </w:tc>
        <w:tc>
          <w:tcPr>
            <w:tcW w:w="580" w:type="dxa"/>
            <w:vAlign w:val="bottom"/>
            <w:shd w:val="clear" w:color="auto" w:fill="D5DCE4"/>
          </w:tcPr>
          <w:p>
            <w:pPr>
              <w:jc w:val="right"/>
              <w:ind w:right="3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0.37</w:t>
            </w:r>
          </w:p>
        </w:tc>
      </w:tr>
    </w:tbl>
    <w:p>
      <w:pPr>
        <w:spacing w:after="0" w:line="210" w:lineRule="exact"/>
        <w:rPr>
          <w:sz w:val="20"/>
          <w:szCs w:val="20"/>
          <w:color w:val="auto"/>
        </w:rPr>
      </w:pPr>
    </w:p>
    <w:p>
      <w:pPr>
        <w:ind w:left="660" w:right="560" w:hanging="328"/>
        <w:spacing w:after="0" w:line="242" w:lineRule="auto"/>
        <w:tabs>
          <w:tab w:leader="none" w:pos="652"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Quarter Ended March 31,</w:t>
            </w:r>
          </w:p>
        </w:tc>
      </w:tr>
      <w:tr>
        <w:trPr>
          <w:trHeight w:val="269"/>
        </w:trPr>
        <w:tc>
          <w:tcPr>
            <w:tcW w:w="7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480" w:type="dxa"/>
            <w:vAlign w:val="bottom"/>
          </w:tcPr>
          <w:p>
            <w:pPr>
              <w:spacing w:after="0"/>
              <w:rPr>
                <w:sz w:val="23"/>
                <w:szCs w:val="23"/>
                <w:color w:val="auto"/>
              </w:rPr>
            </w:pPr>
          </w:p>
        </w:tc>
        <w:tc>
          <w:tcPr>
            <w:tcW w:w="1520" w:type="dxa"/>
            <w:vAlign w:val="bottom"/>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tcPr>
          <w:p>
            <w:pPr>
              <w:jc w:val="right"/>
              <w:ind w:right="739"/>
              <w:spacing w:after="0"/>
              <w:rPr>
                <w:sz w:val="20"/>
                <w:szCs w:val="20"/>
                <w:color w:val="auto"/>
              </w:rPr>
            </w:pPr>
            <w:r>
              <w:rPr>
                <w:rFonts w:ascii="Arial" w:cs="Arial" w:eastAsia="Arial" w:hAnsi="Arial"/>
                <w:sz w:val="16"/>
                <w:szCs w:val="16"/>
                <w:b w:val="1"/>
                <w:bCs w:val="1"/>
                <w:color w:val="auto"/>
              </w:rPr>
              <w:t>2020</w:t>
            </w:r>
          </w:p>
        </w:tc>
      </w:tr>
      <w:tr>
        <w:trPr>
          <w:trHeight w:val="233"/>
        </w:trPr>
        <w:tc>
          <w:tcPr>
            <w:tcW w:w="6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Borders>
              <w:top w:val="single" w:sz="8" w:color="auto"/>
            </w:tcBorders>
          </w:tcPr>
          <w:p>
            <w:pPr>
              <w:spacing w:after="0"/>
              <w:rPr>
                <w:sz w:val="20"/>
                <w:szCs w:val="20"/>
                <w:color w:val="auto"/>
              </w:rPr>
            </w:pPr>
          </w:p>
        </w:tc>
      </w:tr>
      <w:tr>
        <w:trPr>
          <w:trHeight w:val="253"/>
        </w:trPr>
        <w:tc>
          <w:tcPr>
            <w:tcW w:w="7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48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175,072</w:t>
            </w:r>
          </w:p>
        </w:tc>
        <w:tc>
          <w:tcPr>
            <w:tcW w:w="80" w:type="dxa"/>
            <w:vAlign w:val="bottom"/>
            <w:shd w:val="clear" w:color="auto" w:fill="D5DCE4"/>
          </w:tcPr>
          <w:p>
            <w:pPr>
              <w:spacing w:after="0"/>
              <w:rPr>
                <w:sz w:val="21"/>
                <w:szCs w:val="21"/>
                <w:color w:val="auto"/>
              </w:rPr>
            </w:pPr>
          </w:p>
        </w:tc>
        <w:tc>
          <w:tcPr>
            <w:tcW w:w="680" w:type="dxa"/>
            <w:vAlign w:val="bottom"/>
            <w:shd w:val="clear" w:color="auto" w:fill="D5DCE4"/>
          </w:tcPr>
          <w:p>
            <w:pPr>
              <w:jc w:val="right"/>
              <w:ind w:right="4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156,991</w:t>
            </w: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Acquisition transaction costs</w:t>
            </w:r>
            <w:r>
              <w:rPr>
                <w:rFonts w:ascii="Arial" w:cs="Arial" w:eastAsia="Arial" w:hAnsi="Arial"/>
                <w:sz w:val="21"/>
                <w:szCs w:val="21"/>
                <w:color w:val="auto"/>
                <w:vertAlign w:val="superscript"/>
              </w:rPr>
              <w:t>(1)</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(1,761)</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21"/>
                <w:szCs w:val="21"/>
                <w:color w:val="auto"/>
                <w:vertAlign w:val="superscript"/>
              </w:rPr>
              <w:t>(2)</w:t>
            </w:r>
          </w:p>
        </w:tc>
        <w:tc>
          <w:tcPr>
            <w:tcW w:w="480" w:type="dxa"/>
            <w:vAlign w:val="bottom"/>
            <w:shd w:val="clear" w:color="auto" w:fill="D5DCE4"/>
          </w:tcPr>
          <w:p>
            <w:pPr>
              <w:spacing w:after="0"/>
              <w:rPr>
                <w:sz w:val="21"/>
                <w:szCs w:val="21"/>
                <w:color w:val="auto"/>
              </w:rPr>
            </w:pPr>
          </w:p>
        </w:tc>
        <w:tc>
          <w:tcPr>
            <w:tcW w:w="15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(29,603)</w:t>
            </w:r>
          </w:p>
        </w:tc>
        <w:tc>
          <w:tcPr>
            <w:tcW w:w="80" w:type="dxa"/>
            <w:vAlign w:val="bottom"/>
            <w:shd w:val="clear" w:color="auto" w:fill="D5DCE4"/>
          </w:tcPr>
          <w:p>
            <w:pPr>
              <w:spacing w:after="0"/>
              <w:rPr>
                <w:sz w:val="21"/>
                <w:szCs w:val="21"/>
                <w:color w:val="auto"/>
              </w:rPr>
            </w:pPr>
          </w:p>
        </w:tc>
        <w:tc>
          <w:tcPr>
            <w:tcW w:w="68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(26,273)</w:t>
            </w:r>
          </w:p>
        </w:tc>
      </w:tr>
      <w:tr>
        <w:trPr>
          <w:trHeight w:val="24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(3)</w:t>
            </w: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(6,383)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(3,497)</w:t>
            </w:r>
          </w:p>
        </w:tc>
      </w:tr>
      <w:tr>
        <w:trPr>
          <w:trHeight w:val="243"/>
        </w:trPr>
        <w:tc>
          <w:tcPr>
            <w:tcW w:w="7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Foreign exchange gains / (losses)</w:t>
            </w:r>
            <w:r>
              <w:rPr>
                <w:rFonts w:ascii="Arial" w:cs="Arial" w:eastAsia="Arial" w:hAnsi="Arial"/>
                <w:sz w:val="21"/>
                <w:szCs w:val="21"/>
                <w:color w:val="auto"/>
                <w:vertAlign w:val="superscript"/>
              </w:rPr>
              <w:t>(4)</w:t>
            </w:r>
          </w:p>
        </w:tc>
        <w:tc>
          <w:tcPr>
            <w:tcW w:w="480" w:type="dxa"/>
            <w:vAlign w:val="bottom"/>
            <w:tcBorders>
              <w:bottom w:val="single" w:sz="8" w:color="auto"/>
            </w:tcBorders>
            <w:shd w:val="clear" w:color="auto" w:fill="D5DCE4"/>
          </w:tcPr>
          <w:p>
            <w:pPr>
              <w:spacing w:after="0"/>
              <w:rPr>
                <w:sz w:val="21"/>
                <w:szCs w:val="21"/>
                <w:color w:val="auto"/>
              </w:rPr>
            </w:pPr>
          </w:p>
        </w:tc>
        <w:tc>
          <w:tcPr>
            <w:tcW w:w="15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5,353</w:t>
            </w:r>
          </w:p>
        </w:tc>
        <w:tc>
          <w:tcPr>
            <w:tcW w:w="80" w:type="dxa"/>
            <w:vAlign w:val="bottom"/>
            <w:shd w:val="clear" w:color="auto" w:fill="D5DCE4"/>
          </w:tcPr>
          <w:p>
            <w:pPr>
              <w:spacing w:after="0"/>
              <w:rPr>
                <w:sz w:val="21"/>
                <w:szCs w:val="21"/>
                <w:color w:val="auto"/>
              </w:rPr>
            </w:pPr>
          </w:p>
        </w:tc>
        <w:tc>
          <w:tcPr>
            <w:tcW w:w="68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(1,362)</w:t>
            </w:r>
          </w:p>
        </w:tc>
      </w:tr>
      <w:tr>
        <w:trPr>
          <w:trHeight w:val="237"/>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142,678</w:t>
            </w:r>
          </w:p>
        </w:tc>
        <w:tc>
          <w:tcPr>
            <w:tcW w:w="80" w:type="dxa"/>
            <w:vAlign w:val="bottom"/>
          </w:tcPr>
          <w:p>
            <w:pPr>
              <w:spacing w:after="0"/>
              <w:rPr>
                <w:sz w:val="20"/>
                <w:szCs w:val="20"/>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125,859</w:t>
            </w:r>
          </w:p>
        </w:tc>
      </w:tr>
      <w:tr>
        <w:trPr>
          <w:trHeight w:val="21"/>
        </w:trPr>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left="660" w:right="80" w:hanging="328"/>
        <w:spacing w:after="0" w:line="238"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acquisition-related transaction costs associated with the pending acquisition of Nasdaq’s U.S. fixed income electronic trading platform (formerly known as eSpeed) announced in February 2021.</w:t>
      </w:r>
    </w:p>
    <w:p>
      <w:pPr>
        <w:ind w:left="660" w:right="180" w:hanging="328"/>
        <w:spacing w:after="0" w:line="238"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 down accounting (where all assets were marked to fair value as of the closing date of the Refinitiv Transaction).</w:t>
      </w:r>
    </w:p>
    <w:p>
      <w:pPr>
        <w:ind w:left="660" w:right="20" w:hanging="328"/>
        <w:spacing w:after="0" w:line="238"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the payroll taxes associated with exercises of such options during the applicable period.</w:t>
      </w:r>
    </w:p>
    <w:p>
      <w:pPr>
        <w:ind w:left="660" w:right="80" w:hanging="328"/>
        <w:spacing w:after="0" w:line="242"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jc w:val="center"/>
              <w:ind w:right="59"/>
              <w:spacing w:after="0"/>
              <w:rPr>
                <w:sz w:val="20"/>
                <w:szCs w:val="20"/>
                <w:color w:val="auto"/>
              </w:rPr>
            </w:pPr>
            <w:r>
              <w:rPr>
                <w:rFonts w:ascii="Arial" w:cs="Arial" w:eastAsia="Arial" w:hAnsi="Arial"/>
                <w:sz w:val="16"/>
                <w:szCs w:val="16"/>
                <w:b w:val="1"/>
                <w:bCs w:val="1"/>
                <w:color w:val="auto"/>
              </w:rPr>
              <w:t>Trailing Twelve Months</w:t>
            </w:r>
          </w:p>
        </w:tc>
      </w:tr>
      <w:tr>
        <w:trPr>
          <w:trHeight w:val="228"/>
        </w:trPr>
        <w:tc>
          <w:tcPr>
            <w:tcW w:w="9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140" w:type="dxa"/>
            <w:vAlign w:val="bottom"/>
          </w:tcPr>
          <w:p>
            <w:pPr>
              <w:spacing w:after="0"/>
              <w:rPr>
                <w:sz w:val="19"/>
                <w:szCs w:val="19"/>
                <w:color w:val="auto"/>
              </w:rPr>
            </w:pPr>
          </w:p>
        </w:tc>
        <w:tc>
          <w:tcPr>
            <w:tcW w:w="1960" w:type="dxa"/>
            <w:vAlign w:val="bottom"/>
          </w:tcPr>
          <w:p>
            <w:pPr>
              <w:jc w:val="center"/>
              <w:ind w:right="59"/>
              <w:spacing w:after="0"/>
              <w:rPr>
                <w:sz w:val="20"/>
                <w:szCs w:val="20"/>
                <w:color w:val="auto"/>
              </w:rPr>
            </w:pPr>
            <w:r>
              <w:rPr>
                <w:rFonts w:ascii="Arial" w:cs="Arial" w:eastAsia="Arial" w:hAnsi="Arial"/>
                <w:sz w:val="16"/>
                <w:szCs w:val="16"/>
                <w:b w:val="1"/>
                <w:bCs w:val="1"/>
                <w:color w:val="auto"/>
              </w:rPr>
              <w:t>Ended March 31, 2021</w:t>
            </w:r>
          </w:p>
        </w:tc>
      </w:tr>
      <w:tr>
        <w:trPr>
          <w:trHeight w:val="233"/>
        </w:trPr>
        <w:tc>
          <w:tcPr>
            <w:tcW w:w="9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9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1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520,564</w:t>
            </w:r>
          </w:p>
        </w:tc>
      </w:tr>
      <w:tr>
        <w:trPr>
          <w:trHeight w:val="233"/>
        </w:trPr>
        <w:tc>
          <w:tcPr>
            <w:tcW w:w="914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1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(32,249)</w:t>
            </w:r>
          </w:p>
        </w:tc>
      </w:tr>
      <w:tr>
        <w:trPr>
          <w:trHeight w:val="246"/>
        </w:trPr>
        <w:tc>
          <w:tcPr>
            <w:tcW w:w="9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140" w:type="dxa"/>
            <w:vAlign w:val="bottom"/>
            <w:tcBorders>
              <w:bottom w:val="single" w:sz="8" w:color="auto"/>
            </w:tcBorders>
            <w:shd w:val="clear" w:color="auto" w:fill="D5DCE4"/>
          </w:tcPr>
          <w:p>
            <w:pPr>
              <w:spacing w:after="0"/>
              <w:rPr>
                <w:sz w:val="21"/>
                <w:szCs w:val="21"/>
                <w:color w:val="auto"/>
              </w:rPr>
            </w:pPr>
          </w:p>
        </w:tc>
        <w:tc>
          <w:tcPr>
            <w:tcW w:w="1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(14,551)</w:t>
            </w:r>
          </w:p>
        </w:tc>
      </w:tr>
      <w:tr>
        <w:trPr>
          <w:trHeight w:val="243"/>
        </w:trPr>
        <w:tc>
          <w:tcPr>
            <w:tcW w:w="91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473,764</w:t>
            </w:r>
          </w:p>
        </w:tc>
      </w:tr>
      <w:tr>
        <w:trPr>
          <w:trHeight w:val="21"/>
        </w:trPr>
        <w:tc>
          <w:tcPr>
            <w:tcW w:w="9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70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6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Quarter Ended March 31,</w:t>
            </w:r>
          </w:p>
        </w:tc>
      </w:tr>
      <w:tr>
        <w:trPr>
          <w:trHeight w:val="256"/>
        </w:trPr>
        <w:tc>
          <w:tcPr>
            <w:tcW w:w="20" w:type="dxa"/>
            <w:vAlign w:val="bottom"/>
          </w:tcPr>
          <w:p>
            <w:pPr>
              <w:spacing w:after="0"/>
              <w:rPr>
                <w:sz w:val="22"/>
                <w:szCs w:val="22"/>
                <w:color w:val="auto"/>
              </w:rPr>
            </w:pPr>
          </w:p>
        </w:tc>
        <w:tc>
          <w:tcPr>
            <w:tcW w:w="7080" w:type="dxa"/>
            <w:vAlign w:val="bottom"/>
            <w:gridSpan w:val="4"/>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480" w:type="dxa"/>
            <w:vAlign w:val="bottom"/>
          </w:tcPr>
          <w:p>
            <w:pPr>
              <w:spacing w:after="0"/>
              <w:rPr>
                <w:sz w:val="22"/>
                <w:szCs w:val="22"/>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2020</w:t>
            </w:r>
          </w:p>
        </w:tc>
      </w:tr>
      <w:tr>
        <w:trPr>
          <w:trHeight w:val="233"/>
        </w:trPr>
        <w:tc>
          <w:tcPr>
            <w:tcW w:w="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Borders>
              <w:top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(in thousands, except share and per share amounts)</w:t>
            </w:r>
          </w:p>
        </w:tc>
      </w:tr>
      <w:tr>
        <w:trPr>
          <w:trHeight w:val="233"/>
        </w:trPr>
        <w:tc>
          <w:tcPr>
            <w:tcW w:w="2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6260" w:type="dxa"/>
            <w:vAlign w:val="bottom"/>
            <w:tcBorders>
              <w:bottom w:val="single" w:sz="8" w:color="D5DCE4"/>
            </w:tcBorders>
            <w:gridSpan w:val="3"/>
            <w:shd w:val="clear" w:color="auto" w:fill="D5DCE4"/>
          </w:tcPr>
          <w:p>
            <w:pPr>
              <w:spacing w:after="0"/>
              <w:rPr>
                <w:sz w:val="20"/>
                <w:szCs w:val="20"/>
                <w:color w:val="auto"/>
              </w:rPr>
            </w:pPr>
          </w:p>
        </w:tc>
        <w:tc>
          <w:tcPr>
            <w:tcW w:w="480" w:type="dxa"/>
            <w:vAlign w:val="bottom"/>
            <w:tcBorders>
              <w:bottom w:val="single" w:sz="8" w:color="D5DCE4"/>
            </w:tcBorders>
            <w:shd w:val="clear" w:color="auto" w:fill="D5DCE4"/>
          </w:tcPr>
          <w:p>
            <w:pPr>
              <w:spacing w:after="0"/>
              <w:rPr>
                <w:sz w:val="20"/>
                <w:szCs w:val="20"/>
                <w:color w:val="auto"/>
              </w:rPr>
            </w:pPr>
          </w:p>
        </w:tc>
        <w:tc>
          <w:tcPr>
            <w:tcW w:w="156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460" w:type="dxa"/>
            <w:vAlign w:val="bottom"/>
            <w:tcBorders>
              <w:bottom w:val="single" w:sz="8" w:color="D5DCE4"/>
            </w:tcBorders>
            <w:shd w:val="clear" w:color="auto" w:fill="D5DCE4"/>
          </w:tcPr>
          <w:p>
            <w:pPr>
              <w:spacing w:after="0"/>
              <w:rPr>
                <w:sz w:val="20"/>
                <w:szCs w:val="20"/>
                <w:color w:val="auto"/>
              </w:rPr>
            </w:pPr>
          </w:p>
        </w:tc>
        <w:tc>
          <w:tcPr>
            <w:tcW w:w="1560" w:type="dxa"/>
            <w:vAlign w:val="bottom"/>
            <w:tcBorders>
              <w:bottom w:val="single" w:sz="8" w:color="D5DCE4"/>
            </w:tcBorders>
            <w:shd w:val="clear" w:color="auto" w:fill="D5DCE4"/>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708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67,859</w:t>
            </w:r>
          </w:p>
        </w:tc>
        <w:tc>
          <w:tcPr>
            <w:tcW w:w="8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43,928</w:t>
            </w:r>
          </w:p>
        </w:tc>
      </w:tr>
      <w:tr>
        <w:trPr>
          <w:trHeight w:val="266"/>
        </w:trPr>
        <w:tc>
          <w:tcPr>
            <w:tcW w:w="20" w:type="dxa"/>
            <w:vAlign w:val="bottom"/>
            <w:shd w:val="clear" w:color="auto" w:fill="D5DCE4"/>
          </w:tcPr>
          <w:p>
            <w:pPr>
              <w:spacing w:after="0"/>
              <w:rPr>
                <w:sz w:val="23"/>
                <w:szCs w:val="23"/>
                <w:color w:val="auto"/>
              </w:rPr>
            </w:pPr>
          </w:p>
        </w:tc>
        <w:tc>
          <w:tcPr>
            <w:tcW w:w="820" w:type="dxa"/>
            <w:vAlign w:val="bottom"/>
            <w:shd w:val="clear" w:color="auto" w:fill="D5DCE4"/>
          </w:tcPr>
          <w:p>
            <w:pPr>
              <w:spacing w:after="0"/>
              <w:rPr>
                <w:sz w:val="23"/>
                <w:szCs w:val="23"/>
                <w:color w:val="auto"/>
              </w:rPr>
            </w:pPr>
          </w:p>
        </w:tc>
        <w:tc>
          <w:tcPr>
            <w:tcW w:w="160" w:type="dxa"/>
            <w:vAlign w:val="bottom"/>
            <w:shd w:val="clear" w:color="auto" w:fill="D5DCE4"/>
          </w:tcPr>
          <w:p>
            <w:pPr>
              <w:spacing w:after="0"/>
              <w:rPr>
                <w:sz w:val="23"/>
                <w:szCs w:val="23"/>
                <w:color w:val="auto"/>
              </w:rPr>
            </w:pPr>
          </w:p>
        </w:tc>
        <w:tc>
          <w:tcPr>
            <w:tcW w:w="602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80" w:type="dxa"/>
            <w:vAlign w:val="bottom"/>
            <w:shd w:val="clear" w:color="auto" w:fill="D5DCE4"/>
          </w:tcPr>
          <w:p>
            <w:pPr>
              <w:spacing w:after="0"/>
              <w:rPr>
                <w:sz w:val="23"/>
                <w:szCs w:val="23"/>
                <w:color w:val="auto"/>
              </w:rPr>
            </w:pPr>
          </w:p>
        </w:tc>
        <w:tc>
          <w:tcPr>
            <w:tcW w:w="156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460" w:type="dxa"/>
            <w:vAlign w:val="bottom"/>
            <w:shd w:val="clear" w:color="auto" w:fill="D5DCE4"/>
          </w:tcPr>
          <w:p>
            <w:pPr>
              <w:spacing w:after="0"/>
              <w:rPr>
                <w:sz w:val="23"/>
                <w:szCs w:val="23"/>
                <w:color w:val="auto"/>
              </w:rPr>
            </w:pPr>
          </w:p>
        </w:tc>
        <w:tc>
          <w:tcPr>
            <w:tcW w:w="1560" w:type="dxa"/>
            <w:vAlign w:val="bottom"/>
            <w:shd w:val="clear" w:color="auto" w:fill="D5DCE4"/>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08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20" w:type="dxa"/>
            <w:vAlign w:val="bottom"/>
            <w:shd w:val="clear" w:color="auto" w:fill="D5DCE4"/>
          </w:tcPr>
          <w:p>
            <w:pPr>
              <w:spacing w:after="0"/>
              <w:rPr>
                <w:sz w:val="21"/>
                <w:szCs w:val="21"/>
                <w:color w:val="auto"/>
              </w:rPr>
            </w:pPr>
          </w:p>
        </w:tc>
        <w:tc>
          <w:tcPr>
            <w:tcW w:w="708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Weighted average shares of Class A and Class B common stock outstanding - Basic</w:t>
            </w:r>
          </w:p>
        </w:tc>
        <w:tc>
          <w:tcPr>
            <w:tcW w:w="480" w:type="dxa"/>
            <w:vAlign w:val="bottom"/>
            <w:shd w:val="clear" w:color="auto" w:fill="D5DCE4"/>
          </w:tcPr>
          <w:p>
            <w:pPr>
              <w:spacing w:after="0"/>
              <w:rPr>
                <w:sz w:val="21"/>
                <w:szCs w:val="21"/>
                <w:color w:val="auto"/>
              </w:rPr>
            </w:pPr>
          </w:p>
        </w:tc>
        <w:tc>
          <w:tcPr>
            <w:tcW w:w="15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199,064,607</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5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166,234,749</w:t>
            </w:r>
          </w:p>
        </w:tc>
      </w:tr>
      <w:tr>
        <w:trPr>
          <w:trHeight w:val="233"/>
        </w:trPr>
        <w:tc>
          <w:tcPr>
            <w:tcW w:w="20" w:type="dxa"/>
            <w:vAlign w:val="bottom"/>
          </w:tcPr>
          <w:p>
            <w:pPr>
              <w:spacing w:after="0"/>
              <w:rPr>
                <w:sz w:val="20"/>
                <w:szCs w:val="20"/>
                <w:color w:val="auto"/>
              </w:rPr>
            </w:pPr>
          </w:p>
        </w:tc>
        <w:tc>
          <w:tcPr>
            <w:tcW w:w="7080" w:type="dxa"/>
            <w:vAlign w:val="bottom"/>
            <w:gridSpan w:val="4"/>
          </w:tcPr>
          <w:p>
            <w:pPr>
              <w:ind w:left="120"/>
              <w:spacing w:after="0"/>
              <w:rPr>
                <w:sz w:val="20"/>
                <w:szCs w:val="20"/>
                <w:color w:val="auto"/>
              </w:rPr>
            </w:pPr>
            <w:r>
              <w:rPr>
                <w:rFonts w:ascii="Arial" w:cs="Arial" w:eastAsia="Arial" w:hAnsi="Arial"/>
                <w:sz w:val="16"/>
                <w:szCs w:val="16"/>
                <w:color w:val="auto"/>
              </w:rPr>
              <w:t>Dilutive effect of equity-settled PRSUs</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1,832,308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2,038,422</w:t>
            </w:r>
          </w:p>
        </w:tc>
      </w:tr>
      <w:tr>
        <w:trPr>
          <w:trHeight w:val="253"/>
        </w:trPr>
        <w:tc>
          <w:tcPr>
            <w:tcW w:w="20" w:type="dxa"/>
            <w:vAlign w:val="bottom"/>
            <w:shd w:val="clear" w:color="auto" w:fill="D5DCE4"/>
          </w:tcPr>
          <w:p>
            <w:pPr>
              <w:spacing w:after="0"/>
              <w:rPr>
                <w:sz w:val="21"/>
                <w:szCs w:val="21"/>
                <w:color w:val="auto"/>
              </w:rPr>
            </w:pPr>
          </w:p>
        </w:tc>
        <w:tc>
          <w:tcPr>
            <w:tcW w:w="708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480" w:type="dxa"/>
            <w:vAlign w:val="bottom"/>
            <w:shd w:val="clear" w:color="auto" w:fill="D5DCE4"/>
          </w:tcPr>
          <w:p>
            <w:pPr>
              <w:spacing w:after="0"/>
              <w:rPr>
                <w:sz w:val="21"/>
                <w:szCs w:val="21"/>
                <w:color w:val="auto"/>
              </w:rPr>
            </w:pPr>
          </w:p>
        </w:tc>
        <w:tc>
          <w:tcPr>
            <w:tcW w:w="15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3,851,594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5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6,221,549</w:t>
            </w:r>
          </w:p>
        </w:tc>
      </w:tr>
      <w:tr>
        <w:trPr>
          <w:trHeight w:val="237"/>
        </w:trPr>
        <w:tc>
          <w:tcPr>
            <w:tcW w:w="20" w:type="dxa"/>
            <w:vAlign w:val="bottom"/>
            <w:tcBorders>
              <w:bottom w:val="single" w:sz="8" w:color="D5DCE4"/>
            </w:tcBorders>
          </w:tcPr>
          <w:p>
            <w:pPr>
              <w:spacing w:after="0"/>
              <w:rPr>
                <w:sz w:val="20"/>
                <w:szCs w:val="20"/>
                <w:color w:val="auto"/>
              </w:rPr>
            </w:pPr>
          </w:p>
        </w:tc>
        <w:tc>
          <w:tcPr>
            <w:tcW w:w="7080" w:type="dxa"/>
            <w:vAlign w:val="bottom"/>
            <w:tcBorders>
              <w:bottom w:val="single" w:sz="8" w:color="D5DCE4"/>
            </w:tcBorders>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280,208</w:t>
            </w:r>
          </w:p>
        </w:tc>
        <w:tc>
          <w:tcPr>
            <w:tcW w:w="80" w:type="dxa"/>
            <w:vAlign w:val="bottom"/>
            <w:tcBorders>
              <w:bottom w:val="single" w:sz="8" w:color="D5DCE4"/>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22,524</w:t>
            </w: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708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Weighted average shares of Class A and Class B common stock outstanding - Diluted</w:t>
            </w:r>
          </w:p>
        </w:tc>
        <w:tc>
          <w:tcPr>
            <w:tcW w:w="480" w:type="dxa"/>
            <w:vAlign w:val="bottom"/>
            <w:tcBorders>
              <w:bottom w:val="single" w:sz="8" w:color="auto"/>
            </w:tcBorders>
            <w:shd w:val="clear" w:color="auto" w:fill="D5DCE4"/>
          </w:tcPr>
          <w:p>
            <w:pPr>
              <w:spacing w:after="0"/>
              <w:rPr>
                <w:sz w:val="22"/>
                <w:szCs w:val="22"/>
                <w:color w:val="auto"/>
              </w:rPr>
            </w:pPr>
          </w:p>
        </w:tc>
        <w:tc>
          <w:tcPr>
            <w:tcW w:w="15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205,028,717</w:t>
            </w:r>
          </w:p>
        </w:tc>
        <w:tc>
          <w:tcPr>
            <w:tcW w:w="80" w:type="dxa"/>
            <w:vAlign w:val="bottom"/>
            <w:tcBorders>
              <w:bottom w:val="single" w:sz="8" w:color="D5DCE4"/>
            </w:tcBorders>
            <w:shd w:val="clear" w:color="auto" w:fill="D5DCE4"/>
          </w:tcPr>
          <w:p>
            <w:pPr>
              <w:spacing w:after="0"/>
              <w:rPr>
                <w:sz w:val="22"/>
                <w:szCs w:val="22"/>
                <w:color w:val="auto"/>
              </w:rPr>
            </w:pPr>
          </w:p>
        </w:tc>
        <w:tc>
          <w:tcPr>
            <w:tcW w:w="460" w:type="dxa"/>
            <w:vAlign w:val="bottom"/>
            <w:tcBorders>
              <w:bottom w:val="single" w:sz="8" w:color="auto"/>
            </w:tcBorders>
            <w:shd w:val="clear" w:color="auto" w:fill="D5DCE4"/>
          </w:tcPr>
          <w:p>
            <w:pPr>
              <w:spacing w:after="0"/>
              <w:rPr>
                <w:sz w:val="22"/>
                <w:szCs w:val="22"/>
                <w:color w:val="auto"/>
              </w:rPr>
            </w:pPr>
          </w:p>
        </w:tc>
        <w:tc>
          <w:tcPr>
            <w:tcW w:w="15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174,517,244</w:t>
            </w: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60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5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560" w:type="dxa"/>
            <w:vAlign w:val="bottom"/>
            <w:tcBorders>
              <w:top w:val="single" w:sz="8" w:color="D5DCE4"/>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708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48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0.34</w:t>
            </w:r>
          </w:p>
        </w:tc>
        <w:tc>
          <w:tcPr>
            <w:tcW w:w="80" w:type="dxa"/>
            <w:vAlign w:val="bottom"/>
            <w:tcBorders>
              <w:bottom w:val="single" w:sz="8" w:color="D5DCE4"/>
            </w:tcBorders>
            <w:shd w:val="clear" w:color="auto" w:fill="D5DCE4"/>
          </w:tcPr>
          <w:p>
            <w:pPr>
              <w:spacing w:after="0"/>
              <w:rPr>
                <w:sz w:val="22"/>
                <w:szCs w:val="22"/>
                <w:color w:val="auto"/>
              </w:rPr>
            </w:pPr>
          </w:p>
        </w:tc>
        <w:tc>
          <w:tcPr>
            <w:tcW w:w="460" w:type="dxa"/>
            <w:vAlign w:val="bottom"/>
            <w:tcBorders>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0.26</w:t>
            </w: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60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D5DCE4"/>
              <w:bottom w:val="single" w:sz="8" w:color="auto"/>
            </w:tcBorders>
          </w:tcPr>
          <w:p>
            <w:pPr>
              <w:spacing w:after="0" w:line="20" w:lineRule="exact"/>
              <w:rPr>
                <w:sz w:val="1"/>
                <w:szCs w:val="1"/>
                <w:color w:val="auto"/>
              </w:rPr>
            </w:pPr>
          </w:p>
        </w:tc>
        <w:tc>
          <w:tcPr>
            <w:tcW w:w="15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56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GROSS REVENUES BY ASSET CLASS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ind w:left="38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2200" w:type="dxa"/>
            <w:vAlign w:val="bottom"/>
            <w:gridSpan w:val="5"/>
          </w:tcPr>
          <w:p>
            <w:pPr>
              <w:ind w:left="36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1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2"/>
                <w:szCs w:val="22"/>
                <w:color w:val="auto"/>
              </w:rPr>
            </w:pPr>
          </w:p>
        </w:tc>
        <w:tc>
          <w:tcPr>
            <w:tcW w:w="222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2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20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Fixed</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6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200" w:type="dxa"/>
            <w:vAlign w:val="bottom"/>
          </w:tcPr>
          <w:p>
            <w:pPr>
              <w:spacing w:after="0"/>
              <w:rPr>
                <w:sz w:val="20"/>
                <w:szCs w:val="20"/>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280" w:type="dxa"/>
            <w:vAlign w:val="bottom"/>
          </w:tcPr>
          <w:p>
            <w:pPr>
              <w:jc w:val="right"/>
              <w:ind w:right="339"/>
              <w:spacing w:after="0"/>
              <w:rPr>
                <w:sz w:val="20"/>
                <w:szCs w:val="20"/>
                <w:color w:val="auto"/>
              </w:rPr>
            </w:pPr>
            <w:r>
              <w:rPr>
                <w:rFonts w:ascii="Arial" w:cs="Arial" w:eastAsia="Arial" w:hAnsi="Arial"/>
                <w:sz w:val="16"/>
                <w:szCs w:val="16"/>
                <w:b w:val="1"/>
                <w:bCs w:val="1"/>
                <w:color w:val="auto"/>
              </w:rPr>
              <w:t>Variable</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33"/>
        </w:trPr>
        <w:tc>
          <w:tcPr>
            <w:tcW w:w="1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53"/>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89,651</w:t>
            </w: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53,278</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75,541</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50,498</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14,110</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2,780</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18.7 %</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5.5 %</w:t>
            </w:r>
          </w:p>
        </w:tc>
      </w:tr>
      <w:tr>
        <w:trPr>
          <w:trHeight w:val="23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67,998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48,575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19,423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967</w:t>
            </w:r>
          </w:p>
        </w:tc>
        <w:tc>
          <w:tcPr>
            <w:tcW w:w="1480" w:type="dxa"/>
            <w:vAlign w:val="bottom"/>
            <w:gridSpan w:val="2"/>
          </w:tcPr>
          <w:p>
            <w:pPr>
              <w:jc w:val="right"/>
              <w:ind w:right="119"/>
              <w:spacing w:after="0"/>
              <w:rPr>
                <w:sz w:val="20"/>
                <w:szCs w:val="20"/>
                <w:color w:val="auto"/>
              </w:rPr>
            </w:pPr>
            <w:r>
              <w:rPr>
                <w:rFonts w:ascii="Arial" w:cs="Arial" w:eastAsia="Arial" w:hAnsi="Arial"/>
                <w:sz w:val="16"/>
                <w:szCs w:val="16"/>
                <w:color w:val="auto"/>
              </w:rPr>
              <w:t>40.0 %</w:t>
            </w:r>
          </w:p>
        </w:tc>
        <w:tc>
          <w:tcPr>
            <w:tcW w:w="940" w:type="dxa"/>
            <w:vAlign w:val="bottom"/>
          </w:tcPr>
          <w:p>
            <w:pPr>
              <w:jc w:val="right"/>
              <w:spacing w:after="0"/>
              <w:rPr>
                <w:sz w:val="20"/>
                <w:szCs w:val="20"/>
                <w:color w:val="auto"/>
              </w:rPr>
            </w:pPr>
            <w:r>
              <w:rPr>
                <w:rFonts w:ascii="Arial" w:cs="Arial" w:eastAsia="Arial" w:hAnsi="Arial"/>
                <w:sz w:val="16"/>
                <w:szCs w:val="16"/>
                <w:color w:val="auto"/>
              </w:rPr>
              <w:t>17.9 %</w:t>
            </w:r>
          </w:p>
        </w:tc>
      </w:tr>
      <w:tr>
        <w:trPr>
          <w:trHeight w:val="253"/>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8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15,980</w:t>
            </w: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2,881</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17,100</w:t>
            </w:r>
          </w:p>
        </w:tc>
        <w:tc>
          <w:tcPr>
            <w:tcW w:w="20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2,334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(1,120)</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547</w:t>
            </w:r>
          </w:p>
        </w:tc>
        <w:tc>
          <w:tcPr>
            <w:tcW w:w="1480" w:type="dxa"/>
            <w:vAlign w:val="bottom"/>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(6.5)%</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23.4 %</w:t>
            </w:r>
          </w:p>
        </w:tc>
      </w:tr>
      <w:tr>
        <w:trPr>
          <w:trHeight w:val="23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6,713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480" w:type="dxa"/>
            <w:vAlign w:val="bottom"/>
            <w:gridSpan w:val="2"/>
          </w:tcPr>
          <w:p>
            <w:pPr>
              <w:jc w:val="right"/>
              <w:ind w:right="119"/>
              <w:spacing w:after="0"/>
              <w:rPr>
                <w:sz w:val="20"/>
                <w:szCs w:val="20"/>
                <w:color w:val="auto"/>
              </w:rPr>
            </w:pPr>
            <w:r>
              <w:rPr>
                <w:rFonts w:ascii="Arial" w:cs="Arial" w:eastAsia="Arial" w:hAnsi="Arial"/>
                <w:sz w:val="16"/>
                <w:szCs w:val="16"/>
                <w:color w:val="auto"/>
              </w:rPr>
              <w:t>(5.9)%</w:t>
            </w:r>
          </w:p>
        </w:tc>
        <w:tc>
          <w:tcPr>
            <w:tcW w:w="94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53"/>
        </w:trPr>
        <w:tc>
          <w:tcPr>
            <w:tcW w:w="2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104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19,972</w:t>
            </w:r>
          </w:p>
        </w:tc>
        <w:tc>
          <w:tcPr>
            <w:tcW w:w="12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1040" w:type="dxa"/>
            <w:vAlign w:val="bottom"/>
            <w:gridSpan w:val="2"/>
            <w:shd w:val="clear" w:color="auto" w:fill="D5DCE4"/>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18,562</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92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5DCE4"/>
          </w:tcPr>
          <w:p>
            <w:pPr>
              <w:spacing w:after="0"/>
              <w:rPr>
                <w:sz w:val="21"/>
                <w:szCs w:val="21"/>
                <w:color w:val="auto"/>
              </w:rPr>
            </w:pPr>
          </w:p>
        </w:tc>
        <w:tc>
          <w:tcPr>
            <w:tcW w:w="7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1,410</w:t>
            </w:r>
          </w:p>
        </w:tc>
        <w:tc>
          <w:tcPr>
            <w:tcW w:w="20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7.6 %</w:t>
            </w:r>
          </w:p>
        </w:tc>
      </w:tr>
      <w:tr>
        <w:trPr>
          <w:trHeight w:val="236"/>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5,385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1,066</w:t>
            </w:r>
          </w:p>
        </w:tc>
        <w:tc>
          <w:tcPr>
            <w:tcW w:w="200" w:type="dxa"/>
            <w:vAlign w:val="bottom"/>
          </w:tcPr>
          <w:p>
            <w:pPr>
              <w:spacing w:after="0"/>
              <w:rPr>
                <w:sz w:val="20"/>
                <w:szCs w:val="20"/>
                <w:color w:val="auto"/>
              </w:rPr>
            </w:pP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19.8 %</w:t>
            </w:r>
          </w:p>
        </w:tc>
      </w:tr>
      <w:tr>
        <w:trPr>
          <w:trHeight w:val="268"/>
        </w:trPr>
        <w:tc>
          <w:tcPr>
            <w:tcW w:w="2160" w:type="dxa"/>
            <w:vAlign w:val="bottom"/>
            <w:tcBorders>
              <w:top w:val="single" w:sz="8" w:color="D5DCE4"/>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180,342</w:t>
            </w:r>
          </w:p>
        </w:tc>
        <w:tc>
          <w:tcPr>
            <w:tcW w:w="180" w:type="dxa"/>
            <w:vAlign w:val="bottom"/>
            <w:tcBorders>
              <w:top w:val="single" w:sz="8" w:color="D5DCE4"/>
              <w:bottom w:val="single" w:sz="8" w:color="D5DCE4"/>
            </w:tcBorders>
            <w:shd w:val="clear" w:color="auto" w:fill="D5DCE4"/>
          </w:tcPr>
          <w:p>
            <w:pPr>
              <w:spacing w:after="0"/>
              <w:rPr>
                <w:sz w:val="22"/>
                <w:szCs w:val="22"/>
                <w:color w:val="auto"/>
              </w:rPr>
            </w:pPr>
          </w:p>
        </w:tc>
        <w:tc>
          <w:tcPr>
            <w:tcW w:w="2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93,057</w:t>
            </w:r>
          </w:p>
        </w:tc>
        <w:tc>
          <w:tcPr>
            <w:tcW w:w="120" w:type="dxa"/>
            <w:vAlign w:val="bottom"/>
            <w:tcBorders>
              <w:top w:val="single" w:sz="8" w:color="D5DCE4"/>
              <w:bottom w:val="single" w:sz="8" w:color="D5DCE4"/>
            </w:tcBorders>
            <w:shd w:val="clear" w:color="auto" w:fill="D5DCE4"/>
          </w:tcPr>
          <w:p>
            <w:pPr>
              <w:spacing w:after="0"/>
              <w:rPr>
                <w:sz w:val="22"/>
                <w:szCs w:val="22"/>
                <w:color w:val="auto"/>
              </w:rPr>
            </w:pPr>
          </w:p>
        </w:tc>
        <w:tc>
          <w:tcPr>
            <w:tcW w:w="1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148,353</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86,253</w:t>
            </w:r>
          </w:p>
        </w:tc>
        <w:tc>
          <w:tcPr>
            <w:tcW w:w="200" w:type="dxa"/>
            <w:vAlign w:val="bottom"/>
            <w:tcBorders>
              <w:top w:val="single" w:sz="8" w:color="D5DCE4"/>
              <w:bottom w:val="single" w:sz="8" w:color="D5DCE4"/>
            </w:tcBorders>
            <w:shd w:val="clear" w:color="auto" w:fill="D5DCE4"/>
          </w:tcPr>
          <w:p>
            <w:pPr>
              <w:spacing w:after="0"/>
              <w:rPr>
                <w:sz w:val="22"/>
                <w:szCs w:val="22"/>
                <w:color w:val="auto"/>
              </w:rPr>
            </w:pPr>
          </w:p>
        </w:tc>
        <w:tc>
          <w:tcPr>
            <w:tcW w:w="1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31,989</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20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6,804</w:t>
            </w:r>
          </w:p>
        </w:tc>
        <w:tc>
          <w:tcPr>
            <w:tcW w:w="1480" w:type="dxa"/>
            <w:vAlign w:val="bottom"/>
            <w:tcBorders>
              <w:top w:val="single" w:sz="8" w:color="D5DCE4"/>
              <w:bottom w:val="single" w:sz="8" w:color="D5DCE4"/>
            </w:tcBorders>
            <w:gridSpan w:val="2"/>
            <w:shd w:val="clear" w:color="auto" w:fill="D5DCE4"/>
          </w:tcPr>
          <w:p>
            <w:pPr>
              <w:jc w:val="right"/>
              <w:ind w:right="119"/>
              <w:spacing w:after="0"/>
              <w:rPr>
                <w:sz w:val="20"/>
                <w:szCs w:val="20"/>
                <w:color w:val="auto"/>
              </w:rPr>
            </w:pPr>
            <w:r>
              <w:rPr>
                <w:rFonts w:ascii="Arial" w:cs="Arial" w:eastAsia="Arial" w:hAnsi="Arial"/>
                <w:sz w:val="16"/>
                <w:szCs w:val="16"/>
                <w:color w:val="auto"/>
              </w:rPr>
              <w:t>21.6 %</w:t>
            </w:r>
          </w:p>
        </w:tc>
        <w:tc>
          <w:tcPr>
            <w:tcW w:w="940" w:type="dxa"/>
            <w:vAlign w:val="bottom"/>
            <w:tcBorders>
              <w:top w:val="single" w:sz="8" w:color="D5DCE4"/>
              <w:bottom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7.9 %</w:t>
            </w:r>
          </w:p>
        </w:tc>
      </w:tr>
      <w:tr>
        <w:trPr>
          <w:trHeight w:val="20"/>
        </w:trPr>
        <w:tc>
          <w:tcPr>
            <w:tcW w:w="196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60" w:type="dxa"/>
            <w:vAlign w:val="bottom"/>
            <w:tcBorders>
              <w:top w:val="single" w:sz="8" w:color="D5DCE4"/>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780" w:type="dxa"/>
            <w:vAlign w:val="bottom"/>
            <w:tcBorders>
              <w:top w:val="single" w:sz="8" w:color="D5DCE4"/>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84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bottom w:val="single" w:sz="8" w:color="auto"/>
            </w:tcBorders>
          </w:tcPr>
          <w:p>
            <w:pPr>
              <w:spacing w:after="0" w:line="20" w:lineRule="exact"/>
              <w:rPr>
                <w:sz w:val="1"/>
                <w:szCs w:val="1"/>
                <w:color w:val="auto"/>
              </w:rPr>
            </w:pPr>
          </w:p>
        </w:tc>
        <w:tc>
          <w:tcPr>
            <w:tcW w:w="80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8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bottom w:val="single" w:sz="8" w:color="auto"/>
            </w:tcBorders>
          </w:tcPr>
          <w:p>
            <w:pPr>
              <w:spacing w:after="0" w:line="20" w:lineRule="exact"/>
              <w:rPr>
                <w:sz w:val="1"/>
                <w:szCs w:val="1"/>
                <w:color w:val="auto"/>
              </w:rPr>
            </w:pPr>
          </w:p>
        </w:tc>
        <w:tc>
          <w:tcPr>
            <w:tcW w:w="760" w:type="dxa"/>
            <w:vAlign w:val="bottom"/>
            <w:tcBorders>
              <w:top w:val="single" w:sz="8" w:color="D5DCE4"/>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280" w:type="dxa"/>
            <w:vAlign w:val="bottom"/>
            <w:tcBorders>
              <w:top w:val="single" w:sz="8" w:color="D5DCE4"/>
            </w:tcBorders>
          </w:tcPr>
          <w:p>
            <w:pPr>
              <w:spacing w:after="0" w:line="20" w:lineRule="exact"/>
              <w:rPr>
                <w:sz w:val="1"/>
                <w:szCs w:val="1"/>
                <w:color w:val="auto"/>
              </w:rPr>
            </w:pPr>
          </w:p>
        </w:tc>
        <w:tc>
          <w:tcPr>
            <w:tcW w:w="940" w:type="dxa"/>
            <w:vAlign w:val="bottom"/>
            <w:tcBorders>
              <w:top w:val="single" w:sz="8" w:color="D5DCE4"/>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24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Quarter Ended March 31,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jc w:val="right"/>
              <w:ind w:right="759"/>
              <w:spacing w:after="0"/>
              <w:rPr>
                <w:sz w:val="20"/>
                <w:szCs w:val="20"/>
                <w:color w:val="auto"/>
              </w:rPr>
            </w:pPr>
            <w:r>
              <w:rPr>
                <w:rFonts w:ascii="Arial" w:cs="Arial" w:eastAsia="Arial" w:hAnsi="Arial"/>
                <w:sz w:val="16"/>
                <w:szCs w:val="16"/>
                <w:b w:val="1"/>
                <w:bCs w:val="1"/>
                <w:color w:val="auto"/>
              </w:rPr>
              <w:t>YoY</w:t>
            </w:r>
          </w:p>
        </w:tc>
      </w:tr>
      <w:tr>
        <w:trPr>
          <w:trHeight w:val="256"/>
        </w:trPr>
        <w:tc>
          <w:tcPr>
            <w:tcW w:w="5360" w:type="dxa"/>
            <w:vAlign w:val="bottom"/>
            <w:tcBorders>
              <w:bottom w:val="single" w:sz="8" w:color="D5DCE4"/>
            </w:tcBorders>
          </w:tcPr>
          <w:p>
            <w:pPr>
              <w:spacing w:after="0"/>
              <w:rPr>
                <w:sz w:val="22"/>
                <w:szCs w:val="22"/>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D5DCE4"/>
            </w:tcBorders>
          </w:tcPr>
          <w:p>
            <w:pPr>
              <w:spacing w:after="0"/>
              <w:rPr>
                <w:sz w:val="22"/>
                <w:szCs w:val="22"/>
                <w:color w:val="auto"/>
              </w:rPr>
            </w:pP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D5DCE4"/>
            </w:tcBorders>
          </w:tcPr>
          <w:p>
            <w:pPr>
              <w:spacing w:after="0"/>
              <w:rPr>
                <w:sz w:val="22"/>
                <w:szCs w:val="22"/>
                <w:color w:val="auto"/>
              </w:rPr>
            </w:pPr>
          </w:p>
        </w:tc>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53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300" w:type="dxa"/>
            <w:vAlign w:val="bottom"/>
            <w:shd w:val="clear" w:color="auto" w:fill="D5DCE4"/>
          </w:tcPr>
          <w:p>
            <w:pPr>
              <w:jc w:val="right"/>
              <w:ind w:right="109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2.19</w:t>
            </w:r>
          </w:p>
        </w:tc>
        <w:tc>
          <w:tcPr>
            <w:tcW w:w="8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099"/>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2.05</w:t>
            </w:r>
          </w:p>
        </w:tc>
        <w:tc>
          <w:tcPr>
            <w:tcW w:w="80" w:type="dxa"/>
            <w:vAlign w:val="bottom"/>
            <w:shd w:val="clear" w:color="auto" w:fill="D5DCE4"/>
          </w:tcPr>
          <w:p>
            <w:pPr>
              <w:spacing w:after="0"/>
              <w:rPr>
                <w:sz w:val="21"/>
                <w:szCs w:val="21"/>
                <w:color w:val="auto"/>
              </w:rPr>
            </w:pPr>
          </w:p>
        </w:tc>
        <w:tc>
          <w:tcPr>
            <w:tcW w:w="19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6.9 %</w:t>
            </w:r>
          </w:p>
        </w:tc>
      </w:tr>
      <w:tr>
        <w:trPr>
          <w:trHeight w:val="233"/>
        </w:trPr>
        <w:tc>
          <w:tcPr>
            <w:tcW w:w="5360" w:type="dxa"/>
            <w:vAlign w:val="bottom"/>
          </w:tcPr>
          <w:p>
            <w:pPr>
              <w:ind w:left="140"/>
              <w:spacing w:after="0"/>
              <w:rPr>
                <w:sz w:val="20"/>
                <w:szCs w:val="20"/>
                <w:color w:val="auto"/>
              </w:rPr>
            </w:pPr>
            <w:r>
              <w:rPr>
                <w:rFonts w:ascii="Arial" w:cs="Arial" w:eastAsia="Arial" w:hAnsi="Arial"/>
                <w:sz w:val="16"/>
                <w:szCs w:val="16"/>
                <w:color w:val="auto"/>
              </w:rPr>
              <w:t>Cash Rates</w:t>
            </w:r>
          </w:p>
        </w:tc>
        <w:tc>
          <w:tcPr>
            <w:tcW w:w="1300" w:type="dxa"/>
            <w:vAlign w:val="bottom"/>
          </w:tcPr>
          <w:p>
            <w:pPr>
              <w:jc w:val="right"/>
              <w:ind w:right="10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20"/>
                <w:szCs w:val="20"/>
                <w:color w:val="auto"/>
              </w:rPr>
            </w:pP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53"/>
        </w:trPr>
        <w:tc>
          <w:tcPr>
            <w:tcW w:w="53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300" w:type="dxa"/>
            <w:vAlign w:val="bottom"/>
            <w:shd w:val="clear" w:color="auto" w:fill="D5DCE4"/>
          </w:tcPr>
          <w:p>
            <w:pPr>
              <w:jc w:val="right"/>
              <w:ind w:right="1099"/>
              <w:spacing w:after="0"/>
              <w:rPr>
                <w:sz w:val="20"/>
                <w:szCs w:val="20"/>
                <w:color w:val="auto"/>
              </w:rPr>
            </w:pPr>
            <w:r>
              <w:rPr>
                <w:rFonts w:ascii="Arial" w:cs="Arial" w:eastAsia="Arial" w:hAnsi="Arial"/>
                <w:sz w:val="16"/>
                <w:szCs w:val="16"/>
                <w:color w:val="auto"/>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2.56</w:t>
            </w:r>
          </w:p>
        </w:tc>
        <w:tc>
          <w:tcPr>
            <w:tcW w:w="8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0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D5DCE4"/>
          </w:tcPr>
          <w:p>
            <w:pPr>
              <w:spacing w:after="0"/>
              <w:rPr>
                <w:sz w:val="21"/>
                <w:szCs w:val="21"/>
                <w:color w:val="auto"/>
              </w:rPr>
            </w:pPr>
          </w:p>
        </w:tc>
        <w:tc>
          <w:tcPr>
            <w:tcW w:w="1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13.9 %</w:t>
            </w:r>
          </w:p>
        </w:tc>
      </w:tr>
      <w:tr>
        <w:trPr>
          <w:trHeight w:val="233"/>
        </w:trPr>
        <w:tc>
          <w:tcPr>
            <w:tcW w:w="5360" w:type="dxa"/>
            <w:vAlign w:val="bottom"/>
          </w:tcPr>
          <w:p>
            <w:pPr>
              <w:ind w:left="240"/>
              <w:spacing w:after="0"/>
              <w:rPr>
                <w:sz w:val="20"/>
                <w:szCs w:val="20"/>
                <w:color w:val="auto"/>
              </w:rPr>
            </w:pPr>
            <w:r>
              <w:rPr>
                <w:rFonts w:ascii="Arial" w:cs="Arial" w:eastAsia="Arial" w:hAnsi="Arial"/>
                <w:sz w:val="16"/>
                <w:szCs w:val="16"/>
                <w:color w:val="auto"/>
              </w:rPr>
              <w:t>Swaps / Swaptions Tenor (greater than 1 year)</w:t>
            </w:r>
          </w:p>
        </w:tc>
        <w:tc>
          <w:tcPr>
            <w:tcW w:w="1300" w:type="dxa"/>
            <w:vAlign w:val="bottom"/>
          </w:tcPr>
          <w:p>
            <w:pPr>
              <w:jc w:val="right"/>
              <w:ind w:right="10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20"/>
                <w:szCs w:val="20"/>
                <w:color w:val="auto"/>
              </w:rPr>
            </w:pP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13.8 %</w:t>
            </w:r>
          </w:p>
        </w:tc>
      </w:tr>
      <w:tr>
        <w:trPr>
          <w:trHeight w:val="253"/>
        </w:trPr>
        <w:tc>
          <w:tcPr>
            <w:tcW w:w="536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1300" w:type="dxa"/>
            <w:vAlign w:val="bottom"/>
            <w:shd w:val="clear" w:color="auto" w:fill="D5DCE4"/>
          </w:tcPr>
          <w:p>
            <w:pPr>
              <w:jc w:val="right"/>
              <w:ind w:right="1099"/>
              <w:spacing w:after="0"/>
              <w:rPr>
                <w:sz w:val="20"/>
                <w:szCs w:val="20"/>
                <w:color w:val="auto"/>
              </w:rPr>
            </w:pPr>
            <w:r>
              <w:rPr>
                <w:rFonts w:ascii="Arial" w:cs="Arial" w:eastAsia="Arial" w:hAnsi="Arial"/>
                <w:sz w:val="16"/>
                <w:szCs w:val="16"/>
                <w:color w:val="auto"/>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0.26</w:t>
            </w:r>
          </w:p>
        </w:tc>
        <w:tc>
          <w:tcPr>
            <w:tcW w:w="80" w:type="dxa"/>
            <w:vAlign w:val="bottom"/>
            <w:shd w:val="clear" w:color="auto" w:fill="D5DCE4"/>
          </w:tcPr>
          <w:p>
            <w:pPr>
              <w:spacing w:after="0"/>
              <w:rPr>
                <w:sz w:val="21"/>
                <w:szCs w:val="21"/>
                <w:color w:val="auto"/>
              </w:rPr>
            </w:pPr>
          </w:p>
        </w:tc>
        <w:tc>
          <w:tcPr>
            <w:tcW w:w="1280" w:type="dxa"/>
            <w:vAlign w:val="bottom"/>
            <w:shd w:val="clear" w:color="auto" w:fill="D5DCE4"/>
          </w:tcPr>
          <w:p>
            <w:pPr>
              <w:jc w:val="right"/>
              <w:ind w:right="10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0.16</w:t>
            </w:r>
          </w:p>
        </w:tc>
        <w:tc>
          <w:tcPr>
            <w:tcW w:w="80" w:type="dxa"/>
            <w:vAlign w:val="bottom"/>
            <w:shd w:val="clear" w:color="auto" w:fill="D5DCE4"/>
          </w:tcPr>
          <w:p>
            <w:pPr>
              <w:spacing w:after="0"/>
              <w:rPr>
                <w:sz w:val="21"/>
                <w:szCs w:val="21"/>
                <w:color w:val="auto"/>
              </w:rPr>
            </w:pPr>
          </w:p>
        </w:tc>
        <w:tc>
          <w:tcPr>
            <w:tcW w:w="1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58.6 %</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100" w:type="dxa"/>
            <w:vAlign w:val="bottom"/>
            <w:shd w:val="clear" w:color="auto" w:fill="D5DCE4"/>
          </w:tcPr>
          <w:p>
            <w:pPr>
              <w:jc w:val="right"/>
              <w:ind w:right="49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40.81</w:t>
            </w:r>
          </w:p>
        </w:tc>
        <w:tc>
          <w:tcPr>
            <w:tcW w:w="780" w:type="dxa"/>
            <w:vAlign w:val="bottom"/>
            <w:shd w:val="clear" w:color="auto" w:fill="D5DCE4"/>
          </w:tcPr>
          <w:p>
            <w:pPr>
              <w:jc w:val="right"/>
              <w:ind w:right="51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D5DCE4"/>
          </w:tcPr>
          <w:p>
            <w:pPr>
              <w:jc w:val="right"/>
              <w:ind w:right="699"/>
              <w:spacing w:after="0"/>
              <w:rPr>
                <w:sz w:val="20"/>
                <w:szCs w:val="20"/>
                <w:color w:val="auto"/>
              </w:rPr>
            </w:pPr>
            <w:r>
              <w:rPr>
                <w:rFonts w:ascii="Arial" w:cs="Arial" w:eastAsia="Arial" w:hAnsi="Arial"/>
                <w:sz w:val="16"/>
                <w:szCs w:val="16"/>
                <w:b w:val="1"/>
                <w:bCs w:val="1"/>
                <w:color w:val="auto"/>
              </w:rPr>
              <w:t>23.46</w:t>
            </w: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74.0 %</w:t>
            </w:r>
          </w:p>
        </w:tc>
      </w:tr>
      <w:tr>
        <w:trPr>
          <w:trHeight w:val="243"/>
        </w:trPr>
        <w:tc>
          <w:tcPr>
            <w:tcW w:w="49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1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135.45</w:t>
            </w: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699"/>
              <w:spacing w:after="0"/>
              <w:rPr>
                <w:sz w:val="20"/>
                <w:szCs w:val="20"/>
                <w:color w:val="auto"/>
              </w:rPr>
            </w:pPr>
            <w:r>
              <w:rPr>
                <w:rFonts w:ascii="Arial" w:cs="Arial" w:eastAsia="Arial" w:hAnsi="Arial"/>
                <w:sz w:val="16"/>
                <w:szCs w:val="16"/>
                <w:color w:val="auto"/>
              </w:rPr>
              <w:t>132.79</w:t>
            </w:r>
          </w:p>
        </w:tc>
        <w:tc>
          <w:tcPr>
            <w:tcW w:w="13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43"/>
        </w:trPr>
        <w:tc>
          <w:tcPr>
            <w:tcW w:w="49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110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6.33</w:t>
            </w:r>
          </w:p>
        </w:tc>
        <w:tc>
          <w:tcPr>
            <w:tcW w:w="780" w:type="dxa"/>
            <w:vAlign w:val="bottom"/>
            <w:shd w:val="clear" w:color="auto" w:fill="D5DCE4"/>
          </w:tcPr>
          <w:p>
            <w:pPr>
              <w:jc w:val="right"/>
              <w:ind w:right="519"/>
              <w:spacing w:after="0"/>
              <w:rPr>
                <w:sz w:val="20"/>
                <w:szCs w:val="20"/>
                <w:color w:val="auto"/>
              </w:rPr>
            </w:pPr>
            <w:r>
              <w:rPr>
                <w:rFonts w:ascii="Arial" w:cs="Arial" w:eastAsia="Arial" w:hAnsi="Arial"/>
                <w:sz w:val="16"/>
                <w:szCs w:val="16"/>
                <w:color w:val="auto"/>
              </w:rPr>
              <w:t>$</w:t>
            </w:r>
          </w:p>
        </w:tc>
        <w:tc>
          <w:tcPr>
            <w:tcW w:w="1860" w:type="dxa"/>
            <w:vAlign w:val="bottom"/>
            <w:shd w:val="clear" w:color="auto" w:fill="D5DCE4"/>
          </w:tcPr>
          <w:p>
            <w:pPr>
              <w:jc w:val="right"/>
              <w:ind w:right="699"/>
              <w:spacing w:after="0"/>
              <w:rPr>
                <w:sz w:val="20"/>
                <w:szCs w:val="20"/>
                <w:color w:val="auto"/>
              </w:rPr>
            </w:pPr>
            <w:r>
              <w:rPr>
                <w:rFonts w:ascii="Arial" w:cs="Arial" w:eastAsia="Arial" w:hAnsi="Arial"/>
                <w:sz w:val="16"/>
                <w:szCs w:val="16"/>
                <w:color w:val="auto"/>
              </w:rPr>
              <w:t>6.18</w:t>
            </w: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2.4 %</w:t>
            </w:r>
          </w:p>
        </w:tc>
      </w:tr>
      <w:tr>
        <w:trPr>
          <w:trHeight w:val="216"/>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4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100" w:type="dxa"/>
            <w:vAlign w:val="bottom"/>
            <w:shd w:val="clear" w:color="auto" w:fill="D5DCE4"/>
          </w:tcPr>
          <w:p>
            <w:pPr>
              <w:jc w:val="right"/>
              <w:ind w:right="49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16.05</w:t>
            </w:r>
          </w:p>
        </w:tc>
        <w:tc>
          <w:tcPr>
            <w:tcW w:w="780" w:type="dxa"/>
            <w:vAlign w:val="bottom"/>
            <w:shd w:val="clear" w:color="auto" w:fill="D5DCE4"/>
          </w:tcPr>
          <w:p>
            <w:pPr>
              <w:jc w:val="right"/>
              <w:ind w:right="51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D5DCE4"/>
          </w:tcPr>
          <w:p>
            <w:pPr>
              <w:jc w:val="right"/>
              <w:ind w:right="699"/>
              <w:spacing w:after="0"/>
              <w:rPr>
                <w:sz w:val="20"/>
                <w:szCs w:val="20"/>
                <w:color w:val="auto"/>
              </w:rPr>
            </w:pPr>
            <w:r>
              <w:rPr>
                <w:rFonts w:ascii="Arial" w:cs="Arial" w:eastAsia="Arial" w:hAnsi="Arial"/>
                <w:sz w:val="16"/>
                <w:szCs w:val="16"/>
                <w:b w:val="1"/>
                <w:bCs w:val="1"/>
                <w:color w:val="auto"/>
              </w:rPr>
              <w:t>15.38</w:t>
            </w: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4.3 %</w:t>
            </w:r>
          </w:p>
        </w:tc>
      </w:tr>
      <w:tr>
        <w:trPr>
          <w:trHeight w:val="233"/>
        </w:trPr>
        <w:tc>
          <w:tcPr>
            <w:tcW w:w="4960" w:type="dxa"/>
            <w:vAlign w:val="bottom"/>
          </w:tcPr>
          <w:p>
            <w:pPr>
              <w:ind w:left="140"/>
              <w:spacing w:after="0"/>
              <w:rPr>
                <w:sz w:val="20"/>
                <w:szCs w:val="20"/>
                <w:color w:val="auto"/>
              </w:rPr>
            </w:pPr>
            <w:r>
              <w:rPr>
                <w:rFonts w:ascii="Arial" w:cs="Arial" w:eastAsia="Arial" w:hAnsi="Arial"/>
                <w:sz w:val="16"/>
                <w:szCs w:val="16"/>
                <w:color w:val="auto"/>
              </w:rPr>
              <w:t>Cash Equities</w:t>
            </w:r>
          </w:p>
        </w:tc>
        <w:tc>
          <w:tcPr>
            <w:tcW w:w="11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23.63</w:t>
            </w: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699"/>
              <w:spacing w:after="0"/>
              <w:rPr>
                <w:sz w:val="20"/>
                <w:szCs w:val="20"/>
                <w:color w:val="auto"/>
              </w:rPr>
            </w:pPr>
            <w:r>
              <w:rPr>
                <w:rFonts w:ascii="Arial" w:cs="Arial" w:eastAsia="Arial" w:hAnsi="Arial"/>
                <w:sz w:val="16"/>
                <w:szCs w:val="16"/>
                <w:color w:val="auto"/>
              </w:rPr>
              <w:t>23.88</w:t>
            </w: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3"/>
        </w:trPr>
        <w:tc>
          <w:tcPr>
            <w:tcW w:w="49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Equity Derivatives</w:t>
            </w:r>
          </w:p>
        </w:tc>
        <w:tc>
          <w:tcPr>
            <w:tcW w:w="1100" w:type="dxa"/>
            <w:vAlign w:val="bottom"/>
            <w:shd w:val="clear" w:color="auto" w:fill="D5DCE4"/>
          </w:tcPr>
          <w:p>
            <w:pPr>
              <w:jc w:val="right"/>
              <w:ind w:right="4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6.46</w:t>
            </w:r>
          </w:p>
        </w:tc>
        <w:tc>
          <w:tcPr>
            <w:tcW w:w="780" w:type="dxa"/>
            <w:vAlign w:val="bottom"/>
            <w:shd w:val="clear" w:color="auto" w:fill="D5DCE4"/>
          </w:tcPr>
          <w:p>
            <w:pPr>
              <w:jc w:val="right"/>
              <w:ind w:right="519"/>
              <w:spacing w:after="0"/>
              <w:rPr>
                <w:sz w:val="20"/>
                <w:szCs w:val="20"/>
                <w:color w:val="auto"/>
              </w:rPr>
            </w:pPr>
            <w:r>
              <w:rPr>
                <w:rFonts w:ascii="Arial" w:cs="Arial" w:eastAsia="Arial" w:hAnsi="Arial"/>
                <w:sz w:val="16"/>
                <w:szCs w:val="16"/>
                <w:color w:val="auto"/>
              </w:rPr>
              <w:t>$</w:t>
            </w:r>
          </w:p>
        </w:tc>
        <w:tc>
          <w:tcPr>
            <w:tcW w:w="1860" w:type="dxa"/>
            <w:vAlign w:val="bottom"/>
            <w:shd w:val="clear" w:color="auto" w:fill="D5DCE4"/>
          </w:tcPr>
          <w:p>
            <w:pPr>
              <w:jc w:val="right"/>
              <w:ind w:right="699"/>
              <w:spacing w:after="0"/>
              <w:rPr>
                <w:sz w:val="20"/>
                <w:szCs w:val="20"/>
                <w:color w:val="auto"/>
              </w:rPr>
            </w:pPr>
            <w:r>
              <w:rPr>
                <w:rFonts w:ascii="Arial" w:cs="Arial" w:eastAsia="Arial" w:hAnsi="Arial"/>
                <w:sz w:val="16"/>
                <w:szCs w:val="16"/>
                <w:color w:val="auto"/>
              </w:rPr>
              <w:t>6.20</w:t>
            </w: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4.2 %</w:t>
            </w:r>
          </w:p>
        </w:tc>
      </w:tr>
      <w:tr>
        <w:trPr>
          <w:trHeight w:val="216"/>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4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 (Cash)</w:t>
            </w:r>
          </w:p>
        </w:tc>
        <w:tc>
          <w:tcPr>
            <w:tcW w:w="1100" w:type="dxa"/>
            <w:vAlign w:val="bottom"/>
            <w:shd w:val="clear" w:color="auto" w:fill="D5DCE4"/>
          </w:tcPr>
          <w:p>
            <w:pPr>
              <w:jc w:val="right"/>
              <w:ind w:right="49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0.31</w:t>
            </w:r>
          </w:p>
        </w:tc>
        <w:tc>
          <w:tcPr>
            <w:tcW w:w="780" w:type="dxa"/>
            <w:vAlign w:val="bottom"/>
            <w:shd w:val="clear" w:color="auto" w:fill="D5DCE4"/>
          </w:tcPr>
          <w:p>
            <w:pPr>
              <w:jc w:val="right"/>
              <w:ind w:right="51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D5DCE4"/>
          </w:tcPr>
          <w:p>
            <w:pPr>
              <w:jc w:val="right"/>
              <w:ind w:right="699"/>
              <w:spacing w:after="0"/>
              <w:rPr>
                <w:sz w:val="20"/>
                <w:szCs w:val="20"/>
                <w:color w:val="auto"/>
              </w:rPr>
            </w:pPr>
            <w:r>
              <w:rPr>
                <w:rFonts w:ascii="Arial" w:cs="Arial" w:eastAsia="Arial" w:hAnsi="Arial"/>
                <w:sz w:val="16"/>
                <w:szCs w:val="16"/>
                <w:b w:val="1"/>
                <w:bCs w:val="1"/>
                <w:color w:val="auto"/>
              </w:rPr>
              <w:t>0.45</w:t>
            </w: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(30.3)%</w:t>
            </w:r>
          </w:p>
        </w:tc>
      </w:tr>
      <w:tr>
        <w:trPr>
          <w:trHeight w:val="216"/>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4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1100" w:type="dxa"/>
            <w:vAlign w:val="bottom"/>
            <w:shd w:val="clear" w:color="auto" w:fill="D5DCE4"/>
          </w:tcPr>
          <w:p>
            <w:pPr>
              <w:jc w:val="right"/>
              <w:ind w:right="49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2.77</w:t>
            </w:r>
          </w:p>
        </w:tc>
        <w:tc>
          <w:tcPr>
            <w:tcW w:w="780" w:type="dxa"/>
            <w:vAlign w:val="bottom"/>
            <w:shd w:val="clear" w:color="auto" w:fill="D5DCE4"/>
          </w:tcPr>
          <w:p>
            <w:pPr>
              <w:jc w:val="right"/>
              <w:ind w:right="519"/>
              <w:spacing w:after="0"/>
              <w:rPr>
                <w:sz w:val="20"/>
                <w:szCs w:val="20"/>
                <w:color w:val="auto"/>
              </w:rPr>
            </w:pPr>
            <w:r>
              <w:rPr>
                <w:rFonts w:ascii="Arial" w:cs="Arial" w:eastAsia="Arial" w:hAnsi="Arial"/>
                <w:sz w:val="16"/>
                <w:szCs w:val="16"/>
                <w:b w:val="1"/>
                <w:bCs w:val="1"/>
                <w:color w:val="auto"/>
              </w:rPr>
              <w:t>$</w:t>
            </w:r>
          </w:p>
        </w:tc>
        <w:tc>
          <w:tcPr>
            <w:tcW w:w="1860" w:type="dxa"/>
            <w:vAlign w:val="bottom"/>
            <w:shd w:val="clear" w:color="auto" w:fill="D5DCE4"/>
          </w:tcPr>
          <w:p>
            <w:pPr>
              <w:jc w:val="right"/>
              <w:ind w:right="699"/>
              <w:spacing w:after="0"/>
              <w:rPr>
                <w:sz w:val="20"/>
                <w:szCs w:val="20"/>
                <w:color w:val="auto"/>
              </w:rPr>
            </w:pPr>
            <w:r>
              <w:rPr>
                <w:rFonts w:ascii="Arial" w:cs="Arial" w:eastAsia="Arial" w:hAnsi="Arial"/>
                <w:sz w:val="16"/>
                <w:szCs w:val="16"/>
                <w:b w:val="1"/>
                <w:bCs w:val="1"/>
                <w:color w:val="auto"/>
              </w:rPr>
              <w:t>2.65</w:t>
            </w: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4.6 %</w:t>
            </w:r>
          </w:p>
        </w:tc>
      </w:tr>
      <w:tr>
        <w:trPr>
          <w:trHeight w:val="294"/>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Fees per Million excluding Other Rates Derivatives </w:t>
            </w:r>
            <w:r>
              <w:rPr>
                <w:rFonts w:ascii="Arial" w:cs="Arial" w:eastAsia="Arial" w:hAnsi="Arial"/>
                <w:sz w:val="21"/>
                <w:szCs w:val="21"/>
                <w:b w:val="1"/>
                <w:bCs w:val="1"/>
                <w:color w:val="auto"/>
                <w:vertAlign w:val="superscript"/>
              </w:rPr>
              <w:t>(3)</w:t>
            </w:r>
          </w:p>
        </w:tc>
        <w:tc>
          <w:tcPr>
            <w:tcW w:w="11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3.05</w:t>
            </w:r>
          </w:p>
        </w:tc>
        <w:tc>
          <w:tcPr>
            <w:tcW w:w="78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699"/>
              <w:spacing w:after="0"/>
              <w:rPr>
                <w:sz w:val="20"/>
                <w:szCs w:val="20"/>
                <w:color w:val="auto"/>
              </w:rPr>
            </w:pPr>
            <w:r>
              <w:rPr>
                <w:rFonts w:ascii="Arial" w:cs="Arial" w:eastAsia="Arial" w:hAnsi="Arial"/>
                <w:sz w:val="16"/>
                <w:szCs w:val="16"/>
                <w:b w:val="1"/>
                <w:bCs w:val="1"/>
                <w:color w:val="auto"/>
              </w:rPr>
              <w:t>2.93</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4.2 %</w:t>
            </w:r>
          </w:p>
        </w:tc>
      </w:tr>
    </w:tbl>
    <w:p>
      <w:pPr>
        <w:spacing w:after="0" w:line="293"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Swaps/Swaptions of tenor less than 1 year and Rates Futures.</w:t>
      </w: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"cash credit" category represents the "credit" asset class excluding (1) credit derivatives and (2) U.S. High Grade and High Yield electronically processed ("EP") activity.</w:t>
      </w: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Included to contextualize the impact of short-tenored Swaps/Swaptions and Rates Futures on blended fees per million across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299" w:lineRule="exact"/>
        <w:rPr>
          <w:sz w:val="20"/>
          <w:szCs w:val="20"/>
          <w:color w:val="auto"/>
        </w:rPr>
      </w:pPr>
    </w:p>
    <w:p>
      <w:pPr>
        <w:ind w:left="3540"/>
        <w:spacing w:after="0"/>
        <w:rPr>
          <w:sz w:val="20"/>
          <w:szCs w:val="20"/>
          <w:color w:val="auto"/>
        </w:rPr>
      </w:pPr>
      <w:r>
        <w:rPr>
          <w:rFonts w:ascii="Arial" w:cs="Arial" w:eastAsia="Arial" w:hAnsi="Arial"/>
          <w:sz w:val="18"/>
          <w:szCs w:val="18"/>
          <w:color w:val="FFFFFF"/>
        </w:rPr>
        <w:t>2020 Q3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2021 Q1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1040"/>
              <w:spacing w:after="0"/>
              <w:rPr>
                <w:sz w:val="20"/>
                <w:szCs w:val="20"/>
                <w:color w:val="auto"/>
              </w:rPr>
            </w:pPr>
            <w:r>
              <w:rPr>
                <w:rFonts w:ascii="Arial" w:cs="Arial" w:eastAsia="Arial" w:hAnsi="Arial"/>
                <w:sz w:val="16"/>
                <w:szCs w:val="16"/>
                <w:b w:val="1"/>
                <w:bCs w:val="1"/>
                <w:color w:val="auto"/>
              </w:rPr>
              <w:t>2020 Q1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56"/>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2"/>
                <w:szCs w:val="22"/>
                <w:color w:val="auto"/>
              </w:rPr>
            </w:pP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3"/>
        </w:trPr>
        <w:tc>
          <w:tcPr>
            <w:tcW w:w="118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3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20" w:type="dxa"/>
            <w:vAlign w:val="bottom"/>
            <w:shd w:val="clear" w:color="auto" w:fill="D5DCE4"/>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378,323</w:t>
            </w:r>
          </w:p>
        </w:tc>
        <w:tc>
          <w:tcPr>
            <w:tcW w:w="440" w:type="dxa"/>
            <w:vAlign w:val="bottom"/>
            <w:shd w:val="clear" w:color="auto" w:fill="D5DCE4"/>
          </w:tcPr>
          <w:p>
            <w:pPr>
              <w:jc w:val="right"/>
              <w:ind w:right="280"/>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23,143,506</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341,557</w:t>
            </w:r>
          </w:p>
        </w:tc>
        <w:tc>
          <w:tcPr>
            <w:tcW w:w="440" w:type="dxa"/>
            <w:vAlign w:val="bottom"/>
            <w:shd w:val="clear" w:color="auto" w:fill="D5DCE4"/>
          </w:tcPr>
          <w:p>
            <w:pPr>
              <w:jc w:val="center"/>
              <w:ind w:right="27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21,229,660</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10.76 %</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114,948</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7,011,839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93,518</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5,798,129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22.92 %</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31,613</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1,991,631</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28,119</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1,799,627</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12.43 %</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226,368</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13,808,475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214,947</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13,326,710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5.31 %</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5,393</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331,561</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4,973</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305,194</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8.45 %</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287,477</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17,771,122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249,209</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15,638,402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15.36 %</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ind w:left="560"/>
              <w:spacing w:after="0"/>
              <w:rPr>
                <w:sz w:val="20"/>
                <w:szCs w:val="20"/>
                <w:color w:val="auto"/>
              </w:rPr>
            </w:pPr>
            <w:r>
              <w:rPr>
                <w:rFonts w:ascii="Arial" w:cs="Arial" w:eastAsia="Arial" w:hAnsi="Arial"/>
                <w:sz w:val="16"/>
                <w:szCs w:val="16"/>
                <w:i w:val="1"/>
                <w:iCs w:val="1"/>
                <w:color w:val="auto"/>
              </w:rPr>
              <w:t xml:space="preserve">Swaps/Swaptions </w:t>
            </w:r>
            <w:r>
              <w:rPr>
                <w:rFonts w:ascii="Arial" w:cs="Arial" w:eastAsia="Arial" w:hAnsi="Arial"/>
                <w:sz w:val="16"/>
                <w:szCs w:val="16"/>
                <w:color w:val="auto"/>
              </w:rPr>
              <w:t>≥</w:t>
            </w:r>
            <w:r>
              <w:rPr>
                <w:rFonts w:ascii="Arial" w:cs="Arial" w:eastAsia="Arial" w:hAnsi="Arial"/>
                <w:sz w:val="16"/>
                <w:szCs w:val="16"/>
                <w:i w:val="1"/>
                <w:iCs w:val="1"/>
                <w:color w:val="auto"/>
              </w:rPr>
              <w:t xml:space="preserve"> 1Y</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182,088</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11,262,405</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159,508</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10,013,379</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14.16 %</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104,542</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6,457,053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89,091</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5,587,159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17.34 %</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12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847</w:t>
            </w:r>
          </w:p>
        </w:tc>
        <w:tc>
          <w:tcPr>
            <w:tcW w:w="4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51,663</w:t>
            </w:r>
          </w:p>
        </w:tc>
        <w:tc>
          <w:tcPr>
            <w:tcW w:w="100" w:type="dxa"/>
            <w:vAlign w:val="bottom"/>
            <w:tcBorders>
              <w:bottom w:val="single" w:sz="8" w:color="auto"/>
              <w:right w:val="single" w:sz="8" w:color="D5DCE4"/>
            </w:tcBorders>
            <w:shd w:val="clear" w:color="auto" w:fill="D5DCE4"/>
          </w:tcPr>
          <w:p>
            <w:pPr>
              <w:spacing w:after="0"/>
              <w:rPr>
                <w:sz w:val="21"/>
                <w:szCs w:val="21"/>
                <w:color w:val="auto"/>
              </w:rPr>
            </w:pPr>
          </w:p>
        </w:tc>
        <w:tc>
          <w:tcPr>
            <w:tcW w:w="12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611</w:t>
            </w:r>
          </w:p>
        </w:tc>
        <w:tc>
          <w:tcPr>
            <w:tcW w:w="4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37,865</w:t>
            </w:r>
          </w:p>
        </w:tc>
        <w:tc>
          <w:tcPr>
            <w:tcW w:w="100" w:type="dxa"/>
            <w:vAlign w:val="bottom"/>
            <w:tcBorders>
              <w:bottom w:val="single" w:sz="8" w:color="auto"/>
              <w:right w:val="single" w:sz="8" w:color="D5DCE4"/>
            </w:tcBorders>
            <w:shd w:val="clear" w:color="auto" w:fill="D5DCE4"/>
          </w:tcPr>
          <w:p>
            <w:pPr>
              <w:spacing w:after="0"/>
              <w:rPr>
                <w:sz w:val="21"/>
                <w:szCs w:val="21"/>
                <w:color w:val="auto"/>
              </w:rPr>
            </w:pPr>
          </w:p>
        </w:tc>
        <w:tc>
          <w:tcPr>
            <w:tcW w:w="15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38.67 %</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D5DCE4"/>
            </w:tcBorders>
          </w:tcPr>
          <w:p>
            <w:pPr>
              <w:spacing w:after="0"/>
              <w:rPr>
                <w:sz w:val="20"/>
                <w:szCs w:val="20"/>
                <w:color w:val="auto"/>
              </w:rPr>
            </w:pPr>
          </w:p>
        </w:tc>
        <w:tc>
          <w:tcPr>
            <w:tcW w:w="238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665,801</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40,914,628</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590,767</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36,868,062</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12.70 %</w:t>
            </w:r>
          </w:p>
        </w:tc>
        <w:tc>
          <w:tcPr>
            <w:tcW w:w="0" w:type="dxa"/>
            <w:vAlign w:val="bottom"/>
          </w:tcPr>
          <w:p>
            <w:pPr>
              <w:spacing w:after="0"/>
              <w:rPr>
                <w:sz w:val="1"/>
                <w:szCs w:val="1"/>
                <w:color w:val="auto"/>
              </w:rPr>
            </w:pPr>
          </w:p>
        </w:tc>
      </w:tr>
      <w:tr>
        <w:trPr>
          <w:trHeight w:val="243"/>
        </w:trPr>
        <w:tc>
          <w:tcPr>
            <w:tcW w:w="118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3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10,382</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632,748</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7,255</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449,796</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43.09 %</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Grade</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5,574</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340,005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3,906</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242,142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42.72 %</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821</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50,086</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486</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30,134</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68.94 %</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2,066</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130,133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1,658</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106,115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24.58 %</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204</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12,465</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289</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17,902</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1,594</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92,437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857</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49,715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85.93 %</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123</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7,621</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60</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3,788</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105.40 %</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16,690</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1,033,323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25,741</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1,620,991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(35.16)%</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12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16,690</w:t>
            </w:r>
          </w:p>
        </w:tc>
        <w:tc>
          <w:tcPr>
            <w:tcW w:w="4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1,033,323</w:t>
            </w:r>
          </w:p>
        </w:tc>
        <w:tc>
          <w:tcPr>
            <w:tcW w:w="100" w:type="dxa"/>
            <w:vAlign w:val="bottom"/>
            <w:tcBorders>
              <w:bottom w:val="single" w:sz="8" w:color="auto"/>
              <w:right w:val="single" w:sz="8" w:color="D5DCE4"/>
            </w:tcBorders>
            <w:shd w:val="clear" w:color="auto" w:fill="D5DCE4"/>
          </w:tcPr>
          <w:p>
            <w:pPr>
              <w:spacing w:after="0"/>
              <w:rPr>
                <w:sz w:val="21"/>
                <w:szCs w:val="21"/>
                <w:color w:val="auto"/>
              </w:rPr>
            </w:pPr>
          </w:p>
        </w:tc>
        <w:tc>
          <w:tcPr>
            <w:tcW w:w="12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25,741</w:t>
            </w:r>
          </w:p>
        </w:tc>
        <w:tc>
          <w:tcPr>
            <w:tcW w:w="4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1,620,991</w:t>
            </w:r>
          </w:p>
        </w:tc>
        <w:tc>
          <w:tcPr>
            <w:tcW w:w="100" w:type="dxa"/>
            <w:vAlign w:val="bottom"/>
            <w:tcBorders>
              <w:bottom w:val="single" w:sz="8" w:color="auto"/>
              <w:right w:val="single" w:sz="8" w:color="D5DCE4"/>
            </w:tcBorders>
            <w:shd w:val="clear" w:color="auto" w:fill="D5DCE4"/>
          </w:tcPr>
          <w:p>
            <w:pPr>
              <w:spacing w:after="0"/>
              <w:rPr>
                <w:sz w:val="21"/>
                <w:szCs w:val="21"/>
                <w:color w:val="auto"/>
              </w:rPr>
            </w:pPr>
          </w:p>
        </w:tc>
        <w:tc>
          <w:tcPr>
            <w:tcW w:w="15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(35.16)%</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D5DCE4"/>
            </w:tcBorders>
          </w:tcPr>
          <w:p>
            <w:pPr>
              <w:spacing w:after="0"/>
              <w:rPr>
                <w:sz w:val="20"/>
                <w:szCs w:val="20"/>
                <w:color w:val="auto"/>
              </w:rPr>
            </w:pPr>
          </w:p>
        </w:tc>
        <w:tc>
          <w:tcPr>
            <w:tcW w:w="238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27,071</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1,666,070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32,996</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2,070,787</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(17.96)%</w:t>
            </w:r>
          </w:p>
        </w:tc>
        <w:tc>
          <w:tcPr>
            <w:tcW w:w="0" w:type="dxa"/>
            <w:vAlign w:val="bottom"/>
          </w:tcPr>
          <w:p>
            <w:pPr>
              <w:spacing w:after="0"/>
              <w:rPr>
                <w:sz w:val="1"/>
                <w:szCs w:val="1"/>
                <w:color w:val="auto"/>
              </w:rPr>
            </w:pPr>
          </w:p>
        </w:tc>
      </w:tr>
      <w:tr>
        <w:trPr>
          <w:trHeight w:val="243"/>
        </w:trPr>
        <w:tc>
          <w:tcPr>
            <w:tcW w:w="118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3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9,021</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556,255</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9,225</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577,340</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(2.21)%</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6,046</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368,813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6,527</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404,658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 ETFs</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2,975</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187,442</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2,698</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172,683</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10.27 %</w:t>
            </w:r>
          </w:p>
        </w:tc>
        <w:tc>
          <w:tcPr>
            <w:tcW w:w="0" w:type="dxa"/>
            <w:vAlign w:val="bottom"/>
          </w:tcPr>
          <w:p>
            <w:pPr>
              <w:spacing w:after="0"/>
              <w:rPr>
                <w:sz w:val="1"/>
                <w:szCs w:val="1"/>
                <w:color w:val="auto"/>
              </w:rPr>
            </w:pPr>
          </w:p>
        </w:tc>
      </w:tr>
      <w:tr>
        <w:trPr>
          <w:trHeight w:val="233"/>
        </w:trPr>
        <w:tc>
          <w:tcPr>
            <w:tcW w:w="118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7,155</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439,435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8,576</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534,392</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(16.56)%</w:t>
            </w:r>
          </w:p>
        </w:tc>
        <w:tc>
          <w:tcPr>
            <w:tcW w:w="0" w:type="dxa"/>
            <w:vAlign w:val="bottom"/>
          </w:tcPr>
          <w:p>
            <w:pPr>
              <w:spacing w:after="0"/>
              <w:rPr>
                <w:sz w:val="1"/>
                <w:szCs w:val="1"/>
                <w:color w:val="auto"/>
              </w:rPr>
            </w:pPr>
          </w:p>
        </w:tc>
      </w:tr>
      <w:tr>
        <w:trPr>
          <w:trHeight w:val="25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Options/Convertibles/Swaps</w:t>
            </w: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3,054</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189,032</w:t>
            </w:r>
          </w:p>
        </w:tc>
        <w:tc>
          <w:tcPr>
            <w:tcW w:w="100" w:type="dxa"/>
            <w:vAlign w:val="bottom"/>
            <w:tcBorders>
              <w:right w:val="single" w:sz="8" w:color="D5DCE4"/>
            </w:tcBorders>
            <w:shd w:val="clear" w:color="auto" w:fill="D5DCE4"/>
          </w:tcPr>
          <w:p>
            <w:pPr>
              <w:spacing w:after="0"/>
              <w:rPr>
                <w:sz w:val="21"/>
                <w:szCs w:val="21"/>
                <w:color w:val="auto"/>
              </w:rPr>
            </w:pPr>
          </w:p>
        </w:tc>
        <w:tc>
          <w:tcPr>
            <w:tcW w:w="120" w:type="dxa"/>
            <w:vAlign w:val="bottom"/>
            <w:shd w:val="clear" w:color="auto" w:fill="D5DCE4"/>
          </w:tcPr>
          <w:p>
            <w:pPr>
              <w:spacing w:after="0"/>
              <w:rPr>
                <w:sz w:val="21"/>
                <w:szCs w:val="21"/>
                <w:color w:val="auto"/>
              </w:rPr>
            </w:pPr>
          </w:p>
        </w:tc>
        <w:tc>
          <w:tcPr>
            <w:tcW w:w="136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3,973</w:t>
            </w:r>
          </w:p>
        </w:tc>
        <w:tc>
          <w:tcPr>
            <w:tcW w:w="44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248,646</w:t>
            </w:r>
          </w:p>
        </w:tc>
        <w:tc>
          <w:tcPr>
            <w:tcW w:w="100" w:type="dxa"/>
            <w:vAlign w:val="bottom"/>
            <w:tcBorders>
              <w:right w:val="single" w:sz="8" w:color="D5DCE4"/>
            </w:tcBorders>
            <w:shd w:val="clear" w:color="auto" w:fill="D5DCE4"/>
          </w:tcPr>
          <w:p>
            <w:pPr>
              <w:spacing w:after="0"/>
              <w:rPr>
                <w:sz w:val="21"/>
                <w:szCs w:val="21"/>
                <w:color w:val="auto"/>
              </w:rPr>
            </w:pPr>
          </w:p>
        </w:tc>
        <w:tc>
          <w:tcPr>
            <w:tcW w:w="158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D5DCE4"/>
            </w:tcBorders>
          </w:tcPr>
          <w:p>
            <w:pPr>
              <w:spacing w:after="0"/>
              <w:rPr>
                <w:sz w:val="20"/>
                <w:szCs w:val="20"/>
                <w:color w:val="auto"/>
              </w:rPr>
            </w:pPr>
          </w:p>
        </w:tc>
        <w:tc>
          <w:tcPr>
            <w:tcW w:w="238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250,403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285,746</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43"/>
        </w:trPr>
        <w:tc>
          <w:tcPr>
            <w:tcW w:w="1180" w:type="dxa"/>
            <w:vAlign w:val="bottom"/>
            <w:tcBorders>
              <w:right w:val="single" w:sz="8" w:color="D5DCE4"/>
            </w:tcBorders>
            <w:shd w:val="clear" w:color="auto" w:fill="D5DCE4"/>
          </w:tcPr>
          <w:p>
            <w:pPr>
              <w:spacing w:after="0"/>
              <w:rPr>
                <w:sz w:val="21"/>
                <w:szCs w:val="21"/>
                <w:color w:val="auto"/>
              </w:rPr>
            </w:pPr>
          </w:p>
        </w:tc>
        <w:tc>
          <w:tcPr>
            <w:tcW w:w="23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16,177</w:t>
            </w:r>
          </w:p>
        </w:tc>
        <w:tc>
          <w:tcPr>
            <w:tcW w:w="4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995,690</w:t>
            </w:r>
          </w:p>
        </w:tc>
        <w:tc>
          <w:tcPr>
            <w:tcW w:w="100" w:type="dxa"/>
            <w:vAlign w:val="bottom"/>
            <w:tcBorders>
              <w:bottom w:val="single" w:sz="8" w:color="auto"/>
              <w:right w:val="single" w:sz="8" w:color="D5DCE4"/>
            </w:tcBorders>
            <w:shd w:val="clear" w:color="auto" w:fill="D5DCE4"/>
          </w:tcPr>
          <w:p>
            <w:pPr>
              <w:spacing w:after="0"/>
              <w:rPr>
                <w:sz w:val="21"/>
                <w:szCs w:val="21"/>
                <w:color w:val="auto"/>
              </w:rPr>
            </w:pPr>
          </w:p>
        </w:tc>
        <w:tc>
          <w:tcPr>
            <w:tcW w:w="12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17,800</w:t>
            </w:r>
          </w:p>
        </w:tc>
        <w:tc>
          <w:tcPr>
            <w:tcW w:w="44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1,111,733</w:t>
            </w:r>
          </w:p>
        </w:tc>
        <w:tc>
          <w:tcPr>
            <w:tcW w:w="100" w:type="dxa"/>
            <w:vAlign w:val="bottom"/>
            <w:tcBorders>
              <w:bottom w:val="single" w:sz="8" w:color="auto"/>
              <w:right w:val="single" w:sz="8" w:color="D5DCE4"/>
            </w:tcBorders>
            <w:shd w:val="clear" w:color="auto" w:fill="D5DCE4"/>
          </w:tcPr>
          <w:p>
            <w:pPr>
              <w:spacing w:after="0"/>
              <w:rPr>
                <w:sz w:val="21"/>
                <w:szCs w:val="21"/>
                <w:color w:val="auto"/>
              </w:rPr>
            </w:pPr>
          </w:p>
        </w:tc>
        <w:tc>
          <w:tcPr>
            <w:tcW w:w="15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(9.12)%</w:t>
            </w:r>
          </w:p>
        </w:tc>
        <w:tc>
          <w:tcPr>
            <w:tcW w:w="0" w:type="dxa"/>
            <w:vAlign w:val="bottom"/>
          </w:tcPr>
          <w:p>
            <w:pPr>
              <w:spacing w:after="0"/>
              <w:rPr>
                <w:sz w:val="1"/>
                <w:szCs w:val="1"/>
                <w:color w:val="auto"/>
              </w:rPr>
            </w:pPr>
          </w:p>
        </w:tc>
      </w:tr>
      <w:tr>
        <w:trPr>
          <w:trHeight w:val="178"/>
        </w:trPr>
        <w:tc>
          <w:tcPr>
            <w:tcW w:w="118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Money</w:t>
            </w:r>
          </w:p>
        </w:tc>
        <w:tc>
          <w:tcPr>
            <w:tcW w:w="2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120" w:type="dxa"/>
            <w:vAlign w:val="bottom"/>
          </w:tcPr>
          <w:p>
            <w:pPr>
              <w:spacing w:after="0"/>
              <w:rPr>
                <w:sz w:val="15"/>
                <w:szCs w:val="15"/>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349,528</w:t>
            </w:r>
          </w:p>
        </w:tc>
        <w:tc>
          <w:tcPr>
            <w:tcW w:w="4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21,474,787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255,732</w:t>
            </w:r>
          </w:p>
        </w:tc>
        <w:tc>
          <w:tcPr>
            <w:tcW w:w="4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15,919,960</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36.68 %</w:t>
            </w:r>
          </w:p>
        </w:tc>
        <w:tc>
          <w:tcPr>
            <w:tcW w:w="0" w:type="dxa"/>
            <w:vAlign w:val="bottom"/>
          </w:tcPr>
          <w:p>
            <w:pPr>
              <w:spacing w:after="0"/>
              <w:rPr>
                <w:sz w:val="1"/>
                <w:szCs w:val="1"/>
                <w:color w:val="auto"/>
              </w:rPr>
            </w:pPr>
          </w:p>
        </w:tc>
      </w:tr>
      <w:tr>
        <w:trPr>
          <w:trHeight w:val="120"/>
        </w:trPr>
        <w:tc>
          <w:tcPr>
            <w:tcW w:w="1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3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180" w:type="dxa"/>
            <w:vAlign w:val="bottom"/>
            <w:vMerge w:val="continue"/>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180" w:type="dxa"/>
            <w:vAlign w:val="bottom"/>
            <w:tcBorders>
              <w:right w:val="single" w:sz="8" w:color="D5DCE4"/>
            </w:tcBorders>
            <w:shd w:val="clear" w:color="auto" w:fill="D5DCE4"/>
          </w:tcPr>
          <w:p>
            <w:pPr>
              <w:spacing w:after="0"/>
              <w:rPr>
                <w:sz w:val="18"/>
                <w:szCs w:val="18"/>
                <w:color w:val="auto"/>
              </w:rPr>
            </w:pPr>
          </w:p>
        </w:tc>
        <w:tc>
          <w:tcPr>
            <w:tcW w:w="23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w:t>
            </w:r>
          </w:p>
        </w:tc>
        <w:tc>
          <w:tcPr>
            <w:tcW w:w="120" w:type="dxa"/>
            <w:vAlign w:val="bottom"/>
            <w:shd w:val="clear" w:color="auto" w:fill="D5DCE4"/>
          </w:tcPr>
          <w:p>
            <w:pPr>
              <w:spacing w:after="0"/>
              <w:rPr>
                <w:sz w:val="18"/>
                <w:szCs w:val="18"/>
                <w:color w:val="auto"/>
              </w:rPr>
            </w:pPr>
          </w:p>
        </w:tc>
        <w:tc>
          <w:tcPr>
            <w:tcW w:w="13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335,531</w:t>
            </w:r>
          </w:p>
        </w:tc>
        <w:tc>
          <w:tcPr>
            <w:tcW w:w="440" w:type="dxa"/>
            <w:vAlign w:val="bottom"/>
            <w:shd w:val="clear" w:color="auto" w:fill="D5DCE4"/>
          </w:tcPr>
          <w:p>
            <w:pPr>
              <w:spacing w:after="0"/>
              <w:rPr>
                <w:sz w:val="18"/>
                <w:szCs w:val="18"/>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20,619,367</w:t>
            </w:r>
          </w:p>
        </w:tc>
        <w:tc>
          <w:tcPr>
            <w:tcW w:w="100" w:type="dxa"/>
            <w:vAlign w:val="bottom"/>
            <w:tcBorders>
              <w:right w:val="single" w:sz="8" w:color="D5DCE4"/>
            </w:tcBorders>
            <w:shd w:val="clear" w:color="auto" w:fill="D5DCE4"/>
          </w:tcPr>
          <w:p>
            <w:pPr>
              <w:spacing w:after="0"/>
              <w:rPr>
                <w:sz w:val="18"/>
                <w:szCs w:val="18"/>
                <w:color w:val="auto"/>
              </w:rPr>
            </w:pPr>
          </w:p>
        </w:tc>
        <w:tc>
          <w:tcPr>
            <w:tcW w:w="120" w:type="dxa"/>
            <w:vAlign w:val="bottom"/>
            <w:shd w:val="clear" w:color="auto" w:fill="D5DCE4"/>
          </w:tcPr>
          <w:p>
            <w:pPr>
              <w:spacing w:after="0"/>
              <w:rPr>
                <w:sz w:val="18"/>
                <w:szCs w:val="18"/>
                <w:color w:val="auto"/>
              </w:rPr>
            </w:pPr>
          </w:p>
        </w:tc>
        <w:tc>
          <w:tcPr>
            <w:tcW w:w="136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236,750</w:t>
            </w:r>
          </w:p>
        </w:tc>
        <w:tc>
          <w:tcPr>
            <w:tcW w:w="440" w:type="dxa"/>
            <w:vAlign w:val="bottom"/>
            <w:shd w:val="clear" w:color="auto" w:fill="D5DCE4"/>
          </w:tcPr>
          <w:p>
            <w:pPr>
              <w:spacing w:after="0"/>
              <w:rPr>
                <w:sz w:val="18"/>
                <w:szCs w:val="18"/>
                <w:color w:val="auto"/>
              </w:rPr>
            </w:pPr>
          </w:p>
        </w:tc>
        <w:tc>
          <w:tcPr>
            <w:tcW w:w="104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14,740,541</w:t>
            </w:r>
          </w:p>
        </w:tc>
        <w:tc>
          <w:tcPr>
            <w:tcW w:w="100" w:type="dxa"/>
            <w:vAlign w:val="bottom"/>
            <w:tcBorders>
              <w:right w:val="single" w:sz="8" w:color="D5DCE4"/>
            </w:tcBorders>
            <w:shd w:val="clear" w:color="auto" w:fill="D5DCE4"/>
          </w:tcPr>
          <w:p>
            <w:pPr>
              <w:spacing w:after="0"/>
              <w:rPr>
                <w:sz w:val="18"/>
                <w:szCs w:val="18"/>
                <w:color w:val="auto"/>
              </w:rPr>
            </w:pPr>
          </w:p>
        </w:tc>
        <w:tc>
          <w:tcPr>
            <w:tcW w:w="158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41.72 %</w:t>
            </w:r>
          </w:p>
        </w:tc>
        <w:tc>
          <w:tcPr>
            <w:tcW w:w="0" w:type="dxa"/>
            <w:vAlign w:val="bottom"/>
          </w:tcPr>
          <w:p>
            <w:pPr>
              <w:spacing w:after="0"/>
              <w:rPr>
                <w:sz w:val="1"/>
                <w:szCs w:val="1"/>
                <w:color w:val="auto"/>
              </w:rPr>
            </w:pPr>
          </w:p>
        </w:tc>
      </w:tr>
      <w:tr>
        <w:trPr>
          <w:trHeight w:val="116"/>
        </w:trPr>
        <w:tc>
          <w:tcPr>
            <w:tcW w:w="1180" w:type="dxa"/>
            <w:vAlign w:val="bottom"/>
            <w:tcBorders>
              <w:right w:val="single" w:sz="8" w:color="D5DCE4"/>
            </w:tcBorders>
            <w:shd w:val="clear" w:color="auto" w:fill="D5DCE4"/>
          </w:tcPr>
          <w:p>
            <w:pPr>
              <w:spacing w:after="0"/>
              <w:rPr>
                <w:sz w:val="10"/>
                <w:szCs w:val="10"/>
                <w:color w:val="auto"/>
              </w:rPr>
            </w:pPr>
          </w:p>
        </w:tc>
        <w:tc>
          <w:tcPr>
            <w:tcW w:w="2380" w:type="dxa"/>
            <w:vAlign w:val="bottom"/>
            <w:tcBorders>
              <w:right w:val="single" w:sz="8" w:color="D5DCE4"/>
            </w:tcBorders>
            <w:gridSpan w:val="2"/>
            <w:vMerge w:val="restart"/>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(Repo)</w:t>
            </w:r>
          </w:p>
        </w:tc>
        <w:tc>
          <w:tcPr>
            <w:tcW w:w="120" w:type="dxa"/>
            <w:vAlign w:val="bottom"/>
            <w:shd w:val="clear" w:color="auto" w:fill="D5DCE4"/>
          </w:tcPr>
          <w:p>
            <w:pPr>
              <w:spacing w:after="0"/>
              <w:rPr>
                <w:sz w:val="10"/>
                <w:szCs w:val="10"/>
                <w:color w:val="auto"/>
              </w:rPr>
            </w:pPr>
          </w:p>
        </w:tc>
        <w:tc>
          <w:tcPr>
            <w:tcW w:w="136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4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0" w:type="dxa"/>
            <w:vAlign w:val="bottom"/>
            <w:shd w:val="clear" w:color="auto" w:fill="D5DCE4"/>
          </w:tcPr>
          <w:p>
            <w:pPr>
              <w:spacing w:after="0"/>
              <w:rPr>
                <w:sz w:val="10"/>
                <w:szCs w:val="10"/>
                <w:color w:val="auto"/>
              </w:rPr>
            </w:pPr>
          </w:p>
        </w:tc>
        <w:tc>
          <w:tcPr>
            <w:tcW w:w="1360" w:type="dxa"/>
            <w:vAlign w:val="bottom"/>
            <w:tcBorders>
              <w:right w:val="single" w:sz="8" w:color="D5DCE4"/>
            </w:tcBorders>
            <w:vMerge w:val="continue"/>
            <w:shd w:val="clear" w:color="auto" w:fill="D5DCE4"/>
          </w:tcPr>
          <w:p>
            <w:pPr>
              <w:spacing w:after="0"/>
              <w:rPr>
                <w:sz w:val="10"/>
                <w:szCs w:val="10"/>
                <w:color w:val="auto"/>
              </w:rPr>
            </w:pPr>
          </w:p>
        </w:tc>
        <w:tc>
          <w:tcPr>
            <w:tcW w:w="440" w:type="dxa"/>
            <w:vAlign w:val="bottom"/>
            <w:shd w:val="clear" w:color="auto" w:fill="D5DCE4"/>
          </w:tcPr>
          <w:p>
            <w:pPr>
              <w:spacing w:after="0"/>
              <w:rPr>
                <w:sz w:val="10"/>
                <w:szCs w:val="10"/>
                <w:color w:val="auto"/>
              </w:rPr>
            </w:pPr>
          </w:p>
        </w:tc>
        <w:tc>
          <w:tcPr>
            <w:tcW w:w="104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58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180" w:type="dxa"/>
            <w:vAlign w:val="bottom"/>
            <w:tcBorders>
              <w:right w:val="single" w:sz="8" w:color="D5DCE4"/>
            </w:tcBorders>
            <w:shd w:val="clear" w:color="auto" w:fill="D5DCE4"/>
          </w:tcPr>
          <w:p>
            <w:pPr>
              <w:spacing w:after="0"/>
              <w:rPr>
                <w:sz w:val="9"/>
                <w:szCs w:val="9"/>
                <w:color w:val="auto"/>
              </w:rPr>
            </w:pPr>
          </w:p>
        </w:tc>
        <w:tc>
          <w:tcPr>
            <w:tcW w:w="2380" w:type="dxa"/>
            <w:vAlign w:val="bottom"/>
            <w:tcBorders>
              <w:right w:val="single" w:sz="8" w:color="D5DCE4"/>
            </w:tcBorders>
            <w:gridSpan w:val="2"/>
            <w:vMerge w:val="continue"/>
            <w:shd w:val="clear" w:color="auto" w:fill="D5DCE4"/>
          </w:tcPr>
          <w:p>
            <w:pPr>
              <w:spacing w:after="0"/>
              <w:rPr>
                <w:sz w:val="9"/>
                <w:szCs w:val="9"/>
                <w:color w:val="auto"/>
              </w:rPr>
            </w:pPr>
          </w:p>
        </w:tc>
        <w:tc>
          <w:tcPr>
            <w:tcW w:w="120" w:type="dxa"/>
            <w:vAlign w:val="bottom"/>
            <w:shd w:val="clear" w:color="auto" w:fill="D5DCE4"/>
          </w:tcPr>
          <w:p>
            <w:pPr>
              <w:spacing w:after="0"/>
              <w:rPr>
                <w:sz w:val="9"/>
                <w:szCs w:val="9"/>
                <w:color w:val="auto"/>
              </w:rPr>
            </w:pPr>
          </w:p>
        </w:tc>
        <w:tc>
          <w:tcPr>
            <w:tcW w:w="1360" w:type="dxa"/>
            <w:vAlign w:val="bottom"/>
            <w:tcBorders>
              <w:right w:val="single" w:sz="8" w:color="D5DCE4"/>
            </w:tcBorders>
            <w:shd w:val="clear" w:color="auto" w:fill="D5DCE4"/>
          </w:tcPr>
          <w:p>
            <w:pPr>
              <w:spacing w:after="0"/>
              <w:rPr>
                <w:sz w:val="9"/>
                <w:szCs w:val="9"/>
                <w:color w:val="auto"/>
              </w:rPr>
            </w:pPr>
          </w:p>
        </w:tc>
        <w:tc>
          <w:tcPr>
            <w:tcW w:w="440" w:type="dxa"/>
            <w:vAlign w:val="bottom"/>
            <w:shd w:val="clear" w:color="auto" w:fill="D5DCE4"/>
          </w:tcPr>
          <w:p>
            <w:pPr>
              <w:spacing w:after="0"/>
              <w:rPr>
                <w:sz w:val="9"/>
                <w:szCs w:val="9"/>
                <w:color w:val="auto"/>
              </w:rPr>
            </w:pPr>
          </w:p>
        </w:tc>
        <w:tc>
          <w:tcPr>
            <w:tcW w:w="104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20" w:type="dxa"/>
            <w:vAlign w:val="bottom"/>
            <w:shd w:val="clear" w:color="auto" w:fill="D5DCE4"/>
          </w:tcPr>
          <w:p>
            <w:pPr>
              <w:spacing w:after="0"/>
              <w:rPr>
                <w:sz w:val="9"/>
                <w:szCs w:val="9"/>
                <w:color w:val="auto"/>
              </w:rPr>
            </w:pPr>
          </w:p>
        </w:tc>
        <w:tc>
          <w:tcPr>
            <w:tcW w:w="1360" w:type="dxa"/>
            <w:vAlign w:val="bottom"/>
            <w:tcBorders>
              <w:right w:val="single" w:sz="8" w:color="D5DCE4"/>
            </w:tcBorders>
            <w:shd w:val="clear" w:color="auto" w:fill="D5DCE4"/>
          </w:tcPr>
          <w:p>
            <w:pPr>
              <w:spacing w:after="0"/>
              <w:rPr>
                <w:sz w:val="9"/>
                <w:szCs w:val="9"/>
                <w:color w:val="auto"/>
              </w:rPr>
            </w:pPr>
          </w:p>
        </w:tc>
        <w:tc>
          <w:tcPr>
            <w:tcW w:w="440" w:type="dxa"/>
            <w:vAlign w:val="bottom"/>
            <w:shd w:val="clear" w:color="auto" w:fill="D5DCE4"/>
          </w:tcPr>
          <w:p>
            <w:pPr>
              <w:spacing w:after="0"/>
              <w:rPr>
                <w:sz w:val="9"/>
                <w:szCs w:val="9"/>
                <w:color w:val="auto"/>
              </w:rPr>
            </w:pPr>
          </w:p>
        </w:tc>
        <w:tc>
          <w:tcPr>
            <w:tcW w:w="104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580" w:type="dxa"/>
            <w:vAlign w:val="bottom"/>
            <w:tcBorders>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D5DCE4"/>
            </w:tcBorders>
          </w:tcPr>
          <w:p>
            <w:pPr>
              <w:spacing w:after="0"/>
              <w:rPr>
                <w:sz w:val="20"/>
                <w:szCs w:val="20"/>
                <w:color w:val="auto"/>
              </w:rPr>
            </w:pPr>
          </w:p>
        </w:tc>
        <w:tc>
          <w:tcPr>
            <w:tcW w:w="238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13,996</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855,420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18,982</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1,179,419</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36"/>
        </w:trPr>
        <w:tc>
          <w:tcPr>
            <w:tcW w:w="1180" w:type="dxa"/>
            <w:vAlign w:val="bottom"/>
            <w:tcBorders>
              <w:right w:val="single" w:sz="8" w:color="D5DCE4"/>
            </w:tcBorders>
            <w:shd w:val="clear" w:color="auto" w:fill="D5DCE4"/>
          </w:tcPr>
          <w:p>
            <w:pPr>
              <w:spacing w:after="0"/>
              <w:rPr>
                <w:sz w:val="20"/>
                <w:szCs w:val="20"/>
                <w:color w:val="auto"/>
              </w:rPr>
            </w:pPr>
          </w:p>
        </w:tc>
        <w:tc>
          <w:tcPr>
            <w:tcW w:w="23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349,528</w:t>
            </w:r>
          </w:p>
        </w:tc>
        <w:tc>
          <w:tcPr>
            <w:tcW w:w="44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21,474,787</w:t>
            </w:r>
          </w:p>
        </w:tc>
        <w:tc>
          <w:tcPr>
            <w:tcW w:w="100" w:type="dxa"/>
            <w:vAlign w:val="bottom"/>
            <w:tcBorders>
              <w:bottom w:val="single" w:sz="8" w:color="auto"/>
              <w:right w:val="single" w:sz="8" w:color="D5DCE4"/>
            </w:tcBorders>
            <w:shd w:val="clear" w:color="auto" w:fill="D5DCE4"/>
          </w:tcPr>
          <w:p>
            <w:pPr>
              <w:spacing w:after="0"/>
              <w:rPr>
                <w:sz w:val="20"/>
                <w:szCs w:val="20"/>
                <w:color w:val="auto"/>
              </w:rPr>
            </w:pPr>
          </w:p>
        </w:tc>
        <w:tc>
          <w:tcPr>
            <w:tcW w:w="12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255,732</w:t>
            </w:r>
          </w:p>
        </w:tc>
        <w:tc>
          <w:tcPr>
            <w:tcW w:w="44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15,919,960</w:t>
            </w:r>
          </w:p>
        </w:tc>
        <w:tc>
          <w:tcPr>
            <w:tcW w:w="100" w:type="dxa"/>
            <w:vAlign w:val="bottom"/>
            <w:tcBorders>
              <w:bottom w:val="single" w:sz="8" w:color="auto"/>
              <w:right w:val="single" w:sz="8" w:color="D5DCE4"/>
            </w:tcBorders>
            <w:shd w:val="clear" w:color="auto" w:fill="D5DCE4"/>
          </w:tcPr>
          <w:p>
            <w:pPr>
              <w:spacing w:after="0"/>
              <w:rPr>
                <w:sz w:val="20"/>
                <w:szCs w:val="20"/>
                <w:color w:val="auto"/>
              </w:rPr>
            </w:pPr>
          </w:p>
        </w:tc>
        <w:tc>
          <w:tcPr>
            <w:tcW w:w="158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36.68 %</w:t>
            </w:r>
          </w:p>
        </w:tc>
        <w:tc>
          <w:tcPr>
            <w:tcW w:w="0" w:type="dxa"/>
            <w:vAlign w:val="bottom"/>
          </w:tcPr>
          <w:p>
            <w:pPr>
              <w:spacing w:after="0"/>
              <w:rPr>
                <w:sz w:val="1"/>
                <w:szCs w:val="1"/>
                <w:color w:val="auto"/>
              </w:rPr>
            </w:pPr>
          </w:p>
        </w:tc>
      </w:tr>
      <w:tr>
        <w:trPr>
          <w:trHeight w:val="203"/>
        </w:trPr>
        <w:tc>
          <w:tcPr>
            <w:tcW w:w="1180" w:type="dxa"/>
            <w:vAlign w:val="bottom"/>
            <w:tcBorders>
              <w:bottom w:val="single" w:sz="8" w:color="D5DCE4"/>
            </w:tcBorders>
          </w:tcPr>
          <w:p>
            <w:pPr>
              <w:spacing w:after="0"/>
              <w:rPr>
                <w:sz w:val="17"/>
                <w:szCs w:val="17"/>
                <w:color w:val="auto"/>
              </w:rPr>
            </w:pPr>
          </w:p>
        </w:tc>
        <w:tc>
          <w:tcPr>
            <w:tcW w:w="228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80" w:type="dxa"/>
            <w:vAlign w:val="bottom"/>
            <w:tcBorders>
              <w:right w:val="single" w:sz="8" w:color="D5DCE4"/>
            </w:tcBorders>
            <w:shd w:val="clear" w:color="auto" w:fill="D5DCE4"/>
          </w:tcPr>
          <w:p>
            <w:pPr>
              <w:spacing w:after="0"/>
              <w:rPr>
                <w:sz w:val="20"/>
                <w:szCs w:val="20"/>
                <w:color w:val="auto"/>
              </w:rPr>
            </w:pPr>
          </w:p>
        </w:tc>
        <w:tc>
          <w:tcPr>
            <w:tcW w:w="228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2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shd w:val="clear" w:color="auto" w:fill="D5DCE4"/>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580" w:type="dxa"/>
            <w:vAlign w:val="bottom"/>
            <w:tcBorders>
              <w:bottom w:val="single" w:sz="8" w:color="auto"/>
              <w:right w:val="single" w:sz="8" w:color="auto"/>
            </w:tcBorders>
            <w:gridSpan w:val="3"/>
            <w:shd w:val="clear" w:color="auto" w:fill="D5DCE4"/>
          </w:tcPr>
          <w:p>
            <w:pPr>
              <w:ind w:left="40"/>
              <w:spacing w:after="0"/>
              <w:rPr>
                <w:sz w:val="20"/>
                <w:szCs w:val="20"/>
                <w:color w:val="auto"/>
              </w:rPr>
            </w:pPr>
            <w:r>
              <w:rPr>
                <w:rFonts w:ascii="Arial" w:cs="Arial" w:eastAsia="Arial" w:hAnsi="Arial"/>
                <w:sz w:val="16"/>
                <w:szCs w:val="16"/>
                <w:b w:val="1"/>
                <w:bCs w:val="1"/>
                <w:color w:val="auto"/>
              </w:rPr>
              <w:t>Volume (USD mm)</w:t>
            </w:r>
          </w:p>
        </w:tc>
        <w:tc>
          <w:tcPr>
            <w:tcW w:w="120" w:type="dxa"/>
            <w:vAlign w:val="bottom"/>
            <w:tcBorders>
              <w:bottom w:val="single" w:sz="8" w:color="auto"/>
            </w:tcBorders>
            <w:shd w:val="clear" w:color="auto" w:fill="D5DCE4"/>
          </w:tcPr>
          <w:p>
            <w:pPr>
              <w:spacing w:after="0"/>
              <w:rPr>
                <w:sz w:val="20"/>
                <w:szCs w:val="20"/>
                <w:color w:val="auto"/>
              </w:rPr>
            </w:pPr>
          </w:p>
        </w:tc>
        <w:tc>
          <w:tcPr>
            <w:tcW w:w="1360" w:type="dxa"/>
            <w:vAlign w:val="bottom"/>
            <w:tcBorders>
              <w:bottom w:val="single" w:sz="8" w:color="auto"/>
              <w:right w:val="single" w:sz="8" w:color="auto"/>
            </w:tcBorders>
            <w:shd w:val="clear" w:color="auto" w:fill="D5DCE4"/>
          </w:tcPr>
          <w:p>
            <w:pPr>
              <w:jc w:val="right"/>
              <w:ind w:right="79"/>
              <w:spacing w:after="0"/>
              <w:rPr>
                <w:sz w:val="20"/>
                <w:szCs w:val="20"/>
                <w:color w:val="auto"/>
              </w:rPr>
            </w:pPr>
            <w:r>
              <w:rPr>
                <w:rFonts w:ascii="Arial" w:cs="Arial" w:eastAsia="Arial" w:hAnsi="Arial"/>
                <w:sz w:val="16"/>
                <w:szCs w:val="16"/>
                <w:b w:val="1"/>
                <w:bCs w:val="1"/>
                <w:color w:val="auto"/>
              </w:rPr>
              <w:t>ADV (USD mm)</w:t>
            </w:r>
          </w:p>
        </w:tc>
        <w:tc>
          <w:tcPr>
            <w:tcW w:w="1580" w:type="dxa"/>
            <w:vAlign w:val="bottom"/>
            <w:tcBorders>
              <w:bottom w:val="single" w:sz="8" w:color="auto"/>
              <w:right w:val="single" w:sz="8" w:color="auto"/>
            </w:tcBorders>
            <w:gridSpan w:val="3"/>
            <w:shd w:val="clear" w:color="auto" w:fill="D5DCE4"/>
          </w:tcPr>
          <w:p>
            <w:pPr>
              <w:ind w:left="40"/>
              <w:spacing w:after="0"/>
              <w:rPr>
                <w:sz w:val="20"/>
                <w:szCs w:val="20"/>
                <w:color w:val="auto"/>
              </w:rPr>
            </w:pPr>
            <w:r>
              <w:rPr>
                <w:rFonts w:ascii="Arial" w:cs="Arial" w:eastAsia="Arial" w:hAnsi="Arial"/>
                <w:sz w:val="16"/>
                <w:szCs w:val="16"/>
                <w:b w:val="1"/>
                <w:bCs w:val="1"/>
                <w:color w:val="auto"/>
              </w:rPr>
              <w:t>Volume (USD mm)</w:t>
            </w:r>
          </w:p>
        </w:tc>
        <w:tc>
          <w:tcPr>
            <w:tcW w:w="1580" w:type="dxa"/>
            <w:vAlign w:val="bottom"/>
            <w:tcBorders>
              <w:bottom w:val="single" w:sz="8" w:color="auto"/>
              <w:right w:val="single" w:sz="8" w:color="auto"/>
            </w:tcBorders>
            <w:shd w:val="clear" w:color="auto" w:fill="D5DCE4"/>
          </w:tcPr>
          <w:p>
            <w:pPr>
              <w:ind w:left="62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7"/>
        </w:trPr>
        <w:tc>
          <w:tcPr>
            <w:tcW w:w="1180" w:type="dxa"/>
            <w:vAlign w:val="bottom"/>
            <w:tcBorders>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1,058,576</w:t>
            </w: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65,051,175</w:t>
            </w:r>
          </w:p>
        </w:tc>
        <w:tc>
          <w:tcPr>
            <w:tcW w:w="1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897,295</w:t>
            </w:r>
          </w:p>
        </w:tc>
        <w:tc>
          <w:tcPr>
            <w:tcW w:w="4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55,970,541</w:t>
            </w:r>
          </w:p>
        </w:tc>
        <w:tc>
          <w:tcPr>
            <w:tcW w:w="10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17.97 %</w:t>
            </w: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191"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69"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2021 guidance, and future performance, the industry and markets in which we operate, our expectations, beliefs, plans, strategies, objectives, prospects and assumptions and future events are forward-looking statements. In addition, statements herein relating to the COVID-19 pandemic, the potential impacts of which remain inherently uncertain, are forward-looking statements.</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BASIS OF PRESENTATION</w:t>
      </w:r>
    </w:p>
    <w:p>
      <w:pPr>
        <w:spacing w:after="0" w:line="13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29"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22"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expenditures for capitalized software development costs and furniture, equipment and leasehold improvements.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6"/>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2021-04-29T06:39:13Z</dcterms:created>
  <dcterms:modified xsi:type="dcterms:W3CDTF">2021-04-29T06:39:13Z</dcterms:modified>
</cp:coreProperties>
</file>