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61"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90,932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148,333</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45,100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103,233</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519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103,752</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17,297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86,455</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193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86,648</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 stock units ("PSUs") in respect of the issuer's Class A common stock ("Class A Common Stock") that were granted to the reporting person on March 15, 2023, subject to the achievement of certain performance goals in respect of calendar years 2023 through 2025. The level of achievement of those performance goals was determined on January 1,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6,229 unvested restricted stock units ("RSUs") in respect of the issuer's Class A Common Stock that are scheduled to vest on March 15, 2026, (ii) 7,431 unvested RSUs in respect of Class A Common Stock that are scheduled to vest in equal installments on March 15, 2026 and March 15, 2027, and (iii) 9,860 unvested RSUs in respect of Class A Common Stock that are scheduled to vest in equal installments on March 17, 2026, March 17, 2027 and March 17, 2028, in each case, subject to the reporting person's continued employment through the applicable vesting date. This amount also includes the vested PSUs described in footnote #1 above, which will settle in shares of Class A Common Stock within 15 days of the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the PSUs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PSUs, and settled in shares of Class A Common Stock in connection with the settlement of the PSUs to which they relate.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performance-based restricted stock units ("PRSUs") in respect of the issuer's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DERs. The DERs were granted in connection with previously awarded PRSUs, and settled in shares of Class A Common Stock in connection with the settlement of the PRSUs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2026-01-05T19:59:49Z</dcterms:created>
  <dcterms:modified xsi:type="dcterms:W3CDTF">2026-01-05T19:59:49Z</dcterms:modified>
</cp:coreProperties>
</file>