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729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7299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Refinitiv TW Holdings Ltd.</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420" w:type="dxa"/>
            <w:vAlign w:val="bottom"/>
            <w:tcBorders>
              <w:top w:val="single" w:sz="8" w:color="0000EE"/>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06/28/2019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7"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820" w:type="dxa"/>
            <w:vAlign w:val="bottom"/>
          </w:tcPr>
          <w:p>
            <w:pPr>
              <w:ind w:left="8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C/O REFINITIV, 3 TIMES SQUARE</w:t>
            </w:r>
          </w:p>
        </w:tc>
      </w:tr>
      <w:tr>
        <w:trPr>
          <w:trHeight w:val="212"/>
        </w:trPr>
        <w:tc>
          <w:tcPr>
            <w:tcW w:w="2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820" w:type="dxa"/>
            <w:vAlign w:val="bottom"/>
          </w:tcPr>
          <w:p>
            <w:pPr>
              <w:ind w:left="80"/>
              <w:spacing w:after="0"/>
              <w:rPr>
                <w:sz w:val="20"/>
                <w:szCs w:val="20"/>
                <w:color w:val="auto"/>
              </w:rPr>
            </w:pPr>
            <w:r>
              <w:rPr>
                <w:rFonts w:ascii="Arial" w:cs="Arial" w:eastAsia="Arial" w:hAnsi="Arial"/>
                <w:sz w:val="18"/>
                <w:szCs w:val="18"/>
                <w:color w:val="0000FF"/>
              </w:rPr>
              <w:t>NY</w:t>
            </w:r>
          </w:p>
        </w:tc>
        <w:tc>
          <w:tcPr>
            <w:tcW w:w="1380" w:type="dxa"/>
            <w:vAlign w:val="bottom"/>
          </w:tcPr>
          <w:p>
            <w:pPr>
              <w:ind w:left="340"/>
              <w:spacing w:after="0"/>
              <w:rPr>
                <w:sz w:val="20"/>
                <w:szCs w:val="20"/>
                <w:color w:val="auto"/>
              </w:rPr>
            </w:pPr>
            <w:r>
              <w:rPr>
                <w:rFonts w:ascii="Arial" w:cs="Arial" w:eastAsia="Arial" w:hAnsi="Arial"/>
                <w:sz w:val="18"/>
                <w:szCs w:val="18"/>
                <w:color w:val="0000FF"/>
              </w:rPr>
              <w:t>10036</w:t>
            </w: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(City)</w:t>
            </w:r>
          </w:p>
        </w:tc>
        <w:tc>
          <w:tcPr>
            <w:tcW w:w="820" w:type="dxa"/>
            <w:vAlign w:val="bottom"/>
          </w:tcPr>
          <w:p>
            <w:pPr>
              <w:ind w:left="8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6"/>
        <w:spacing w:after="0"/>
        <w:tabs>
          <w:tab w:leader="none" w:pos="1805" w:val="left"/>
          <w:tab w:leader="none" w:pos="2145"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90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80" w:type="dxa"/>
            <w:vAlign w:val="bottom"/>
            <w:gridSpan w:val="2"/>
          </w:tcPr>
          <w:p>
            <w:pPr>
              <w:ind w:left="12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9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8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8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36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94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9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Amount or</w:t>
            </w:r>
          </w:p>
        </w:tc>
        <w:tc>
          <w:tcPr>
            <w:tcW w:w="90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6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90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19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Title</w:t>
            </w:r>
          </w:p>
        </w:tc>
        <w:tc>
          <w:tcPr>
            <w:tcW w:w="96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Number of</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940" w:type="dxa"/>
            <w:vAlign w:val="bottom"/>
            <w:vMerge w:val="continue"/>
          </w:tcPr>
          <w:p>
            <w:pPr>
              <w:spacing w:after="0"/>
              <w:rPr>
                <w:sz w:val="15"/>
                <w:szCs w:val="15"/>
                <w:color w:val="auto"/>
              </w:rPr>
            </w:pPr>
          </w:p>
        </w:tc>
        <w:tc>
          <w:tcPr>
            <w:tcW w:w="960" w:type="dxa"/>
            <w:vAlign w:val="bottom"/>
          </w:tcPr>
          <w:p>
            <w:pPr>
              <w:ind w:left="10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3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3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Class B Common Stock</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tcPr>
          <w:p>
            <w:pPr>
              <w:jc w:val="right"/>
              <w:ind w:right="276"/>
              <w:spacing w:after="0"/>
              <w:rPr>
                <w:sz w:val="20"/>
                <w:szCs w:val="20"/>
                <w:color w:val="auto"/>
              </w:rPr>
            </w:pPr>
            <w:r>
              <w:rPr>
                <w:rFonts w:ascii="Arial" w:cs="Arial" w:eastAsia="Arial" w:hAnsi="Arial"/>
                <w:sz w:val="11"/>
                <w:szCs w:val="11"/>
                <w:color w:val="008000"/>
              </w:rPr>
              <w:t>(1)</w:t>
            </w:r>
          </w:p>
        </w:tc>
        <w:tc>
          <w:tcPr>
            <w:tcW w:w="194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w w:val="93"/>
              </w:rPr>
              <w:t>Class A Common Stock</w:t>
            </w:r>
          </w:p>
        </w:tc>
        <w:tc>
          <w:tcPr>
            <w:tcW w:w="96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w w:val="93"/>
              </w:rPr>
              <w:t>96,933,192</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(1)</w:t>
            </w:r>
          </w:p>
        </w:tc>
        <w:tc>
          <w:tcPr>
            <w:tcW w:w="8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8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0000FF"/>
                <w:w w:val="90"/>
              </w:rPr>
              <w:t>See Footnotes</w:t>
            </w:r>
            <w:r>
              <w:rPr>
                <w:rFonts w:ascii="Arial" w:cs="Arial" w:eastAsia="Arial" w:hAnsi="Arial"/>
                <w:sz w:val="22"/>
                <w:szCs w:val="22"/>
                <w:color w:val="008000"/>
                <w:w w:val="90"/>
                <w:vertAlign w:val="superscript"/>
              </w:rPr>
              <w:t>(2)(3)(4)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8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Shares of the Issuer's Class B common stock ("Class B Common Stock") have ten votes per share and are exchangeable for shares of the Issuer's Class A common stock ("Class A Common Stock") on a one-for-one basis at the discretion of the holder. These exchange rights do not expire.</w:t>
      </w:r>
    </w:p>
    <w:p>
      <w:pPr>
        <w:spacing w:after="0" w:line="30" w:lineRule="exact"/>
        <w:rPr>
          <w:rFonts w:ascii="Arial" w:cs="Arial" w:eastAsia="Arial" w:hAnsi="Arial"/>
          <w:sz w:val="14"/>
          <w:szCs w:val="14"/>
          <w:color w:val="008000"/>
        </w:rPr>
      </w:pPr>
    </w:p>
    <w:p>
      <w:pPr>
        <w:ind w:left="40" w:right="160" w:firstLine="9"/>
        <w:spacing w:after="0" w:line="233"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These securities are directly held by Refinitiv TW Holdings Ltd., a wholly-owned subsidiary of Refinitiv Parent Limited. On June 28, 2019, Refinitiv Parent Limited contributed these securities to Refinitiv TW Holdings Ltd. Pursuant to a lock-up agreement entered into by Refinitiv Parent Limited in connection with the Issuer's initial public offering, Refinitiv TW Holdings Ltd. agreed to be bound by the restrictions set forth in such agreement.</w:t>
      </w:r>
    </w:p>
    <w:p>
      <w:pPr>
        <w:spacing w:after="0" w:line="30" w:lineRule="exact"/>
        <w:rPr>
          <w:rFonts w:ascii="Arial" w:cs="Arial" w:eastAsia="Arial" w:hAnsi="Arial"/>
          <w:sz w:val="14"/>
          <w:szCs w:val="14"/>
          <w:color w:val="008000"/>
        </w:rPr>
      </w:pPr>
    </w:p>
    <w:p>
      <w:pPr>
        <w:ind w:left="40" w:right="460" w:firstLine="9"/>
        <w:spacing w:after="0" w:line="233"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Refinitiv Holdings Limited is the sole shareholder of Refinitiv Parent Limited. BCP York Holdings (Delaware) L.P. is the majority shareholder of Refinitiv Holdings Limited. BCP York Holdings GP (Delaware) L.L.C. is the general partner of BCP York Holdings (Delaware) L.P. BCP York Subsidiary (Cayman) L.P. is the sole member of BCP York Holdings GP (Delaware) L.L.C. BCP VII Holdings Manager (Cayman) L.L.C. is the general partner of BCP York Subsidiary (Cayman) L.P.</w:t>
      </w:r>
    </w:p>
    <w:p>
      <w:pPr>
        <w:spacing w:after="0" w:line="30" w:lineRule="exact"/>
        <w:rPr>
          <w:rFonts w:ascii="Arial" w:cs="Arial" w:eastAsia="Arial" w:hAnsi="Arial"/>
          <w:sz w:val="14"/>
          <w:szCs w:val="14"/>
          <w:color w:val="008000"/>
        </w:rPr>
      </w:pPr>
    </w:p>
    <w:p>
      <w:pPr>
        <w:ind w:left="40" w:right="40" w:firstLine="9"/>
        <w:spacing w:after="0" w:line="228"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Blackstone Management Associates (Cayman) VII L.P. is the managing member of BCP VII Holdings Manager (Cayman) L.L.C. BCP VII GP L.L.C. is the general partner of Blackstone Management Associates (Cayman) VII L.P. Blackstone Holdings III L.P. is the sole member of BCP VII GP L.L.C. The general partner of Blackstone Holdings III L.P. is Blackstone Holdings III GP L.P. The general partner of Blackstone Holdings III GP L.P. is Blackstone Holdings III GP Management L.L.C. The sole member of Blackstone Holdings III GP Management L.L.C. is The Blackstone Group L.P. The general partner of The Blackstone Group L.P. is Blackstone Group Management L.L.C. Blackstone Group Management L.L.C. is wholly-owned by Blackstone's senior managing directors and controlled by its founder, Stephen A. Schwarzman.</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REFINITIV TW HOLDINGS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436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43660" cy="8890"/>
                    </a:xfrm>
                    <a:prstGeom prst="rect">
                      <a:avLst/>
                    </a:prstGeom>
                    <a:noFill/>
                  </pic:spPr>
                </pic:pic>
              </a:graphicData>
            </a:graphic>
          </wp:anchor>
        </w:drawing>
      </w:r>
    </w:p>
    <w:p>
      <w:pPr>
        <w:ind w:left="6860"/>
        <w:spacing w:after="0" w:line="217" w:lineRule="auto"/>
        <w:tabs>
          <w:tab w:leader="none" w:pos="9140" w:val="left"/>
        </w:tabs>
        <w:rPr>
          <w:sz w:val="20"/>
          <w:szCs w:val="20"/>
          <w:color w:val="auto"/>
        </w:rPr>
      </w:pPr>
      <w:r>
        <w:rPr>
          <w:rFonts w:ascii="Arial" w:cs="Arial" w:eastAsia="Arial" w:hAnsi="Arial"/>
          <w:sz w:val="18"/>
          <w:szCs w:val="18"/>
          <w:color w:val="0000FF"/>
        </w:rPr>
        <w:t>LTD., By: /s/ Mark Iving,</w:t>
      </w:r>
      <w:r>
        <w:rPr>
          <w:sz w:val="20"/>
          <w:szCs w:val="20"/>
          <w:color w:val="auto"/>
        </w:rPr>
        <w:tab/>
      </w:r>
      <w:r>
        <w:rPr>
          <w:rFonts w:ascii="Arial" w:cs="Arial" w:eastAsia="Arial" w:hAnsi="Arial"/>
          <w:sz w:val="23"/>
          <w:szCs w:val="23"/>
          <w:color w:val="0000FF"/>
          <w:vertAlign w:val="subscript"/>
        </w:rPr>
        <w:t>07/05/2019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1449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4490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Name: Mark Irving, Title: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1601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6014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Assistant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8578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1" Type="http://schemas.openxmlformats.org/officeDocument/2006/relationships/hyperlink" Target="http://www.sec.gov/cgi-bin/browse-edgar?action=getcompany&amp;CIK=0001772096" TargetMode="External"/><Relationship Id="rId12"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2019-12-23T16:07:46Z</dcterms:created>
  <dcterms:modified xsi:type="dcterms:W3CDTF">2019-12-23T16:07:46Z</dcterms:modified>
</cp:coreProperties>
</file>