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Shares Outstanding as of July 18, 2024</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116,292,668</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5,076,973</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June 30, 2024 and December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and six months ended June 30, 2024 and 2023</w:t>
            </w:r>
          </w:p>
        </w:tc>
        <w:tc>
          <w:tcPr>
            <w:tcW w:w="18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six months ended June 30, 2024 and 2023</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and six months ended June 30, 2024 and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six months ended June 30, 2024 and 2023</w:t>
            </w:r>
          </w:p>
        </w:tc>
        <w:tc>
          <w:tcPr>
            <w:tcW w:w="1180" w:type="dxa"/>
            <w:vAlign w:val="bottom"/>
            <w:tcBorders>
              <w:top w:val="single" w:sz="8" w:color="3051F2"/>
            </w:tcBorders>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5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3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5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35"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our environmental, social and governance goals;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2023 (the “2023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1,718,230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$158 and $284 at June 30, 2024 and December 31, 2023,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2,857,713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1,004,797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78,951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70,819</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7,284,541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351,864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380,937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1,077,136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1,128,132</w:t>
            </w:r>
          </w:p>
        </w:tc>
      </w:tr>
      <w:tr>
        <w:trPr>
          <w:trHeight w:val="135"/>
        </w:trPr>
        <w:tc>
          <w:tcPr>
            <w:tcW w:w="8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48"/>
        </w:trPr>
        <w:tc>
          <w:tcPr>
            <w:tcW w:w="8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116,282,605 and 115,090,787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5,076,973 and 5,077,973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4,795,562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4,738,758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r>
      <w:tr>
        <w:trPr>
          <w:trHeight w:val="20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5,630,802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576,603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6,207,405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7,284,541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330,475</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246,461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665,926</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513,059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90,122</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0" w:type="dxa"/>
            <w:vAlign w:val="bottom"/>
          </w:tcPr>
          <w:p>
            <w:pPr>
              <w:spacing w:after="0"/>
              <w:rPr>
                <w:sz w:val="1"/>
                <w:szCs w:val="1"/>
                <w:color w:val="auto"/>
              </w:rPr>
            </w:pP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404,951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310,613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813,690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639,862</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280,323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218,417</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36,268</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242,457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483,518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400,961</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162,494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116,335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330,172</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238,901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183,463</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130,988</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370,483</w:t>
            </w:r>
          </w:p>
        </w:tc>
        <w:tc>
          <w:tcPr>
            <w:tcW w:w="8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266,386</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(62,254)</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136,416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101,939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279,798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204,132</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27,194</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119,239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89,082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245,381</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176,938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213,162,158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211,569,728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212,936,015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209,847,153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214,895,947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213,156,753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214,778,342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211,659,814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279,798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204,132</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six</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June 30, 2024 and 2023</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207,965</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27,194</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242,853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4,795,562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6,207,405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4,577,609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5,600,865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27,827</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4,693,795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5,717,368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279,798</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204,132</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91,291</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27,323</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(18,239)</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(66,974)</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w:t>
            </w:r>
          </w:p>
        </w:tc>
      </w:tr>
      <w:tr>
        <w:trPr>
          <w:trHeight w:val="216"/>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323,584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283,939</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foreign currency call option</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(11,166)</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(22,478)</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(20,505)</w:t>
            </w:r>
          </w:p>
        </w:tc>
      </w:tr>
      <w:tr>
        <w:trPr>
          <w:trHeight w:val="18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(134,704)</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(34,060)</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Dividends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of period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7,582</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(37,781)</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229"/>
        </w:trPr>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(41,748)</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(174,880)</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(113,296)</w:t>
            </w:r>
          </w:p>
        </w:tc>
      </w:tr>
      <w:tr>
        <w:trPr>
          <w:trHeight w:val="193"/>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139,172</w:t>
            </w:r>
          </w:p>
        </w:tc>
      </w:tr>
      <w:tr>
        <w:trPr>
          <w:trHeight w:val="432"/>
        </w:trPr>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1,719,230</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1,397,401</w:t>
            </w:r>
          </w:p>
        </w:tc>
      </w:tr>
      <w:tr>
        <w:trPr>
          <w:trHeight w:val="27"/>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61,414</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19,026</w:t>
            </w:r>
          </w:p>
        </w:tc>
      </w:tr>
      <w:tr>
        <w:trPr>
          <w:trHeight w:val="2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r>
      <w:tr>
        <w:trPr>
          <w:trHeight w:val="2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27,976</w:t>
            </w: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70,886</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1,718,230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220" w:type="dxa"/>
            <w:vAlign w:val="bottom"/>
            <w:gridSpan w:val="3"/>
          </w:tcPr>
          <w:p>
            <w:pPr>
              <w:spacing w:after="0"/>
              <w:rPr>
                <w:sz w:val="17"/>
                <w:szCs w:val="17"/>
                <w:color w:val="auto"/>
              </w:rPr>
            </w:pPr>
          </w:p>
        </w:tc>
        <w:tc>
          <w:tcPr>
            <w:tcW w:w="462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051F2"/>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220" w:type="dxa"/>
            <w:vAlign w:val="bottom"/>
            <w:gridSpan w:val="3"/>
          </w:tcPr>
          <w:p>
            <w:pPr>
              <w:spacing w:after="0"/>
              <w:rPr>
                <w:sz w:val="20"/>
                <w:szCs w:val="20"/>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2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9</w:t>
            </w:r>
          </w:p>
        </w:tc>
        <w:tc>
          <w:tcPr>
            <w:tcW w:w="14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15</w:t>
            </w:r>
          </w:p>
        </w:tc>
        <w:tc>
          <w:tcPr>
            <w:tcW w:w="14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17</w:t>
            </w:r>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June 30, 2024, Tradeweb Markets Inc. owned 90.2% of TWM LLC and the non-controlling interest holders owned the remaining 9.8% of TWM LLC. As of December 31, 2023, Tradeweb Markets Inc. owned 90.2% of TWM LLC and the non-controlling interest holders owned the remaining 9.8% of TWM LLC.</w:t>
      </w: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that maintains branches in Asia.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19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3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the Australian Securities &amp; Investments Commission (“ASIC”), that also maintains a branch in Singapore that is regulated by the Monetary Authority of Singapore (“MAS”) as a Regulated Market Operator. Tradeweb Australia Pty Ltd changed its name from Yieldbroker Pty Limited in January 2024.</w:t>
      </w:r>
    </w:p>
    <w:p>
      <w:pPr>
        <w:spacing w:after="0" w:line="152"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Technology and Trading Private Limited ("TTTL"), a private limited company incorporated in Mumbai, India.</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2023, TWM LLC and the Corporation entered into a definitive agreement for TWM LLC to acquire all of the outstanding equity interests of R8FIN Holdings LP (together with its subsidiaries, “r8fin”).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The acquisition closed on January 19, 2024, following the satisfaction of closing conditions and regulatory reviews. The total consideration was $125.9 million, consisting of cash and the issuance of shares of Class A common stock of the Corporation (the “r8fin Acquisition”). See Note 4 – Acquisitions for additional details on this acquisition.</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for A$123.6 million in cash (the “Yieldbroker Acquisition”). This acquisition combines Australia and New Zealand’s highly attractive, fast-growing markets with Tradeweb’s international reach and scale.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6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185" w:lineRule="exact"/>
        <w:rPr>
          <w:sz w:val="20"/>
          <w:szCs w:val="20"/>
          <w:color w:val="auto"/>
        </w:rPr>
      </w:pPr>
    </w:p>
    <w:p>
      <w:pPr>
        <w:ind w:left="660" w:right="3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116,282,605 shares of Class A common stock, representing 10.1% of the combined voting power of Tradeweb Markets Inc.’s issued and outstanding common stock and indirectly, through Tradeweb Markets Inc., owned 49.2% of the economic interest in TWM LLC;</w:t>
      </w:r>
    </w:p>
    <w:p>
      <w:pPr>
        <w:spacing w:after="0" w:line="14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50.8%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88,644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and six months ended June 30, 2024 were impacted by 125,012 and 142,484, respectively, of weighted average shares resulting from unvested restricted stock units and unsettled vested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and six months ended June 30, 2024 also include 1,733,789 and 1,842,327, respectively, of weighted average shares resulting from the dilutive effect of its equity incentive plans. See Note 14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2023.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prepared in accordance with accounting principles generally accepted in the United States of America (“GAAP”) and the rules and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An allowance for credit losses is also recognized for any credit impairment for available-for-sale debt securities. See Note 12 – Credit Risk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accumulated depreciation related to furniture, equipment, purchased software and leasehold improvements totaled $105.7 million and $95.8 million, respectively. Depreciation expense for furniture, equipment, purchased software and leasehold improvements was $5.2 million and $5.3 million for the three months ended June 30, 2024 and 2023, respectively, and $10.5 million and $10.5 million for the six months ended June 30, 2024 and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accumulated amortization related to software development costs totaled $254.0 million and $222.5 million, respectively. Amortization expense for software development costs was $16.0 million and $13.8 million for the three months ended June 30, 2024 and 2023, respectively, and $31.6 million and $27.2 million for the six months ended June 30,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r8fin Acquisition, the Yieldbroker Acquisition and the NFI Acquisition. Goodwill is not amortized, but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2023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accumulated amortization related to intangible assets totaled $599.6 million and $542.4 million, respectively. Amortization expense for definite-lived intangible assets was $28.7 million and $26.8 million for the three months ended June 30, 2024 and 2023, respectively, and $57.2 million and $53.6 million for the six months ended June 30,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operations.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condensed consolidated statements of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the three and six months ended June 30,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$0.8 million and $1.4 million during the three months ended June 30, 2024 and 2023, respectively, and realized and unrealized losses during the six months ended June 30, 2024 and 2023 totaled $2.0 million and $1.8 million,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11 – Fair Value of Financial Instruments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and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 on foreign currency forward contracts during the three months ended June 30, 2024 and 2023 totaled $2.6 million and $2.2 million, respectively and realized and unrealized gains on foreign currency forward contracts during the six months ended June 30, 2024 and 2023 totaled $6.9 million and $1.0 million, respectively. Realized and unrealized gains on the foreign currency call option on Australian dollars during both the three and six months ended June 30, 2023 totaled $0.6 million. As of June 30, 2024 and December 31, 2023,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for additional details on the Company’s derivative instruments.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and six months ended June 30, 2024. The Company is subject to the 15% CAMT, however, it is not expected to have a material impact on the Company’s effective tax 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ASU requires disaggregated information about a reporting entity’s effective tax rate reconciliation and income taxes paid. The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Company’s Annual Report on Form 10-K for the fiscal year ending December 31, 2025. The guidance may be applied on a prospective or retrospective basis and early adoption is permitted. The Company is currently evaluating the impact of adopting this ASU on its consolidated financial statements.</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also requires the disclosure of the title and position of the CODM and an explanation of how the CODM uses the reported measure(s) of segment profit or loss in assessing segment performance and deciding how to allocate resources. All disclosure requirements under ASU 2023-07 and existing segment disclosures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are also required for public entities with a single reportable segment. The ASU is effective for the Company’s Annual Report on Form 10-K for the fiscal year ending December 31, 2024, and subsequent interim periods, with early adoption permitted. The ASU is to be applied retrospectively to all periods presented in the financial statements. The Company is currently evaluating the impact of adopting this ASU on its consolidated financial statements.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On January 1, 2024, the Company adopted ASU 2022-03 on a prospective basis, which resulted in additional disclosures regarding contractual sale restrictions on investments, as disclosed in Note 11 – Fair Value of Financial Instruments and did not have a material impact on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SEC Final Rules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(the “Final Climate Rules”), which requires registrants to disclose certain climate-related information in their registration statements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The Final Climate Rules require disclosure of, among other things, material climate-related risks and their impact; activities to mitigate or adapt to material climate-related risks; governance and oversight of climate-related risks; material climate-related targets or goals and their financial impact; and material Scope 1 and/or Scope 2 greenhouse gas emissions with an accompanying assurance report required following an initial transition period, at limited assurance level, and then following an additional transition period, at a reasonable assurance level. Additionally, under the Final Climate Rules, the effects of severe weather events and other natural conditions, subject to certain thresholds, and amounts related to carbon offsets and renewable energy credits or certificates are required to be disclosed in the notes to the audited financial statements in certain circumstances.</w:t>
      </w:r>
    </w:p>
    <w:p>
      <w:pPr>
        <w:spacing w:after="0" w:line="14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April 4, 2024, the SEC voluntarily stayed the implementation of the Final Climate Rules pending completion of judicial review of the consolidated challenges to the Final Climate Rules by the Court of Appeals for the Eighth Circuit. The Final Climate Rules, as originally issued, would be effective for the Company in various fiscal years, starting with its Annual Report on Form 10-K for the year ending December 31, 2025. Disclosures pursuant to the Final Climate Rules, as originally issued, would be required prospectively, with information for prior periods required only to the extent it was previously disclosed in an SEC filing. The Company is currently evaluating the impact of the Final Climate Rules on its consolidated financial statements and disclosures.</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June 30, 2024 and December 31, 2023, cash in the amount of $1.0 million, has been segregated in the PAB reserve account, exceeding the requirements pursuant to SEC Rule 15c3-3.</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20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19, 2024, the Company completed its acquisition of all of the outstanding equity interests of R8FIN Holdings LP in exchange for total consideration of $125.9 million, consisting of $89.2 million in cash paid at closing (net of cash acquired) and the issuance of 374,601 shares of Class A common stock of the Corporation valued as of the closing date at $36.7 million.</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Company utilized the assistance of a third-party valuation specialist to determine the fair value of the assets acquired and liabilities assumed at the date of the closing of the acquisition. The fair values were determined based on assumptions that reasonable market participants would use in the principal (or most advantageous) market and primarily included significant unobservable inputs (Level 3).</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developed technology that was acquired, included in the condensed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purchase price was allocated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37"/>
        </w:trPr>
        <w:tc>
          <w:tcPr>
            <w:tcW w:w="9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and stock issued</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127,313</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9"/>
        </w:trPr>
        <w:tc>
          <w:tcPr>
            <w:tcW w:w="9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Working capital and other closing adjustments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 net of cash acquired and excluding working capital and other closing adjustments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125,902</w:t>
            </w: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net working capital and other closing adjustments receivable of $14,000 as of June 30, 2024 was collected in July 2024</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seven years and the customer relationships will be amortized over a useful life of 13 years. The goodwill recognized in connection with the r8fin Acquisition is primarily attributable to the acquisition of expected future customers, future technology and synergies from the integration of the operations of r8fin into the Company's operations and its single business segment. All of the goodwill recognized in connection with the r8fin Acquisition is expected to be deductible for income tax purposes.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$0.1 million and $0.5 million, respectively, in transaction costs incurred to effect the r8fin Acquisition, which are included as a component of professional fees in the accompanying condensed consolidated statements of income. During the three and six months ended June 30, 2024, the Company also recognized $0 and $51,000, respectively, in transaction costs incurred to effect the r8fin Acquisition, which are included as a component of general and administrative expenses in the accompanying condensed consolidated statements of income.</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r8fin Acquisition was not material to the Company's condensed consolidated financial statements and therefore pro forma and current period results of this acquisition have not been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5, 2024, the Company entered into a definitive agreement for TWM LLC to acquire the Institutional Cash Distributors business (“ICD”) by purchasing all of the outstanding equity interests of each of ICD Intermediate Holdco 1, LLC, SCIC - ICD Blocker 1, Inc. and Parthenon Investors V ICD Blocker, Inc. Pursuant to the terms of the purchase agreement, TWM LLC is required to pay $785 million in cash, subject to customary working capital and other adjustments, for the acquisition. In connection with the acquisition closing, the Corporation will also issue and sell $4.5 million of shares of its Class A common stock in reliance on Section 4(a)(2) of the Securities Act, to an equityholder of the seller, which such shares of Class A common stock will be issued and sold as restricted stock, subject to vesting and forfeiture terms, pursuant to the Tradeweb Markets Inc. 2019 Omnibus Equity Incentive Plan. The acquisition is expected to close in the third quarter of 2024, subject to the satisfaction of customary closing conditions and regulatory reviews.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Portfolio Analytics is an AI-driven cloud solution for aggregating positions across a corporate treasury’s entire portfolio for analysis and reporting. With the acquisition of ICD and its proprietary technology, Tradeweb will add a new client channel serving corporate treasury professionals, complementing Tradeweb’s existing focus on institutional, wholesale and retail clients.</w:t>
      </w:r>
    </w:p>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earns fees from an affiliate of LSEG (Refinitiv, which was rebranded as LSEG Data &amp; Analytics during the fourth quarter of 2023)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The breakdown of revenues between fixed and variable revenues for the three and six months ended June 30, 2024 and 2023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294,003</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209,634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294,850</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100,245</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70"/>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24"/>
                <w:szCs w:val="24"/>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592,265</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439,815</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73,244</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89,192</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441,211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198,651</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81,074</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acquired in connection with the r8fin Acquisition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28,174</w:t>
            </w:r>
          </w:p>
        </w:tc>
      </w:tr>
      <w:tr>
        <w:trPr>
          <w:trHeight w:val="20"/>
        </w:trPr>
        <w:tc>
          <w:tcPr>
            <w:tcW w:w="9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into revenue $22.6 million in deferred revenue that was deferred as of December 31, 2023. During the six months ended June 30, 2023, the Company recognized into revenue $19.6 million in deferred revenue that was deferred as of December 31, 2022.</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2024 and 2023 was approximately 25.6% and 22.2%, respectively. The effective tax rate for the three months ended June 30, 2024 differed from the U.S. federal statutory rate of 21.0% primarily due to state, local and foreign taxes and the disallowance of compensation expense tax deductions, partially offset by the effect of non-controlling interests. The effective tax rate for the three months ended June 30, 2023 differed from the U.S. federal statutory rate of 21.0% primarily due to the disallowance of compensation expense tax deductions and state, local and foreign taxes, partially offset by the effect of non-controlling interests.</w:t>
      </w:r>
    </w:p>
    <w:p>
      <w:pPr>
        <w:spacing w:after="0" w:line="1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2024 and 2023 was approximately 24.5% and 23.4%, respectively. The effective tax rate for the six months ended June 30, 2024 differed from the U.S. federal statutory rate of 21.0% primarily due to state, local and foreign taxes and the disallowance of compensation expense tax deductions, partially offset by the effect of non-controlling interests. The effective tax rate for the six months ended June 30, 2023 differed from the U.S. federal statutory rate of 21.0% primarily due to the disallowance of compensation expense tax deductions and state, local and foreign taxes, partially offset by the effect of non-controlling interests.</w:t>
      </w:r>
    </w:p>
    <w:p>
      <w:pPr>
        <w:spacing w:after="0" w:line="14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statements of financial condition.</w:t>
      </w:r>
    </w:p>
    <w:p>
      <w:pPr>
        <w:spacing w:after="0" w:line="1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and the Company was indemnified by Refinitiv for these tax liabilities assumed. During the second quarter of 2023, the contributed entity reached an audit settlement with the State of New Jersey for the tax years 2008 - 2015 and in the third quarter of 2023 paid $2.0 million in full settlement of the matter and the prior liabilities assumed. In the third quarter of 2023, Refinitiv reimbursed the Company for the $2.0 million paid to the State of New Jersey pursuant to the indemnification agreement. As of June 30, 2024 and December 31, 2023, there were no remaining tax liabilities accrued associated with the Refinitiv Contribution.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a Continuing LLC Owner, including with the net proceeds from the IPO and any subsequent offerings or (b) redemptions or exchanges by a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earnings, tax legislation and tax rates in various jurisdictions, or other factors that may impact the Corporation’s actual tax savings realized,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in income before taxes on the condensed consolidated statements of income in the period in which the change occurs. As of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tax receivable agreement liability on the condensed consolidated statements of financial condition totaled $380.9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$457.5 million, respectively. During each of the three and six months ended June 30, 2024 and 2023, no tax receivable agreement liability adjustment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the condensed consolidated statements of income.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90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8"/>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213,215,797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211,601,209</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23,076,973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234,681,780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w:t>
            </w:r>
          </w:p>
        </w:tc>
        <w:tc>
          <w:tcPr>
            <w:tcW w:w="30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2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79,780</w:t>
            </w:r>
          </w:p>
        </w:tc>
        <w:tc>
          <w:tcPr>
            <w:tcW w:w="0" w:type="dxa"/>
            <w:vAlign w:val="bottom"/>
          </w:tcPr>
          <w:p>
            <w:pPr>
              <w:spacing w:after="0"/>
              <w:rPr>
                <w:sz w:val="1"/>
                <w:szCs w:val="1"/>
                <w:color w:val="auto"/>
              </w:rPr>
            </w:pPr>
          </w:p>
        </w:tc>
      </w:tr>
      <w:tr>
        <w:trPr>
          <w:trHeight w:val="164"/>
        </w:trPr>
        <w:tc>
          <w:tcPr>
            <w:tcW w:w="56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117,041</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161,952</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244,516</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256,718</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2023 and there have been no changes to those rights and privileges during the six months ended June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116,282,605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right="120" w:hanging="332"/>
        <w:spacing w:after="0" w:line="268"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closing date of the r8fin Acquisition. See Note 4 – Acquisitions for additional details on this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3,254,577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(3,251,177)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(107,365)</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114,668,017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234,681,780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with only time-based vesting conditions (“RSUs”),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Stock options have a maximum contractual term of 10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connection with organizational changes, on June 17, 2024, the Company determined that the employment of Thomas Pluta, President of the Company, will terminate effective September 30, 2024. In connection with the termination of his employment, Mr. Pluta will also resign from the Board of Directors of the Company effective September 30, 2024. As of June 17, 2024, there was approximately $4.4 million in total unamortized stock-based compensation associated with equity awards previously granted to Mr. Pluta that will be accelerated and amortized into expense over a revised estimated service period ending on September 30, 2024. Of this amount, $1.7 million represents regularly scheduled amortization that would have been recognized from June 17, 2024 through September 30, 2024 if Mr. Pluta’s employment was not terminated and $2.7 million represents accelerated stock-based compensation expense. During the three months ended June 30, 2024, the Company incurred a total of $0.3 million in accelerated stock-based compensation expense relating to Mr. Pluta’s departure, with the remaining $2.4 million to be recorded during the three months ending September 30, 2024.</w:t>
      </w:r>
    </w:p>
    <w:p>
      <w:pPr>
        <w:spacing w:after="0" w:line="14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granted 12,526 RSUs at a weighted-average grant-date fair value of $112.82. No PRSUs or PSUs were granted during the three months ended June 30, 2024. During the six months ended June 30, 2024, the Company granted 457,978 RSUs, 201,546 PRSUs and 86,592 PSUs at a weighted-average grant-date fair value of $104.48, $104.66 and $149.00, respectively.</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and RSU awards granted to non-employee directors will vest after one year.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the financial performance of the Company will be determined based on the compound annual growth rate over a three-year performance period beginning on January 1 in the year of grant. For PRSU awards granted during 2023 and prior, the financial performance of the Company was determined based on the financial performance of the Company in the grant year, and any earned awards that remain outstanding are subject to time-based vesting conditions. The performance modifier for PRSUs can vary between 0% (minimum) and 250% (maximum) of the target (100%) award amount for PRSU awards granted during 2024 and 2023. PRSUs granted during 2022 and prior had a 200% maximum performance modifier.</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on March 15, 2024 and 2023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2024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8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r>
    </w:tbl>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above excludes $0.6 million and $0.4 million of stock-based compensation expense capitalized to software development costs during the three months ended June 30, 2024 and 2023, respectively, and $1.2 million and $0.6 million during the six months ended June 30,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There were no share repurchases during the three and six months ended June 30, 2024. During the three and six months ended June 30, 2023, the Company acquired a total of 107,365 and 420,676 shares of Class A common stock, at an average price of $70.81 and $72.05, for purchases totaling $7.6 million and $30.3 million, respectively.</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June 30, 2024, a total of $239.8 million remained available for repurchase pursuant to the 2022 Share Repurchase Program.</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share repurchase programs, the excess of the repurchase price paid over the par value of the Class A common stock is be recorded as a reduction to retained earnings.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withheld 2,505 and 26,259 shares, respectively, of Class A common stock from employee stock option, PRSU and RSU awards, at an average price per share of $107.57 and $71.23, respectively, and an aggregate value of $0.3 million and $1.9 million, respectively, based on the price of the Class A common stock on the date the relevant withholding occurred. During the six months ended June 30, 2024 and 2023, the Company withheld 455,326 and 601,083 shares, respectively, of Class A common stock from employee stock option, PRSU and RSU awards, at an average price per share of $97.24 and $69.42, respectively, and an aggregate value of $44.3 million and $41.7 million, respectively, based on the price of the Class A common stock on the date the relevant withholding occurred. These shares are withheld in order for the Company to cover the employee payroll tax withholding obligations upon the exercise of stock options and settlement of RSUs and PRSUs and such shares were not withheld in connection with the share repurchase programs discussed above.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53" w:lineRule="exact"/>
        <w:rPr>
          <w:sz w:val="20"/>
          <w:szCs w:val="20"/>
          <w:color w:val="auto"/>
        </w:rPr>
      </w:pPr>
    </w:p>
    <w:p>
      <w:pPr>
        <w:ind w:left="340" w:right="2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(Refinitiv, which was rebranded as LSEG Data &amp; Analytics during the fourth quarter of 2023).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on the condensed consolidated statements of financial condition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1,562,815</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1,562,815</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 Investment in available for sale debt securities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21"/>
        </w:trPr>
        <w:tc>
          <w:tcPr>
            <w:tcW w:w="556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1,562,815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1,575,543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Payable and due to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2024, the Company made an investment in a convertible note with a principal amount and original amortized cost basis of $10.0 million.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condensed consolidated statements of financial condition at a fair value and amortized cost basis of $10.1 million as of June 30, 2024. There were no fair value adjustments or credit losses recorded on the convertible note during the three and six months ended June 30,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On June 1, 2023, the Company entered into a foreign currency call option on Australian dollars, giving the Company an option to buy A$120.7 million ($79.9 million U.S. dollars as translated as of June 30, 2023), in order to partially mitigate the Company’s U.S. dollar versus Australian dollar foreign exchange exposure on the then anticipated payment of the Australian dollar denominated purchase price for the Yieldbroker acquisition. The valuations for the Company’s foreign currency forward contracts and foreign currency call option are primarily based on the difference between the exchange rate associated with the contract and the exchange rate at the current period end for the tenor of the contract. Foreign currency forward contracts and the foreign currency call option are categorized as Level 2 in the fair value hierarchy. As of June 30, 2024 and December 31, 2023,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16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229,131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192,877</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7"/>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 – General and administrative (expenses)/income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181"/>
        </w:trPr>
        <w:tc>
          <w:tcPr>
            <w:tcW w:w="5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Foreign currency call option contract not designated in accounting hedge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relationship – Other income/(loss)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4"/>
                <w:szCs w:val="24"/>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3" w:lineRule="exact"/>
        <w:rPr>
          <w:sz w:val="20"/>
          <w:szCs w:val="20"/>
          <w:color w:val="auto"/>
        </w:rPr>
      </w:pPr>
    </w:p>
    <w:p>
      <w:pPr>
        <w:ind w:left="340" w:right="180" w:hanging="332"/>
        <w:spacing w:after="0" w:line="281" w:lineRule="auto"/>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2023, the Company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On August 25, 2023, the Company unwound the out-of-the-money foreign currency call option and received $1.1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have been categorized based upon the fair value hierarchy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37"/>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4"/>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156,415</w:t>
            </w: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432,037</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62,694</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233,084</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887,137</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424,751</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163,824</w:t>
            </w: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752,641</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 sold under agreements to repurchase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240" w:hanging="332"/>
        <w:spacing w:after="0" w:line="28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Treasury securities with a fair value of $21.6 million collateralized the securities sold under agreements to repurchase liability. The liability amounts presented represent the gross liability and are not offset on the condensed consolidated statements of financial condition. The securities sold under agreements to repurchase liability were subsequently settled on January 2, 2024.</w:t>
      </w:r>
    </w:p>
    <w:p>
      <w:pPr>
        <w:spacing w:after="0" w:line="1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Without Readily Determinable Fair Values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equity investments without readily determinable fair values of $10.5 million and $8.9 million as of June 30, 2024 and December 31, 2023, respectively. These equity investments are subject to general contractual sale restrictions that prohibit the transfer or sale of the investment without prior consent of the investee.</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Historically the Company has used ICBC, a wholly-owned subsidiary of the Industrial and Commercial Bank of China Limited, to clear U.S. Treasury trades executed by non-FICC members on the Company’s wholesale trading platform. Under that arrangement, ICBC submitted the Company’s trades from non-FICC members to the FICC under the ICBC netting account with the FICC. Following the November 2023 ransomware attack on some ICBC operating systems, including those used to clear U.S. Treasury and repurchase agreement financings, the Company has and may continue to self-clear these U.S. Treasury trades. As a result, this increased the number of trades that settle over the fed wire, instead of FICC clearing, and accordingly the Company has experienced and may continue to experience, an increase in the number of U.S. Treasury failed settlement transactions. As of June 30, 2024, the Company recorded a $432.0 million receivable and a $424.8 million payable from/to brokers and dealers and clearing organizations related to failed settlement transactions and the Company self-funded the remaining $7.3 million difference between the fail to deliver and fail to receive. All of the above failed settlement transactions outstanding as of June 30, 2024 were fully settled during July 2024.</w:t>
      </w:r>
    </w:p>
    <w:p>
      <w:pPr>
        <w:spacing w:after="0" w:line="14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2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maintained an allowance for credit losses with regard to its receivables of $0.2 million and $0.3 million, respectively. For the three months ended June 30, 2024, recoveries resulted in a reversal of credit loss expenses totaling $79,000, and, for the three months ended June 30, 2023, credit loss expense was $21,000. For the six months ended June 30, 2024, recoveries resulted in a reversal of credit loss expenses totaling $71,000, and, for the six months ended June 30, 2023, credit loss expense was $47,000.</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3"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2022. Oral argument in the appeal was held on October 3, 2023, and by order and opinion issued on February 1, 2024, the Second Circuit affirmed the District Court’s order dismissing all claims against all defendants, including the claims against the Company. All deadlines for any further avenues of appeal have expired and the Company considers the matter closed.</w:t>
      </w:r>
    </w:p>
    <w:p>
      <w:pPr>
        <w:spacing w:after="0" w:line="14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 (the “2019 Revolving Credit Facility”). The 2019 Revolving Credit Facility was scheduled to mature in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1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238" w:lineRule="auto"/>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ind w:right="40" w:firstLine="8"/>
        <w:spacing w:after="0" w:line="236"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both June 30, 2024 and December 31, 2023, there were $0.5 million in letters of credit issued under the 2023 Revolving Credit Facility and no borrowings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table presents the future minimum lease payments and the maturity of lease liabilities as of June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30,682</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9"/>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lease payments above exclude $159.2 million of future minimum lease payments for a lease signed but not yet commenced as of June 30, 2024. This lease, for the Company’s New York City corporate office, is expected to commence in mid-2025 and has an expected initial lease term of approximately 16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unvested RSUs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Times New Roman" w:cs="Times New Roman" w:eastAsia="Times New Roman" w:hAnsi="Times New Roman"/>
                <w:sz w:val="18"/>
                <w:szCs w:val="18"/>
                <w:color w:val="auto"/>
              </w:rPr>
              <w:t xml:space="preserve">and unsettled vested PRSUs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4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88,980</w:t>
            </w: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245,217</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213,162,158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211,569,728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212,936,015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209,847,153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214,895,947</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213,156,753</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214,778,342</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211,659,814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80" w:hanging="332"/>
        <w:spacing w:after="0" w:line="271"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2024 and 2023, there was a total of 125,012 and 241,963 and during the six months ended June 30, 2024 and 2023, there was a total of 142,484 and 266,790, respectively, weighted average unvested RSUs and unsettled vested PRSUs that were considered a participating security for purposes of calculating earnings per share in accordance with the two-class method.</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CCEEFF"/>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113,873</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23,077,698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23,153,250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23,077,836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24,738,197</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TWEU and TESBV are subject to certain finance resource requirements with the AFM in the Netherlands, YB is subject to certain financial resource requirements with ASIC in Australia and TDIFC is subject to certain financial resource requirements with DFSA in the Dubai International Financial Centre. At June 30, 2024 and December 31, 2023, the regulatory capital requirements and regulatory capital for these entities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June 30, 2024 and December 31,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932"/>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492,918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382,680</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149,429</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639,862</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330,172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238,901</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506,242</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409,621</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230,241</w:t>
            </w:r>
          </w:p>
        </w:tc>
      </w:tr>
      <w:tr>
        <w:trPr>
          <w:trHeight w:val="22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639,862</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4,043,795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4,071,365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On July 25, 2024, the board of directors of Tradeweb Markets Inc. declared a cash dividend of $0.10 per share of Class A common stock and Class B common stock for the third quarter of 2024. This dividend will be payable on September 16, 2024 to stockholders of record as of September 3, 2024.</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Tradeweb Markets Inc., as the sole manager, approved a distribution by TWM LLC to its equityholders, including Tradeweb Markets Inc., in an aggregate amount of $89.8 million, as adjusted by required state and local tax withholdings that will be determined prior to the record date of September 3, 2024, payable on September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2023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70 countries with offices in North America, Europe, Asia, Australia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70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190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r8fin</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19, 2024, we completed our acquisition of r8fin in exchange for total consideration of $125.9 million, consisting of $89.2 million in cash paid at closing (net of cash acquired) and the issuance of 374,601 shares of Class A common stock of the Corporation valued as of the closing date at $36.7 million</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creating a valuable and broad-based approach to trading U.S. Treasuries and related futures trading. The r8fin acquisition is not material to our consolidated financial statements and did not have a significant impact to our results of operations for the three and six months ended June 30, 2024. See Note 4 – Acquisitions to the condensed consolidated financial statements included elsewhere in this Quarterly Report on Form 10-Q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ICD</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5, 2024, we entered into a definitive agreement for TWM LLC to acquire the Institutional Cash Distributors business (“ICD”) by purchasing all of the outstanding equity interests of each of ICD Intermediate Holdco 1, LLC, SCIC - ICD Blocker 1, Inc. and Parthenon Investors V ICD Blocker, Inc. Pursuant to the terms of the purchase agreement, TWM LLC is required to pay $785 million in cash, subject to customary working capital and other adjustments, for the acquisition. In connection with the acquisition closing, the Corporation will also issue and sell $4.5 million of shares of its Class A common stock in reliance on Section 4(a)(2) of the Securities Act, to an equityholder of the seller, which such shares of Class A common stock will be issued and sold as restricted stock, subject to vesting and forfeiture terms, pursuant to the Tradeweb Markets Inc. 2019 Omnibus Equity Incentive Plan. The acquisition is expected to close in the third quarter of 2024, subject to the satisfaction of customary closing conditions and regulatory reviews.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Portfolio Analytics is an AI-driven cloud solution for aggregating positions across a corporate treasury’s entire portfolio for analysis and reporting. With the acquisition of ICD and its proprietary technology, we will add a new and fast-growing client channel serving corporate treasury professionals, complementing our existing focus on institutional, wholesale and retail clients.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Tradeweb, ICD will provide a comprehensive solution for corporate treasurers and asset managers worldwide to manage short-term liquidity needs and FX risk, as well as optimize yield and duration via our existing suite of products. ICD clients will retain the ability to fully integrate their workflows with leading third-party treasury management and accounting systems and ICD’s portfolio analytics solution. In addition to opportunities to cross-sell our products to ICD’s clients, we will aim to accelerate ICD’s growth and expansion by leveraging our international presence and offering money market funds to our existing network of clients globally.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20, 2024, we announced organizational changes to optimize operations for continued growth. As part of those organizational changes, Amy Clack will join the Company in August 2024 as Chief Administrative Officer and a member of the Executive Committee, overseeing operations, business integration, risk and corporate services. In addition, Thomas Pluta, President of the Company, will leave the Company and the Board of Directors, effective September 30, 2024.</w:t>
      </w:r>
    </w:p>
    <w:p>
      <w:pPr>
        <w:spacing w:after="0" w:line="139"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we incurred $2.9 million in incremental compensation expense related to a cash severance payment to be paid to Mr. Pluta in accordance with the Company’s Executive Severance Policy with respect to Mr. Pluta’s departure in September 2024. As of June 17, 2024, there was also approximately $4.4 million in total unamortized stock-based compensation associated with equity awards previously granted to Mr. Pluta that will be accelerated and amortized into expense over a revised estimated service period ending on September 30, 2024. Of this amount,</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$1.7 million represents regularly scheduled amortization that would have been recognized from June 17, 2024 through September 30, 2024 if Mr. Pluta’s employment was not terminated and $2.7 million represents accelerated stock-based compensation expense that will be excluded from our non-GAAP measures of Adjusted EBITDA and Adjusted Net Income when it is recorded as expense. See “—Non-GAAP Financial Measures” below for further details. During the three months ended June 30, 2024, we incurred a total of $0.3 million in accelerated stock-based compensation expense relating to Mr. Pluta’s departure, with the remaining $2.4 million to be recorded during the three months ending September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20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2024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and six months ended June 30, 2024. The Company is subject to the 15% CAMT, however, it is not expected to have a material impact on the Company’s effective tax rate. The adoption of the IRA will also not have an impact to our non-GAAP adjusted effective tax rate used for purposes of calculating our non-GAAP measure of Adjusted Net Income.</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4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Asia, Australia and the Middle East. We expect occupancy expense to increase as our space needs grow inline with our global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 There was no tax receivable agreement liability adjustment during each of the three and six months ended June 30, 2024 and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June 30, 2024, we owned 90.2% of TWM LLC and Continuing LLC Owners owned the remaining 9.8% of TWM LLC.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2024 and Three Months Ended June 30,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56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1560" w:type="dxa"/>
            <w:vAlign w:val="bottom"/>
            <w:tcBorders>
              <w:bottom w:val="single" w:sz="8" w:color="CCEEFF"/>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46,159</w:t>
            </w:r>
          </w:p>
        </w:tc>
        <w:tc>
          <w:tcPr>
            <w:tcW w:w="156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56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1480" w:type="dxa"/>
            <w:vAlign w:val="bottom"/>
          </w:tcPr>
          <w:p>
            <w:pPr>
              <w:jc w:val="center"/>
              <w:ind w:left="819"/>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560" w:type="dxa"/>
            <w:vAlign w:val="bottom"/>
            <w:tcBorders>
              <w:top w:val="single" w:sz="8" w:color="CCEEFF"/>
            </w:tcBorders>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560" w:type="dxa"/>
            <w:vAlign w:val="bottom"/>
            <w:tcBorders>
              <w:bottom w:val="single" w:sz="8" w:color="CCEEFF"/>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34,477</w:t>
            </w:r>
          </w:p>
        </w:tc>
        <w:tc>
          <w:tcPr>
            <w:tcW w:w="156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560" w:type="dxa"/>
            <w:vAlign w:val="bottom"/>
            <w:tcBorders>
              <w:bottom w:val="single" w:sz="8" w:color="CCEEFF"/>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1560" w:type="dxa"/>
            <w:vAlign w:val="bottom"/>
            <w:tcBorders>
              <w:bottom w:val="single" w:sz="8" w:color="CCEEFF"/>
            </w:tcBorders>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June 30,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420" w:type="dxa"/>
            <w:vAlign w:val="bottom"/>
          </w:tcPr>
          <w:p>
            <w:pPr>
              <w:spacing w:after="0"/>
              <w:rPr>
                <w:sz w:val="13"/>
                <w:szCs w:val="13"/>
                <w:color w:val="auto"/>
              </w:rPr>
            </w:pPr>
          </w:p>
        </w:tc>
        <w:tc>
          <w:tcPr>
            <w:tcW w:w="8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71,327</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400" w:hanging="332"/>
        <w:spacing w:after="0" w:line="26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June 30, 2024 and 2023 include $20.6 million and $15.5 million respectively, of LSEG market data fees (formerly referred to as Refinitiv market data fees).</w:t>
      </w:r>
    </w:p>
    <w:p>
      <w:pPr>
        <w:ind w:left="340" w:right="300" w:hanging="332"/>
        <w:spacing w:after="0" w:line="268"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9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Our diversified offering across products, client sectors and geographies supported sustained growth amidst a continuingly complex macroeconomic backdrop. This environment included ongoing geopolitical uncertainty, increased market volatility and fluctuating interest rates. Despite these challenges, we saw strong volumes and continued market share gains across our global asset classes. The primary driver of the $94.3 million increase in revenue was related to an $84.0 million increase in transaction fees and commissions to $330.5 million for the three months ended June 30, 2024 from $246.5 million for the three months ended June 30, 2023, primarily due to higher revenues for rate derivatives products, U.S. and European corporate bonds and U.S., European and other government bonds.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June 30, 2024 and 2023,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217,531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June 30,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June 30, 2024 and 2023, and the resulting percentage changes,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ADV</w:t>
            </w:r>
          </w:p>
        </w:tc>
        <w:tc>
          <w:tcPr>
            <w:tcW w:w="280" w:type="dxa"/>
            <w:vAlign w:val="bottom"/>
          </w:tcPr>
          <w:p>
            <w:pPr>
              <w:spacing w:after="0"/>
              <w:rPr>
                <w:sz w:val="16"/>
                <w:szCs w:val="16"/>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78,673,598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48,261,459</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61.4 %</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29,121,086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21,627,623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49,552,512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26,633,837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29,396,323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16,961,570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20,156,189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9,672,267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1,857,527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1,183,071</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56.5 %</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1,339,066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1,196,755</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39,173,818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30,339,263</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28.4 %</w:t>
            </w: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121,044,010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80,980,548</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40.4 %</w:t>
            </w:r>
          </w:p>
        </w:tc>
        <w:tc>
          <w:tcPr>
            <w:tcW w:w="0" w:type="dxa"/>
            <w:vAlign w:val="bottom"/>
          </w:tcPr>
          <w:p>
            <w:pPr>
              <w:spacing w:after="0" w:line="20" w:lineRule="exact"/>
              <w:rPr>
                <w:sz w:val="1"/>
                <w:szCs w:val="1"/>
                <w:color w:val="auto"/>
              </w:rPr>
            </w:pPr>
          </w:p>
        </w:tc>
      </w:tr>
      <w:tr>
        <w:trPr>
          <w:trHeight w:val="272"/>
        </w:trPr>
        <w:tc>
          <w:tcPr>
            <w:tcW w:w="406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1,602,061</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100,887,821</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1,140,855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71,308,281</w:t>
            </w:r>
          </w:p>
        </w:tc>
        <w:tc>
          <w:tcPr>
            <w:tcW w:w="15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7" w:lineRule="exact"/>
        <w:rPr>
          <w:rFonts w:ascii="Times New Roman" w:cs="Times New Roman" w:eastAsia="Times New Roman" w:hAnsi="Times New Roman"/>
          <w:sz w:val="14"/>
          <w:szCs w:val="14"/>
          <w:color w:val="auto"/>
        </w:rPr>
      </w:pPr>
    </w:p>
    <w:p>
      <w:pPr>
        <w:ind w:left="340" w:right="220" w:hanging="332"/>
        <w:spacing w:after="0" w:line="259"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ind w:left="340" w:right="40" w:hanging="332"/>
        <w:spacing w:after="0" w:line="283"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Yieldbroker on August 31, 2023 and acquired r8fin on January 19, 2024. Total volume reported includes volumes from each acquired business subsequent to the closing date of the applicable acquisition.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June 30, 2024 and 2023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30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1"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$57.2 million or 35.7% to $217.5 million for the three months ended June 30, 2024 compared to $160.4 million for the three months ended June 30, 2023 primarily due to higher variable transaction fees and commissions on higher trading volumes for rates derivatives products and U.S., European and other government bonds.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decrease in average variable fees per million for rates derivatives driven primarily by an increase in compression activity and shifts in the mix and duration of derivative products traded as compared to the prior period. This decrease was partially offset by an increase in average variable fees per million for rates cash products primarily due to an increase in European and Australian government bonds fees per million, which each have a higher variable fee capture compared to overall rates.</w:t>
      </w:r>
    </w:p>
    <w:p>
      <w:pPr>
        <w:spacing w:after="0" w:line="153"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u w:val="single" w:color="auto"/>
          <w:color w:val="auto"/>
        </w:rPr>
        <w:t>Credit</w:t>
      </w:r>
      <w:r>
        <w:rPr>
          <w:rFonts w:ascii="Times New Roman" w:cs="Times New Roman" w:eastAsia="Times New Roman" w:hAnsi="Times New Roman"/>
          <w:sz w:val="17"/>
          <w:szCs w:val="17"/>
          <w:color w:val="auto"/>
        </w:rPr>
        <w:t>. Revenues from our credit asset class increased by $27.3 million or 32.5% to $111.3 million for the three months ended June 30, 2024 compared to $84.0 million for the three months ended June 30, 2023 primarily due to higher variable transaction fees and commissions on higher trading volumes for U.S. and European corporate bonds and an increase in fixed subscription fees. The fixed subscription fee increase was primarily driven by the addition of dealers joining the subscription pricing plan, subscription price increases and the implementation of fee minimums to certain subscription plans.</w:t>
      </w:r>
    </w:p>
    <w:p>
      <w:pPr>
        <w:spacing w:after="0" w:line="12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a shift in the mix and methods of products traded from cash credit products and electronically processed U.S. corporate bonds to derivatives products, which have a lower variable fee capture compared to overall credit.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remained relatively flat at $22.9 million for the three months ended June 30, 2024, an increase of $0.7 million or 3.3% from $22.1 million for the three months ended June 30, 2023.</w:t>
      </w:r>
    </w:p>
    <w:p>
      <w:pPr>
        <w:spacing w:after="0" w:line="13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decreased primarily due to a shift in the mix of products traded, including higher volumes in equity derivatives, which have a lower variable fee capture compared to overall equities.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$2.2 million or 14.0% to $18.0 million for the three months ended June 30, 2024 compared to $15.8 million for the three months ended June 30, 2023 primarily due to higher variable transaction fees and commissions for repurchase agreements.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decreased primarily due to a shift in the mix of trading away from U.S. certificates of deposit, which have a higher variable fee capture compared to overall money markets.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$6.5 million or 28.3% to $29.2 million for the three months ended June 30, 2024 compared to $22.8 million for the three months ended June 30, 2023. The increase was derived primarily from increased LSEG market data fees from our market data agreement that was amended effective November 1, 2023 and proprietary third party market data revenue.</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was relatively flat with an increase of $0.5 million or 9.1% to $6.0 million for the three months ended June 30, 2024 compared to $5.5 million for the three months ended June 30, 2023.</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June 30,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$61.8 million or 33.6% to $245.6 million for the three months ended June 30, 2024 from $183.8 million for the three months ended June 30, 2023. The increase was derived primarily from higher revenues for rates derivatives products, U.S. corporate bonds and U.S., European and other government bonds.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$20.9 million or 28.6% to $94.3 million for the three months ended June 30, 2024 from $73.3 million for the three months ended June 30, 2023. The increase was derived primarily from higher revenues for U.S. government bonds, including positive contributions from the r8fin acquisition, as well as higher revenues for U.S. and European corporate bonds and mortgages.</w:t>
      </w:r>
    </w:p>
    <w:p>
      <w:pPr>
        <w:spacing w:after="0" w:line="13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u w:val="single" w:color="auto"/>
          <w:color w:val="auto"/>
        </w:rPr>
        <w:t>Retail</w:t>
      </w:r>
      <w:r>
        <w:rPr>
          <w:rFonts w:ascii="Times New Roman" w:cs="Times New Roman" w:eastAsia="Times New Roman" w:hAnsi="Times New Roman"/>
          <w:sz w:val="17"/>
          <w:szCs w:val="17"/>
          <w:color w:val="auto"/>
        </w:rPr>
        <w:t>. Revenues from our retail client sector increased by $5.2 million or 16.9% to $35.9 million for the three months ended June 30, 2024 from $30.7 million for the three months ended June 30, 2023. The increase was derived primarily from higher revenues for municipals and U.S. corporate bonds.</w:t>
      </w:r>
    </w:p>
    <w:p>
      <w:pPr>
        <w:spacing w:after="0" w:line="11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$6.5 million or 28.3% to $29.2 million for the three months ended June 30, 2024 from $22.8 million for the three months ended June 30, 2023. The increase was derived primarily from increased LSEG market data fees from our market data agreement that was amended effective November 1, 2023 and proprietary third party market data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 June 30,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$51.2 million or 25.5% to $252.1 million for the three months ended June 30, 2024 from $200.9 million for the three months ended June 30, 2023 primarily due to higher revenues for U.S. corporate bonds, U.S. government bonds, rates derivatives products and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$43.1 million or 39.3% to $152.8 million for the three months ended June 30, 2024 from</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$109.7 million for the three months ended June 30, 2023 primarily due to higher revenues for rates derivatives products, European corporate bonds, market data and European and other government bonds.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June 30,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$33.3 million or 32.1% to $137.2 million for the three months ended June 30, 2024 from $103.9 million for the three months ended June 30, 2023. The increase was primarily due to an increase in incentive compensation expense tied to our financial performance, as well as an increase in headcount and related salaries and benefits to support our continued growth. As discussed above, the three months ended June 30, 2024 also included $2.9 million in incremental cash compensation expense and $0.3 million in accelerated stock-based compensation expense associated with our departing President. See “—Trends and Other Factors Impacting Our Performance—Organizational Changes,” above for further details.</w:t>
      </w:r>
    </w:p>
    <w:p>
      <w:pPr>
        <w:spacing w:after="0" w:line="1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$4.0 million or 8.8% to $49.9 million for the three months ended June 30, 2024 from $45.9 million for the three months ended June 30, 2023. The increase was primarily due to increases in amortization of assets acquired in connection with the r8fin and Yieldbroker acquisitions on January 19, 2024 and August 31, 2023, respectively, and an increase in amortization of software development costs driven by increases in investment in our infrastructure.</w:t>
      </w:r>
    </w:p>
    <w:p>
      <w:pPr>
        <w:spacing w:after="0" w:line="15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$5.5 million or 29.6% to $24.2 million for the three months ended June 30, 2024 from $18.7 million for the three months ended June 30, 2023. The increase was primarily due to increased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$1.7 million or 15.2% to $12.8 million for the three months ended June 30, 2024 from $11.1 million for the three months ended June 30, 2023. The increase was primarily due to an increase in travel and entertainment costs, partially offset by the result of a $1.0 million increase in foreign exchange gains during the three months ended June 30, 2024. Realized and unrealized foreign currency gains totaled $1.8 million during the three months ended June 30, 2024 as compared to $0.8 million in gains during three months ended June 30, 2023.</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$2.7 million or 24.9% to $13.3 million for the three months ended June 30, 2024 from $10.7 million for the three months ended June 30, 2023. The increase was primarily due to an increase in professional fees related to acquisitions compared to the prior period.</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$0.9 million or 23.5% to $5.0 million for the three months ended June 30, 2024 from $4.0 million for the three months ended June 30, 2023.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Interest income increased by $5.9 million to $21.5 million for the three months ended June 30, 2024 from $15.6 million for the three months ended June 30, 2023 primarily due to an increase in interest income earned as a result of an increase in our average invested cash balance and an increase in interest rates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remained relatively flat at $0.5 million for the three months ended June 30, 2024 and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was no other income (loss), net for the three months ended June 30, 2024 compared to a $0.5 million net other loss for the three months ended June 30, 2023, including a $1.1 million loss due to a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 This loss was partially offset by a $0.6 million gain recognized during the three months ended June 30, 2023 from the increase in fair value of the foreign currency call option on Australian dollars entered into, in order to partially mitigate the Company’s U.S. dollar versus Australian dollar foreign exchange exposure on the then anticipated payment of the Australian dollar denominated purchase price for the Yieldbroker acquisition completed in August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expense increased by $18.0 million to $47.0 million for the three months ended June 30, 2024 from $29.0 million for the three months ended June 30, 2023. The provision for income taxes includes U.S. federal, state, local and foreign taxes. The effective tax rate for the three months ended June 30, 2024 was approximately 25.6%, compared with 22.2% for the three months ended June 30, 2023. The effective tax rate for the three months ended June 30, 2024 differed from the U.S. federal statutory rate of 21.0% primarily due to state, local and foreign taxes and the disallowance of compensation expense tax deductions, partially offset by the effect of non-controlling interests. The effective tax rate for the three months ended June 30, 2023 differed from the U.S. federal statutory rate of 21.0% primarily due to the disallowance of compensation expense tax deductions and state, local and foreign taxes, partially offset by the effect of non-controlling interests.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2024 and Six Months Ended June 30,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six months ended June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370,483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104,097</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six months ended June 30,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580" w:type="dxa"/>
            <w:vAlign w:val="bottom"/>
          </w:tcPr>
          <w:p>
            <w:pPr>
              <w:spacing w:after="0"/>
              <w:rPr>
                <w:sz w:val="14"/>
                <w:szCs w:val="14"/>
                <w:color w:val="auto"/>
              </w:rPr>
            </w:pPr>
          </w:p>
        </w:tc>
        <w:tc>
          <w:tcPr>
            <w:tcW w:w="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40" w:type="dxa"/>
            <w:vAlign w:val="bottom"/>
          </w:tcPr>
          <w:p>
            <w:pPr>
              <w:spacing w:after="0"/>
              <w:rPr>
                <w:sz w:val="14"/>
                <w:szCs w:val="14"/>
                <w:color w:val="auto"/>
              </w:rPr>
            </w:pPr>
          </w:p>
        </w:tc>
        <w:tc>
          <w:tcPr>
            <w:tcW w:w="10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4"/>
                <w:szCs w:val="14"/>
                <w:color w:val="auto"/>
              </w:rPr>
            </w:pPr>
          </w:p>
        </w:tc>
        <w:tc>
          <w:tcPr>
            <w:tcW w:w="1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665,926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8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121,177</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80" w:hanging="332"/>
        <w:spacing w:after="0" w:line="27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six months ended June 30, 2024 and 2023 include $41.1 million and $31.1 million respectively, of LSEG market data fees (formerly referred to as Refinitiv market data fees).</w:t>
      </w:r>
    </w:p>
    <w:p>
      <w:pPr>
        <w:ind w:left="340" w:right="300" w:hanging="332"/>
        <w:spacing w:after="0" w:line="26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primary driver of the $173.8 million increase in revenue related to a $152.9 million increase in transaction fees and commissions to $665.9 million for the six months ended June 30, 2024 from $513.1 million for the six months ended June 30, 2023, primarily due to higher revenues for rates derivative products, U.S. and European corporate bonds and U.S., European and other government bonds.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six months ended June 30, 2024 and 2023,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431,624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six months ended June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$100.8 million or 30.5% to $431.6 million for the six months ended June 30, 2024 compared to $330.9 million for the six months ended June 30, 2023 primarily due to higher variable transaction fees and commissions on higher trading volumes for rates derivatives products and U.S., European and other government bonds, as well as an increase in fixed subscription fees.</w:t>
      </w:r>
    </w:p>
    <w:p>
      <w:pPr>
        <w:spacing w:after="0" w:line="14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$54.1 million or 31.3% to $227.2 million for the six months ended June 30, 2024 compared to $173.1 million for the six months ended June 30, 2023 primarily due to higher variable transaction fees and commissions on higher trading volumes for U.S. and European corporate bonds and municipals, as well as an increase in fixed subscription fees.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$1.6 million or 3.3% to $49.9 million for the six months ended June 30, 2024 compared to $48.3 million for the six months ended June 30, 2023 primarily due to higher variable transaction fees for European ETFs and equity derivatives products.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$4.2 million or 13.7% to $34.8 million for the six months ended June 30, 2024 compared to $30.6 million for the six months ended June 30, 2023 primarily due to higher variable transaction fees and commissions for repurchase agreements.</w:t>
      </w:r>
    </w:p>
    <w:p>
      <w:pPr>
        <w:spacing w:after="0" w:line="1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$13.0 million or 28.8% to $58.2 million for the six months ended June 30, 2024 compared to $45.2 million for the six months ended June 30, 2023. The increase was derived primarily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increased LSEG market data fees from our market data agreement that was amended effective November 1, 2023 and proprietary third party market data revenue.</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was relatively flat with a increase of $0.2 million or 1.4%, to $11.9 million for the six months ended June 30, 2024 compared to $11.7 million for the six months ended June 30, 2023.</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six months ended June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492,918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$110.2 million or 28.8% to $492.9 million for the six months ended June 30, 2024 from $382.7 million for the six months ended June 30, 2023. The increase was derived primarily from higher revenues for rates derivatives products, U.S. corporate bonds and U.S., European and other government bonds.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$42.1 million or 28.1% to $191.5 million for the six months ended June 30, 2024 from $149.4 million for the six months ended June 30, 2023. The increase was derived primarily from higher revenues for U.S. government bonds, including positive contributions from the r8fin acquisition, as well as higher revenues for U.S. and European corporate bonds, rates derivatives products and mortgages.</w:t>
      </w:r>
    </w:p>
    <w:p>
      <w:pPr>
        <w:spacing w:after="0" w:line="13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$8.5 million or 13.6% to $71.0 million for the six months ended June 30, 2024 from $62.5 million for the six months ended June 30, 2023. The increase was derived primarily from higher revenues for U.S. corporate bonds and municipals.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$13.0 million or 28.8% to $58.2 million for the six months ended June 30, 2024 from $45.2 million for the six months ended June 30, 2023. The increase was derived primarily from increased LSEG market data fees from our market data agreement that was amended effective November 1, 2023 and proprietary third party market data revenue.</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six months ended June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$96.6 million or 23.6% to $506.2 million for the six months ended June 30, 2024 from $409.6 million for the six months ended June 30, 2023 primarily due to higher revenues for U.S. corporate bonds, U.S. government bonds, rate derivative products and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$77.2 million or 33.5% to $307.4 million for the six months ended June 30, 2024 from</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$230.2 million for the six months ended June 30, 2023 primarily due to higher revenues for rates derivatives products, European corporate bonds, European and other government bonds and market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six months ended June 30,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$61.9 million or 28.3% to $280.3 million for the six months ended June 30, 2024 from $218.4 million for the six months ended June 30, 2023. The increase was primarily due to an increase in incentive compensation expense tied to our financial performance, as well as an increase in headcount and related salaries and benefits to support our continued growth.</w:t>
      </w:r>
    </w:p>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$8.0 million or 8.7% to $99.3 million for the six months ended June 30, 2024 from $91.3 million for the six months ended June 30, 2023. The increase was primarily due to increases in amortization of assets acquired in connection with the r8fin and Yieldbroker acquisitions on January 19, 2024 and August 31, 2023, respectively, and an increase in amortization of software development costs driven by increases in investment in our infrastructure.</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$9.3 million or 25.6% to $45.5 million for the six months ended June 30, 2024 from $36.3 million for the six months ended June 30, 2023. The increase was primarily due to investment in our data strategy and infrastructure and increased clearance and data fees driven primarily by higher trading volumes period-over-period.</w:t>
      </w:r>
    </w:p>
    <w:p>
      <w:pPr>
        <w:spacing w:after="0" w:line="13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$1.4 million or 5.5% to $23.6 million for the six months ended June 30, 2024 from $25.0 million for the six months ended June 30, 2023. The decrease was primarily due to a $5.7 million increase in foreign exchange gains, partially offset by an increase in travel and entertainment and marketing costs during the six months ended June 30, 2024. Realized and unrealized foreign currency gains totaled $5.0 million during the six months ended June 30, 2024 as compared to $0.7 million in losses during the six months ended June 30, 2023. The change was primarily driven by changes in fair value of our foreign currency forward contracts used in connection with our foreign currency risk management program.</w:t>
      </w:r>
    </w:p>
    <w:p>
      <w:pPr>
        <w:spacing w:after="0" w:line="14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$3.3 million or 15.0% to $25.1 million for the six months ended June 30, 2024 from $21.8 million for the six months ended June 30, 2023. The increase was primarily due to increased acquisition costs, partially offset by a decrease in legal costs driven by costs incurred during the first half of 2023 in connection with regulatory compliance matters, including periodic information requests, that did not reoccur at the same rate during 2024.</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$1.5 million or 18.4% to $9.6 million for the six months ended June 30, 2024 as compared to $8.2 million for the six months ended June 30, 2023.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Interest income increased by $14.1 million to $42.6 million for the six months ended June 30, 2024 from $28.5 million for the six months ended June 30, 2023 primarily due to an increase in interest income earned as a result of an increase in our average invested cash balance and an increase in interest rates period over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increased by $1.3 million to $2.3 million for the six months ended June 30, 2024 from $0.9 million for the six months ended June 30, 2023 primarily due to interest expense incurred on payments due under the Tax Receivable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was no other income (loss), net for the six months ended June 30, 2024. During the six months ended June 30, 2023, we recognized a net other loss of $0.1 million, including a $0.7 million loss due to a net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 This loss was partially offset by a $0.6 million gain recognized during three months ended June 30, 2023 from the increase in fair value of the foreign currency call option on Australian dollars entered into, in order to partially mitigate the Company’s U.S. dollar versus Australian dollar foreign exchange exposure on the then anticipated payment of the Australian dollar denominated purchase price for the Yieldbroker acquisition completed in August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expense increased by $28.4 million to $90.7 million for the six months ended June 30, 2024 from $62.3 million for the six months ended June 30, 2023. The provision for income taxes includes U.S. federal, state, local, and foreign taxes. The effective tax rate for the six months ended June 30, 2024 was approximately 24.5%, compared with 23.4% for the six months ended June 30, 2023. The effective tax rate for the six months ended June 30, 2024 differed from the U.S. federal statutory rate of 21.0% primarily due to state, local and foreign taxes and the disallowance of compensation expense tax deductions, partially offset by the effect of non-controlling interests. The effective tax rate for the six months ended June 30, 2023 differed from the U.S. federal statutory rate of 21.0% primarily due to the disallowance of compensation expense tax deductions and state, local and foreign taxes, partially offset by the effect of non-controlling interests.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and six months ended June 30, 2024 and 2023.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 and, at closing, to fund the pending acquisition of ICD with cash.</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including the pending acquisition of ICD,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we had cash and cash equivalents of approximately $1.7 billion and $1.7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Risks — Credit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$0.10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jc w:val="both"/>
        <w:ind w:right="480"/>
        <w:spacing w:after="0" w:line="312" w:lineRule="auto"/>
        <w:rPr>
          <w:sz w:val="20"/>
          <w:szCs w:val="20"/>
          <w:color w:val="auto"/>
        </w:rPr>
      </w:pPr>
      <w:r>
        <w:rPr>
          <w:rFonts w:ascii="Times New Roman" w:cs="Times New Roman" w:eastAsia="Times New Roman" w:hAnsi="Times New Roman"/>
          <w:sz w:val="17"/>
          <w:szCs w:val="17"/>
          <w:color w:val="auto"/>
        </w:rPr>
        <w:t>On July 25, 2024, the board of directors of Tradeweb Markets Inc. declared a cash dividend of $0.10 per share of Class A common stock and Class B common stock for the third quarter of 2024. This dividend will be payable on September 16, 2024 to stockholders of record as of September 3, 2024.</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March and June 2024, Tradeweb Markets Inc. paid quarterly cash dividends to holders of Class A common stock and Class B common stock in an aggregate amount totaling $42.6 million during the six months ended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July 25, 2024, Tradeweb Markets Inc., as the sole manager, approved a distribution by TWM LLC to its equityholders, including Tradeweb Markets Inc., in an aggregate amount of $89.8 million, as adjusted by required state and local tax withholdings that will be determined prior to the record date of September 3, 2024, payable on September 12,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and June 2024, TWM LLC made quarterly cash distributions to its equityholders in an aggregate amount of $164.1 million during the six months ended June 30, 2024, including distributions to Tradeweb Markets Inc. of $148.0 million and distributions to non-controlling interests of $16.1 million. The proceeds of the cash distributions were used by Tradeweb Markets Inc. to fund dividend payments, taxes and expenses.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six months ended June 30, 2024, the Company did not repurchase any shares pursuant to the 2022 Share Repurchase Program. As of June 30, 2024, a total of $239.8 million remained available for repurchase pursuant to the 2022 Share Repurchase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withheld 455,326 shares of common stock from employee stock option, PRSU and RSU awards, at an average price per share of $97.24 and an aggregate value of $44.3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June 30, 2024, total amounts due to Continuing LLC Owners under the Tax Receivable Agreement were $380.9 million, substantially all due to be paid over 15 years following the purchase of LLC Interests from Continuing LLC Owners or redemption or exchanges by Continuing LLC Owners of LLC Interests. As of June 30, 2024, we expect to make tax receivable agreement liability payments of approximately $7.5 million within the next 12 months and approximately $373.5 million thereafter.</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we had no outstanding indebtedness.</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(the “2019 Revolving Credit Facility”). Subject to the satisfaction of certain conditions, we will be able to increase the 2023 Revolving Credit Facility by $250.0 million with the consent of lenders participating in the increase. The 2023 Revolving Credit Facility provides borrowing capacity to be used to fund ongoing working capital needs, letters of credit and for general corporate purposes, including potential future acquisitions and expansions. As of June 30, 2024, there were $0.5 million in letters of credit issued under the 2023 Revolving Credit Facility and no borrowings outstanding. The 2023 Revolving Credit Facility will mature on November 21, 2028.</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June 30, 2024, we were in compliance with all the covenants set forth in the 2023 Revolving Credit Facility.</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new lease for our New York headquarters that is expected to commence in mid-2025 and has an expected initial lease term of approximately 16 years.</w:t>
      </w:r>
    </w:p>
    <w:p>
      <w:pPr>
        <w:spacing w:after="0" w:line="15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June 30, 2024, our operating lease liabilities totaled $28.1 million, with payments pursuant to these obligations due within the next 12 months and thereafter totaling $11.3 million and $19.4 million, respectively. In addition, we are obligated on long-term future minimum lease payments totaling $159.2 million for a lease signed but not yet commenced as of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Acquisitions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2024 to be between $77 million and $85 million, compared to expenditures of $61.8 million in fiscal year 2023, with the midpoint of our 2024 capital expenditure guidance up 31% versus fiscal year 2023 primarily due to anticipated capitalized integration spend associated with the acquisitions of Yieldbroker, r8fin and ICD. Cash paid for capital expenditures and software development costs during the six months ended June 30, 2024 totaled $33.9 million, excluding cash paid at closing for acquisitions.</w:t>
      </w:r>
    </w:p>
    <w:p>
      <w:pPr>
        <w:spacing w:after="0" w:line="1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on April 5, 2024, we entered into a definitive agreement for TWM LLC to acquire ICD for $785 million in cash, subject to customary working capital and other adjustments. The acquisition is expected to close in the third quarter of 2024, subject to the satisfaction of customary closing conditions and regulatory reviews and the purchase price is expected to be funded with cash and cash equivalents on hand.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Conduct Authority in the UK, the Nederlandsche Bank in the Netherlands, the Japanese Financial Services Agency, the Japanese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Association and other foreign regulators, and must maintain financial resources, as defined in the applicable regulations, in excess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requirement. As of June 30, 2024 and December 31, 2023, each of our regulated subsidiaries had maintained sufficient net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to at least satisfy their minimum requirements, which in aggregate were $78.2 million and $76.7 million, respectively. We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balances in these subsidiaries in excess of our minimum requirements in order to satisfy working capital needs and to ensure that we have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to satisfy margin requirements and credit risk, including the excess capital expectations of our clients. The Fixed Income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(“FICC”) and some of our clearing brokers require us to post collateral on unsettled positions, included within deposits with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in our condensed consolidated statements of financial condition. Collateral amounts are marked to market on a daily basis, requiring us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receive margin amounts as part of the daily funds settlement. Margin call requirements can vary significantly across periods based on daily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and may represent a significant and unpredictable use of our liquidity.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Historically we have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June 30, 2024, we recorded a $432.0 million receivable and a $424.8 million payable from/to brokers and dealers and clearing organizations related to failed settlement transactions and we self-funded the remaining $7.3 million difference between the fail to deliver and fail to receive. All of the above failed settlement transactions outstanding as of June 30, 2024 were fully settled during July 2024. See below for further details regarding the changes to working capital as a result of these failed settlement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June 30, 2024 and December 31,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2,450,025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666,368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1,783,657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1,634,144</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Current assets increased to $2.5 billion as of June 30, 2024 from $2.3 billion as of December 31, 2023 primarily due to an increase in accounts receivable resulting from an increase in revenues and timing of collections, an increase in receivables from brokers and dealers and clearing organizations resulting from a higher value of fails to deliver, all of which settled in July 2024, and an increase in deposits with clearing organizations. The increase in brokers and dealers and clearing organizations and deposits with clearing organizations were both primarily the result of increased unsettled wholesale platforms transactions due to the timing of the settlement of Treasury auctions.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a discussion of the remaining decline in cash and cash equivalents.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Current liabilities increased to $666.4 million as of June 30, 2024 from $659.9 million as of December 31, 2023 primarily due to an increase in payable to brokers and dealers and clearing organizations resulting from a higher value of fails to receive, all of which settled in July 2024. The increase in fails was the result of increased unsettled wholesale platforms transactions, due to the timing of the settlement of Treasury auctions. This increase was partially offset by a decrease in accrued compensation as a result of annual bonus payments, which occurred during the six months ended June 30,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323,584</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283,939</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(113,296)</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139,172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$323.6 million, an increase of $39.6 million over the six months ended June 30, 2023, primarily driven by an increase in net income partially offset by an increase in cash paid for income taxes and cash used to fund deposits with clearing organizations and other net changes in working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$134.7 million for the six months ended June 30, 2024, which consisted of $89.2 million of total net cash paid for the r8fin Acquisition (net of cash acquired), $22.5 million of capitalized software development costs, $11.6 million of cash paid for investments and $11.4 million of purchases of furniture, equipment, purchased software and leasehold improvements. Net cash used in investing activities was $34.1 million for the six months ended June 30, 2023, which consisted of $20.5 million of capitalized software development costs, $11.2 million of purchases of furniture, equipment, purchased software and leasehold improvements and $2.4 million of cash paid for a foreign currency call option.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$174.9 million, and was primarily driven by $39.6 million in payroll tax payments for options, PRSUs and RSUs, net of proceeds from the related stock-based compensation option exercises, $76.6 million in payments due under our Tax Receivable Agreement and $42.6 million in cash dividends to our Class A and Class B common stockholders. Net cash used in financing activities for the six months ended June 30, 2023 was $113.3 million, and was primarily driven by $34.2 million in payroll tax payments for options, PRSUs and RSUs, net of proceeds from the related stock-based compensation option exercises, $30.1 million in share repurchases pursuant to the 2022 Share Repurchase Program and $37.8 million in cash dividends to our Class A and Class B common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six months ended June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283,939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(22,478)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(20,505)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(11,417)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289,689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252,268</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For applicable periods, we also exclude the incremental non-cash accelerated stock-based compensation expense and related payroll taxes associated with former and/or departing executive officers, as we do not consider these expenses indicative of our core ongoing operating performance. The accelerated stock-based compensation expense associated with our departing President will be amortized through September 30, 2024.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if any, associated with former and/or departing executive officers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and six months ended June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279,798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204,132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(42,571)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(28,516)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99,273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91,291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90,685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62,254</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335,258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(49,936)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(45,887)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(99,273)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(91,291)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31,629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63,246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201,312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148,797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405,870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307,213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0" w:hanging="332"/>
        <w:spacing w:after="0" w:line="256"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2024, this adjustment also includes $0.3 million of non-cash accelerated stock-based compensation expense and related payroll taxes associated with our departing President.</w:t>
      </w:r>
    </w:p>
    <w:p>
      <w:pPr>
        <w:spacing w:after="0" w:line="1" w:lineRule="exact"/>
        <w:rPr>
          <w:rFonts w:ascii="Times New Roman" w:cs="Times New Roman" w:eastAsia="Times New Roman" w:hAnsi="Times New Roman"/>
          <w:sz w:val="14"/>
          <w:szCs w:val="14"/>
          <w:color w:val="auto"/>
        </w:rPr>
      </w:pPr>
    </w:p>
    <w:p>
      <w:pPr>
        <w:ind w:left="340" w:right="60" w:hanging="332"/>
        <w:spacing w:after="0" w:line="259"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4"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60" w:hanging="332"/>
        <w:spacing w:after="0" w:line="270"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jc w:val="center"/>
              <w:ind w:right="240"/>
              <w:spacing w:after="0" w:line="41" w:lineRule="exact"/>
              <w:rPr>
                <w:sz w:val="20"/>
                <w:szCs w:val="20"/>
                <w:color w:val="auto"/>
              </w:rPr>
            </w:pPr>
            <w:r>
              <w:rPr>
                <w:rFonts w:ascii="Times New Roman" w:cs="Times New Roman" w:eastAsia="Times New Roman" w:hAnsi="Times New Roman"/>
                <w:sz w:val="4"/>
                <w:szCs w:val="4"/>
                <w:b w:val="1"/>
                <w:bCs w:val="1"/>
                <w:color w:val="auto"/>
              </w:rPr>
              <w:t>Change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jc w:val="center"/>
              <w:ind w:right="220"/>
              <w:spacing w:after="0" w:line="41" w:lineRule="exact"/>
              <w:rPr>
                <w:sz w:val="20"/>
                <w:szCs w:val="20"/>
                <w:color w:val="auto"/>
              </w:rPr>
            </w:pPr>
            <w:r>
              <w:rPr>
                <w:rFonts w:ascii="Times New Roman" w:cs="Times New Roman" w:eastAsia="Times New Roman" w:hAnsi="Times New Roman"/>
                <w:sz w:val="4"/>
                <w:szCs w:val="4"/>
                <w:b w:val="1"/>
                <w:bCs w:val="1"/>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83"/>
        </w:trPr>
        <w:tc>
          <w:tcPr>
            <w:tcW w:w="2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 bps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 bps</w:t>
            </w: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+126 bps</w:t>
            </w: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 bps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+187 bps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+193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six months ended June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446,181</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334,813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334,636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252,784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60" w:hanging="332"/>
        <w:spacing w:after="0" w:line="254"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2024, this adjustment also includes $0.3 million of non-cash accelerated stock-based compensation expense and related payroll taxes associated with our departing President.</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72"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320" w:hanging="332"/>
        <w:spacing w:after="0" w:line="27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applied to Adjusted Net Income before income taxes for the three and six months ended June 30, 2024 and 24.5% for the three and six months ended June 30, 2023.</w:t>
      </w:r>
    </w:p>
    <w:p>
      <w:pPr>
        <w:ind w:left="340" w:right="40" w:hanging="332"/>
        <w:spacing w:after="0" w:line="28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six months ended June 30,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214,895,947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213,156,753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214,778,342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211,659,814</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241,963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266,790</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23,077,698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23,153,250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23,077,836</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24,738,197</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238,098,657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236,551,966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237,998,662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236,664,801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252,784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20" w:hanging="332"/>
        <w:spacing w:after="0" w:line="266"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most significant accounting estimates associated with the r8fin Acquisition that closed in January 2024 was the valuation of the acquired definite-lived intangible customer relationship asset (the “Customer Relationships”), which was valued at approximately $56.5 million as of the date of the closing of the acquisition and the valuation of the developed technology, which was valued at approximately $28.0 million. The majority of the residual total purchase price of $41.4 million, net of cash acquired, was primarily allocated to goodwill, which was measured at approximately $42.2 million as of the date of the closing of the acquisition. We utilized the assistance of a third-party valuation specialist to determine the fair value of the assets acquired and liabilities assumed at the date of the closing of the acquisition. Management is responsible for these valuations and appraisals.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valuation of the Customer Relationships and the developed technology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developed technology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GAAP purposes, the Customer Relationships will be amortized over a useful life of 13 years and the developed technology acquired will be amortized over a useful life of seven years. Any changes in the discount rate used for valuing the acquired assets or the estimated useful life used for amortization purposes could have a material impact on our condensed consolidated statements of financial condition and condensed consolidated statement of income. Any increases or decreases in the allocation of purchase price to Customer Relationships or the developed technology acquired, which are both amortizable assets,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statements of income over the life of the asset. Any changes in the estimated useful life of the assets would also impact timing of the reduction of the net balance of intangible assets or software development costs, net of accumulated amortization on our condensed consolidated statements of financial condition and the timing of the recognition of amortization expense on our condensed consolidated statements of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each of the three and six months ended June 30, 2024 and 2023, there were no material changes in the methodology or assumptions used to determine LSEG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2024, we granted 86,592 PSUs with a grant date fair value totaling $12.9 million, which will be amortized into expense on a straight-line basis through December 31, 2026. The significant assumptions used in determining the grant date fair value of the award were a maturity of 2.8 years, annualized volatility of 26.63% and a risk-free interest rate of 4.44%. A change in any of the assumptions used to value these awards could materially affect stock-based compensation expense recorded in the current and future periods. During each of the three and six months ended June 30, 2024 and 2023, there were no material changes in the methodology or assumptions used to determine the valuation of our annual PSU grants.</w:t>
      </w:r>
    </w:p>
    <w:p>
      <w:pPr>
        <w:spacing w:after="0" w:line="2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the financial performance of the Company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On March 15, 2024, we granted 201,546 PRSUs at a weighted-average grant-date fair value of $104.66. For these awards,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June 30, 2024, a 10% decrease in the expected final share payouts would decrease the expense for the three and six months ended June 30, 2024 by $0.6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June 30, 2024 and December 31, 2023,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a Continuing LLC Owner, including with the net proceeds from the IPO, the October 2019 and April 2020 follow-on offerings and any future offering or (b) redemptions or exchanges by a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Recent SEC Final Rules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 and recent SEC final rule activity.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six months ended June 30,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8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780" w:type="dxa"/>
            <w:vAlign w:val="bottom"/>
            <w:gridSpan w:val="3"/>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29%</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29%</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15%</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16%</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losses from foreign currency remeasurement of transactions in nonfunctional currencies recognized in the condensed consolidated statements of income within general and administrative expense totaled $0.8 million and $1.4 million during the three months ended June 30, 2024 and 2023, respectively, and realized and unrealized losses totaled $2.0 million and $1.8 million during the six months ended June 30, 2024 and 2023, respectively.</w:t>
      </w:r>
    </w:p>
    <w:p>
      <w:pPr>
        <w:spacing w:after="0" w:line="1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six months ended June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3"/>
                <w:szCs w:val="23"/>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six months ended June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886"/>
        </w:trPr>
        <w:tc>
          <w:tcPr>
            <w:tcW w:w="55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79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six months ended June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anticipated payment of the Australian dollar denominated purchase price for the expected Yieldbroker acquisition. The out-of-the-money foreign currency call option was unwound in August 2023. We do not use derivative instruments for trading or speculative purposes.</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notional amount of our foreign currency forward contracts was $229.1 million and $192.9 million, respectively. Realized and unrealized gains on foreign currency forward contracts totaled $2.6 million and $2.2 million during the three months ended June 30, 2024 and 2023, respectively, and realized and unrealized gains on foreign currency forward contracts totaled $6.9 million and $1.0 million during the six months ended June 30, 2024 and 2023, respectively. As of June 30, 2023, the notional amount of our foreign currency call option on Australian dollars was $79.9 million and unrealized gains totaled $0.6 million during both the three and six months ended June 30, 2023.</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June 30, 2024 and December 31, 2023, the counterparty on each of the foreign exchange derivative contracts was an affiliate of LSEG.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June 30, 2024 and December 31, 2023, the allowance for credit losses with regard to these receivables totaled $0.2 million and $0.3 million, respectively.</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June 30, 2024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2024, we did not repurchase any securities pursuant to share repurchase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June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6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6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69"/>
        </w:trPr>
        <w:tc>
          <w:tcPr>
            <w:tcW w:w="25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Douglas Friedman Adoption</w:t>
            </w:r>
          </w:p>
        </w:tc>
        <w:tc>
          <w:tcPr>
            <w:tcW w:w="1420" w:type="dxa"/>
            <w:vAlign w:val="bottom"/>
          </w:tcPr>
          <w:p>
            <w:pPr>
              <w:ind w:left="260"/>
              <w:spacing w:after="0" w:line="169" w:lineRule="exact"/>
              <w:rPr>
                <w:sz w:val="20"/>
                <w:szCs w:val="20"/>
                <w:color w:val="auto"/>
              </w:rPr>
            </w:pPr>
            <w:r>
              <w:rPr>
                <w:rFonts w:ascii="Times New Roman" w:cs="Times New Roman" w:eastAsia="Times New Roman" w:hAnsi="Times New Roman"/>
                <w:sz w:val="18"/>
                <w:szCs w:val="18"/>
                <w:color w:val="auto"/>
              </w:rPr>
              <w:t>May 9, 2024</w:t>
            </w:r>
          </w:p>
        </w:tc>
        <w:tc>
          <w:tcPr>
            <w:tcW w:w="5680" w:type="dxa"/>
            <w:vAlign w:val="bottom"/>
          </w:tcPr>
          <w:p>
            <w:pPr>
              <w:ind w:left="260"/>
              <w:spacing w:after="0" w:line="169" w:lineRule="exact"/>
              <w:rPr>
                <w:sz w:val="20"/>
                <w:szCs w:val="20"/>
                <w:color w:val="auto"/>
              </w:rPr>
            </w:pPr>
            <w:r>
              <w:rPr>
                <w:rFonts w:ascii="Times New Roman" w:cs="Times New Roman" w:eastAsia="Times New Roman" w:hAnsi="Times New Roman"/>
                <w:sz w:val="18"/>
                <w:szCs w:val="18"/>
                <w:color w:val="auto"/>
              </w:rPr>
              <w:t>Sale of an amount equal to up to: (A) (i) 6,749 shares of Class A common</w:t>
            </w:r>
          </w:p>
        </w:tc>
        <w:tc>
          <w:tcPr>
            <w:tcW w:w="15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July 31, 2025</w:t>
            </w:r>
          </w:p>
        </w:tc>
      </w:tr>
      <w:tr>
        <w:trPr>
          <w:trHeight w:val="182"/>
        </w:trPr>
        <w:tc>
          <w:tcPr>
            <w:tcW w:w="1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General Counsel</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stock to be issued upon the vesting on January 1, 2025 of previously</w:t>
            </w:r>
          </w:p>
        </w:tc>
        <w:tc>
          <w:tcPr>
            <w:tcW w:w="1560" w:type="dxa"/>
            <w:vAlign w:val="bottom"/>
          </w:tcPr>
          <w:p>
            <w:pPr>
              <w:spacing w:after="0"/>
              <w:rPr>
                <w:sz w:val="15"/>
                <w:szCs w:val="15"/>
                <w:color w:val="auto"/>
              </w:rPr>
            </w:pPr>
          </w:p>
        </w:tc>
      </w:tr>
      <w:tr>
        <w:trPr>
          <w:trHeight w:val="182"/>
        </w:trPr>
        <w:tc>
          <w:tcPr>
            <w:tcW w:w="1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and Secretary</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awarded performance-based restricted stock units, plus (ii) the number of</w:t>
            </w:r>
          </w:p>
        </w:tc>
        <w:tc>
          <w:tcPr>
            <w:tcW w:w="1560" w:type="dxa"/>
            <w:vAlign w:val="bottom"/>
          </w:tcPr>
          <w:p>
            <w:pPr>
              <w:spacing w:after="0"/>
              <w:rPr>
                <w:sz w:val="15"/>
                <w:szCs w:val="15"/>
                <w:color w:val="auto"/>
              </w:rPr>
            </w:pPr>
          </w:p>
        </w:tc>
      </w:tr>
      <w:tr>
        <w:trPr>
          <w:trHeight w:val="175"/>
        </w:trPr>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shares issued upon vesting on January 1, 2025 in settlement of dividend</w:t>
            </w:r>
          </w:p>
        </w:tc>
        <w:tc>
          <w:tcPr>
            <w:tcW w:w="1560" w:type="dxa"/>
            <w:vAlign w:val="bottom"/>
          </w:tcPr>
          <w:p>
            <w:pPr>
              <w:spacing w:after="0"/>
              <w:rPr>
                <w:sz w:val="15"/>
                <w:szCs w:val="15"/>
                <w:color w:val="auto"/>
              </w:rPr>
            </w:pPr>
          </w:p>
        </w:tc>
      </w:tr>
      <w:tr>
        <w:trPr>
          <w:trHeight w:val="204"/>
        </w:trPr>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80" w:type="dxa"/>
            <w:vAlign w:val="bottom"/>
          </w:tcPr>
          <w:p>
            <w:pPr>
              <w:ind w:left="260"/>
              <w:spacing w:after="0" w:line="204" w:lineRule="exact"/>
              <w:rPr>
                <w:sz w:val="20"/>
                <w:szCs w:val="20"/>
                <w:color w:val="auto"/>
              </w:rPr>
            </w:pPr>
            <w:r>
              <w:rPr>
                <w:rFonts w:ascii="Times New Roman" w:cs="Times New Roman" w:eastAsia="Times New Roman" w:hAnsi="Times New Roman"/>
                <w:sz w:val="18"/>
                <w:szCs w:val="18"/>
                <w:color w:val="auto"/>
              </w:rPr>
              <w:t>equivalent rights in respect of the 6,749 shares subject to the</w:t>
            </w: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9888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4260"/>
        <w:spacing w:after="0" w:line="203" w:lineRule="auto"/>
        <w:rPr>
          <w:sz w:val="20"/>
          <w:szCs w:val="20"/>
          <w:color w:val="auto"/>
        </w:rPr>
      </w:pPr>
      <w:r>
        <w:rPr>
          <w:rFonts w:ascii="Times New Roman" w:cs="Times New Roman" w:eastAsia="Times New Roman" w:hAnsi="Times New Roman"/>
          <w:sz w:val="18"/>
          <w:szCs w:val="18"/>
          <w:color w:val="auto"/>
        </w:rPr>
        <w:t>performance-based restricted stock units that accrued during the award’s</w:t>
      </w:r>
    </w:p>
    <w:p>
      <w:pPr>
        <w:ind w:left="4260"/>
        <w:spacing w:after="0" w:line="203" w:lineRule="auto"/>
        <w:rPr>
          <w:sz w:val="20"/>
          <w:szCs w:val="20"/>
          <w:color w:val="auto"/>
        </w:rPr>
      </w:pPr>
      <w:r>
        <w:rPr>
          <w:rFonts w:ascii="Times New Roman" w:cs="Times New Roman" w:eastAsia="Times New Roman" w:hAnsi="Times New Roman"/>
          <w:sz w:val="18"/>
          <w:szCs w:val="18"/>
          <w:color w:val="auto"/>
        </w:rPr>
        <w:t>vesting period of March 15, 2022 - January 1, 2025, pursuant to the terms</w:t>
      </w:r>
    </w:p>
    <w:p>
      <w:pPr>
        <w:ind w:left="4260"/>
        <w:spacing w:after="0" w:line="220" w:lineRule="auto"/>
        <w:rPr>
          <w:sz w:val="20"/>
          <w:szCs w:val="20"/>
          <w:color w:val="auto"/>
        </w:rPr>
      </w:pPr>
      <w:r>
        <w:rPr>
          <w:rFonts w:ascii="Times New Roman" w:cs="Times New Roman" w:eastAsia="Times New Roman" w:hAnsi="Times New Roman"/>
          <w:sz w:val="18"/>
          <w:szCs w:val="18"/>
          <w:color w:val="auto"/>
        </w:rPr>
        <w:t>of the award agreement and determined on the vesting date, less (iii) the</w:t>
      </w:r>
    </w:p>
    <w:p>
      <w:pPr>
        <w:ind w:left="4260"/>
        <w:spacing w:after="0" w:line="203" w:lineRule="auto"/>
        <w:rPr>
          <w:sz w:val="20"/>
          <w:szCs w:val="20"/>
          <w:color w:val="auto"/>
        </w:rPr>
      </w:pPr>
      <w:r>
        <w:rPr>
          <w:rFonts w:ascii="Times New Roman" w:cs="Times New Roman" w:eastAsia="Times New Roman" w:hAnsi="Times New Roman"/>
          <w:sz w:val="18"/>
          <w:szCs w:val="18"/>
          <w:color w:val="auto"/>
        </w:rPr>
        <w:t>number of shares withheld for taxes, to be determined on the vesting date,</w:t>
      </w:r>
    </w:p>
    <w:p>
      <w:pPr>
        <w:ind w:left="4260"/>
        <w:spacing w:after="0" w:line="204" w:lineRule="auto"/>
        <w:rPr>
          <w:sz w:val="20"/>
          <w:szCs w:val="20"/>
          <w:color w:val="auto"/>
        </w:rPr>
      </w:pPr>
      <w:r>
        <w:rPr>
          <w:rFonts w:ascii="Times New Roman" w:cs="Times New Roman" w:eastAsia="Times New Roman" w:hAnsi="Times New Roman"/>
          <w:sz w:val="18"/>
          <w:szCs w:val="18"/>
          <w:color w:val="auto"/>
        </w:rPr>
        <w:t>plus (B) (i) 6,246 shares of Class A common stock to be issued upon the</w:t>
      </w:r>
    </w:p>
    <w:p>
      <w:pPr>
        <w:ind w:left="4260"/>
        <w:spacing w:after="0" w:line="219" w:lineRule="auto"/>
        <w:rPr>
          <w:sz w:val="20"/>
          <w:szCs w:val="20"/>
          <w:color w:val="auto"/>
        </w:rPr>
      </w:pPr>
      <w:r>
        <w:rPr>
          <w:rFonts w:ascii="Times New Roman" w:cs="Times New Roman" w:eastAsia="Times New Roman" w:hAnsi="Times New Roman"/>
          <w:sz w:val="18"/>
          <w:szCs w:val="18"/>
          <w:color w:val="auto"/>
        </w:rPr>
        <w:t>vesting on March 15, 2025 of previously awarded restricted stock units,</w:t>
      </w:r>
    </w:p>
    <w:p>
      <w:pPr>
        <w:ind w:left="4260"/>
        <w:spacing w:after="0" w:line="203" w:lineRule="auto"/>
        <w:rPr>
          <w:sz w:val="20"/>
          <w:szCs w:val="20"/>
          <w:color w:val="auto"/>
        </w:rPr>
      </w:pPr>
      <w:r>
        <w:rPr>
          <w:rFonts w:ascii="Times New Roman" w:cs="Times New Roman" w:eastAsia="Times New Roman" w:hAnsi="Times New Roman"/>
          <w:sz w:val="18"/>
          <w:szCs w:val="18"/>
          <w:color w:val="auto"/>
        </w:rPr>
        <w:t>plus (ii) the number of shares issued upon vesting on March 15, 2025 in</w:t>
      </w:r>
    </w:p>
    <w:p>
      <w:pPr>
        <w:ind w:left="4260"/>
        <w:spacing w:after="0" w:line="204" w:lineRule="auto"/>
        <w:rPr>
          <w:sz w:val="20"/>
          <w:szCs w:val="20"/>
          <w:color w:val="auto"/>
        </w:rPr>
      </w:pPr>
      <w:r>
        <w:rPr>
          <w:rFonts w:ascii="Times New Roman" w:cs="Times New Roman" w:eastAsia="Times New Roman" w:hAnsi="Times New Roman"/>
          <w:sz w:val="18"/>
          <w:szCs w:val="18"/>
          <w:color w:val="auto"/>
        </w:rPr>
        <w:t>settlement of dividend equivalent rights in respect of the 6,246 shares</w:t>
      </w:r>
    </w:p>
    <w:p>
      <w:pPr>
        <w:ind w:left="4260"/>
        <w:spacing w:after="0" w:line="219" w:lineRule="auto"/>
        <w:rPr>
          <w:sz w:val="20"/>
          <w:szCs w:val="20"/>
          <w:color w:val="auto"/>
        </w:rPr>
      </w:pPr>
      <w:r>
        <w:rPr>
          <w:rFonts w:ascii="Times New Roman" w:cs="Times New Roman" w:eastAsia="Times New Roman" w:hAnsi="Times New Roman"/>
          <w:sz w:val="18"/>
          <w:szCs w:val="18"/>
          <w:color w:val="auto"/>
        </w:rPr>
        <w:t>subject to the restricted stock units that accrued during the award’s</w:t>
      </w:r>
    </w:p>
    <w:p>
      <w:pPr>
        <w:ind w:left="4260"/>
        <w:spacing w:after="0" w:line="203" w:lineRule="auto"/>
        <w:rPr>
          <w:sz w:val="20"/>
          <w:szCs w:val="20"/>
          <w:color w:val="auto"/>
        </w:rPr>
      </w:pPr>
      <w:r>
        <w:rPr>
          <w:rFonts w:ascii="Times New Roman" w:cs="Times New Roman" w:eastAsia="Times New Roman" w:hAnsi="Times New Roman"/>
          <w:sz w:val="18"/>
          <w:szCs w:val="18"/>
          <w:color w:val="auto"/>
        </w:rPr>
        <w:t>vesting period of March 15, 2022 - March 15, 2025, pursuant to the terms</w:t>
      </w:r>
    </w:p>
    <w:p>
      <w:pPr>
        <w:ind w:left="4260"/>
        <w:spacing w:after="0" w:line="204" w:lineRule="auto"/>
        <w:rPr>
          <w:sz w:val="20"/>
          <w:szCs w:val="20"/>
          <w:color w:val="auto"/>
        </w:rPr>
      </w:pPr>
      <w:r>
        <w:rPr>
          <w:rFonts w:ascii="Times New Roman" w:cs="Times New Roman" w:eastAsia="Times New Roman" w:hAnsi="Times New Roman"/>
          <w:sz w:val="18"/>
          <w:szCs w:val="18"/>
          <w:color w:val="auto"/>
        </w:rPr>
        <w:t>of the award agreement and determined on the vesting date, less (iii) the</w:t>
      </w:r>
    </w:p>
    <w:p>
      <w:pPr>
        <w:ind w:left="4260"/>
        <w:spacing w:after="0"/>
        <w:rPr>
          <w:sz w:val="20"/>
          <w:szCs w:val="20"/>
          <w:color w:val="auto"/>
        </w:rPr>
      </w:pPr>
      <w:r>
        <w:rPr>
          <w:rFonts w:ascii="Times New Roman" w:cs="Times New Roman" w:eastAsia="Times New Roman" w:hAnsi="Times New Roman"/>
          <w:sz w:val="18"/>
          <w:szCs w:val="18"/>
          <w:color w:val="auto"/>
        </w:rPr>
        <w:t>number of shares withheld for taxes, to be determined on the vesting date.</w:t>
      </w:r>
    </w:p>
    <w:p>
      <w:pPr>
        <w:spacing w:after="0" w:line="93" w:lineRule="exact"/>
        <w:rPr>
          <w:sz w:val="20"/>
          <w:szCs w:val="20"/>
          <w:color w:val="auto"/>
        </w:rPr>
      </w:pPr>
    </w:p>
    <w:p>
      <w:pPr>
        <w:ind w:left="340" w:right="160" w:hanging="332"/>
        <w:spacing w:after="0" w:line="282" w:lineRule="auto"/>
        <w:tabs>
          <w:tab w:leader="none" w:pos="32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case, the Rule 10b5-1 trading arrangement may also expire on such earlier date as all such transactions under the trading arrangement are completed or at such time as such trading arrangement is otherwise terminated in accordance with its terms.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modified or terminated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14"/>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3"/>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14"/>
          </w:tcPr>
          <w:p>
            <w:pPr>
              <w:spacing w:after="0" w:line="18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Purchase Agreement, dated April 5, 2024, by and between ICD Intermediate Holdco 1, LLC, ICD Holdings, LLC, Stellus Capital</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Investment Corporation, Parthenon Investors V ICD Holdco AIV, LP, SCIC - ICD Blocker 1, Inc., Parthenon Investors V ICD</w:t>
              </w:r>
            </w:hyperlink>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Blocker, Inc., Tradeweb Markets LLC, ICD Holdings, LLC, in its capacity as the initial Seller Representative thereunder, and</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Tradeweb Markets Inc., solely for purposes of Section 10.21 thereof (incorporated by reference to Exhibit 2.1 to the Company’s</w:t>
              </w:r>
            </w:hyperlink>
          </w:p>
        </w:tc>
        <w:tc>
          <w:tcPr>
            <w:tcW w:w="160" w:type="dxa"/>
            <w:vAlign w:val="bottom"/>
            <w:tcBorders>
              <w:bottom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gridSpan w:val="10"/>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Current Report on Form 8-K filed on April 8, 2024 (File No. 001-38860)).</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7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Tradeweb Markets Inc. 2019 Omnibus Equity Incentive Plan 2024 Director RSU Award Agreement.</w:t>
            </w:r>
          </w:p>
        </w:tc>
        <w:tc>
          <w:tcPr>
            <w:tcW w:w="2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8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Separation Agreement and Release, dated June 17, 2024 by and between Thomas Pluta and Tradeweb Markets LLC.</w:t>
            </w:r>
          </w:p>
        </w:tc>
        <w:tc>
          <w:tcPr>
            <w:tcW w:w="1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15"/>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4"/>
          </w:tcPr>
          <w:p>
            <w:pPr>
              <w:spacing w:after="0"/>
              <w:rPr>
                <w:sz w:val="13"/>
                <w:szCs w:val="13"/>
                <w:color w:val="auto"/>
              </w:rPr>
            </w:pPr>
          </w:p>
        </w:tc>
        <w:tc>
          <w:tcPr>
            <w:tcW w:w="3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15"/>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gridSpan w:val="3"/>
          </w:tcPr>
          <w:p>
            <w:pPr>
              <w:spacing w:after="0"/>
              <w:rPr>
                <w:sz w:val="13"/>
                <w:szCs w:val="13"/>
                <w:color w:val="auto"/>
              </w:rPr>
            </w:pPr>
          </w:p>
        </w:tc>
        <w:tc>
          <w:tcPr>
            <w:tcW w:w="3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9"/>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tc>
        <w:tc>
          <w:tcPr>
            <w:tcW w:w="0" w:type="dxa"/>
            <w:vAlign w:val="bottom"/>
          </w:tcPr>
          <w:p>
            <w:pPr>
              <w:spacing w:after="0"/>
              <w:rPr>
                <w:sz w:val="1"/>
                <w:szCs w:val="1"/>
                <w:color w:val="auto"/>
              </w:rPr>
            </w:pPr>
          </w:p>
        </w:tc>
      </w:tr>
      <w:tr>
        <w:trPr>
          <w:trHeight w:val="189"/>
        </w:trPr>
        <w:tc>
          <w:tcPr>
            <w:tcW w:w="16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96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231F20"/>
              </w:rPr>
              <w:t>Sched</w:t>
            </w:r>
            <w:r>
              <w:rPr>
                <w:rFonts w:ascii="Times New Roman" w:cs="Times New Roman" w:eastAsia="Times New Roman" w:hAnsi="Times New Roman"/>
                <w:sz w:val="18"/>
                <w:szCs w:val="18"/>
                <w:color w:val="000000"/>
              </w:rPr>
              <w:t>ules and similar attachments have been omitted pursuant to Item 601(a)(5) of Regulation S-K. The Company agrees to furnish</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supplementally a copy of any omitted schedule or similar attachment to the Securities and Exchange Commission upon request</w:t>
            </w: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61"/>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231F20"/>
              </w:rPr>
              <w:t>Portions of this exhibit have been redacted in compliance with Regulation S-K Item 601(b)(10).</w:t>
            </w:r>
          </w:p>
        </w:tc>
        <w:tc>
          <w:tcPr>
            <w:tcW w:w="0" w:type="dxa"/>
            <w:vAlign w:val="bottom"/>
          </w:tcPr>
          <w:p>
            <w:pPr>
              <w:spacing w:after="0"/>
              <w:rPr>
                <w:sz w:val="1"/>
                <w:szCs w:val="1"/>
                <w:color w:val="auto"/>
              </w:rPr>
            </w:pPr>
          </w:p>
        </w:tc>
      </w:tr>
      <w:tr>
        <w:trPr>
          <w:trHeight w:val="905"/>
        </w:trPr>
        <w:tc>
          <w:tcPr>
            <w:tcW w:w="1600" w:type="dxa"/>
            <w:vAlign w:val="bottom"/>
          </w:tcPr>
          <w:p>
            <w:pPr>
              <w:spacing w:after="0"/>
              <w:rPr>
                <w:sz w:val="24"/>
                <w:szCs w:val="24"/>
                <w:color w:val="auto"/>
              </w:rPr>
            </w:pPr>
          </w:p>
        </w:tc>
        <w:tc>
          <w:tcPr>
            <w:tcW w:w="53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121"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4 of the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1097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1097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-29210</wp:posOffset>
            </wp:positionV>
            <wp:extent cx="10972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2" w:lineRule="exact"/>
        <w:rPr>
          <w:sz w:val="20"/>
          <w:szCs w:val="20"/>
          <w:color w:val="auto"/>
        </w:rPr>
      </w:pPr>
    </w:p>
    <w:p>
      <w:pPr>
        <w:ind w:left="960" w:right="240" w:hanging="2348"/>
        <w:spacing w:after="0" w:line="271"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and Section 5 of the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wp:posOffset>
            </wp:positionV>
            <wp:extent cx="10972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Restricted Stock Units shall be subject to the execution and return of this Notice by the Grantee to the Company within 60 days of the date hereof (including by utilizing an electronic signature and/or web-based approval and notice process or any other process as may be authorized by the Company). By executing this Notice, the Grantee acknowledges that his or her agreement to the covenants set forth in Section 6 of the Award Agreement is a material inducement to the Company in granting this Award to the Grantee.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Notice may be executed by facsimile or electronic means (including, without limitation, PDF) and in one or more counterparts, each of which shall be considered an original instrument, but all of which together shall constitute one and the same agreement, and shall become binding when one or more counterparts have been signed by each of the parties hereto and delivered to the other party hereto.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22"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714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274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the Tradeweb Markets Inc. 2019 Omnibus Equity Incentive Plan]</w:t>
      </w:r>
    </w:p>
    <w:p>
      <w:pPr>
        <w:sectPr>
          <w:pgSz w:w="11900" w:h="16838" w:orient="portrait"/>
          <w:cols w:equalWidth="0" w:num="1">
            <w:col w:w="10360"/>
          </w:cols>
          <w:pgMar w:left="980" w:top="1422" w:right="55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 unless the context requires otherwise.</w:t>
      </w:r>
    </w:p>
    <w:p>
      <w:pPr>
        <w:spacing w:after="0" w:line="204" w:lineRule="exact"/>
        <w:rPr>
          <w:sz w:val="20"/>
          <w:szCs w:val="20"/>
          <w:color w:val="auto"/>
        </w:rPr>
      </w:pPr>
    </w:p>
    <w:p>
      <w:pPr>
        <w:ind w:left="2120" w:hanging="654"/>
        <w:spacing w:after="0"/>
        <w:tabs>
          <w:tab w:leader="none" w:pos="21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Employee status, or, in the case of a Consultant or Director, to the continuation of his or her service arrangement, or any case shall interfere with the right of the Company or any of its Subsidiaries or other Affiliates to Terminate the Grantee.</w:t>
      </w:r>
    </w:p>
    <w:p>
      <w:pPr>
        <w:spacing w:after="0" w:line="190" w:lineRule="exact"/>
        <w:rPr>
          <w:sz w:val="20"/>
          <w:szCs w:val="20"/>
          <w:color w:val="auto"/>
        </w:rPr>
      </w:pPr>
    </w:p>
    <w:p>
      <w:pPr>
        <w:ind w:left="2120" w:hanging="654"/>
        <w:spacing w:after="0"/>
        <w:tabs>
          <w:tab w:leader="none" w:pos="21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81" w:lineRule="exact"/>
        <w:rPr>
          <w:sz w:val="20"/>
          <w:szCs w:val="20"/>
          <w:color w:val="auto"/>
        </w:rPr>
      </w:pPr>
    </w:p>
    <w:p>
      <w:pPr>
        <w:ind w:left="2120" w:hanging="654"/>
        <w:spacing w:after="0"/>
        <w:tabs>
          <w:tab w:leader="none" w:pos="212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r>
        <w:rPr>
          <w:rFonts w:ascii="Times New Roman" w:cs="Times New Roman" w:eastAsia="Times New Roman" w:hAnsi="Times New Roman"/>
          <w:sz w:val="22"/>
          <w:szCs w:val="22"/>
          <w:color w:val="auto"/>
        </w:rPr>
        <w:t>.</w:t>
      </w:r>
    </w:p>
    <w:p>
      <w:pPr>
        <w:spacing w:after="0" w:line="3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remainder of this Section 3 and Section 5 hereof, the Restricted Stock Units shall become fully (100%) vested upon the first anniversary of the Vesting Start Date, subject to the Grantee not having Terminated prior to such anniversary.</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Except as otherwise provided in Sections 3(b) and Section 5, if the Grantee Terminates for any reason, the portion of this Award that has not vested as of such date shall terminate upon such Termination and be deemed to have been forfeited by the Grantee without consideration.</w:t>
      </w:r>
    </w:p>
    <w:p>
      <w:pPr>
        <w:spacing w:after="0" w:line="194" w:lineRule="exact"/>
        <w:rPr>
          <w:sz w:val="20"/>
          <w:szCs w:val="20"/>
          <w:color w:val="auto"/>
        </w:rPr>
      </w:pPr>
    </w:p>
    <w:p>
      <w:pPr>
        <w:jc w:val="both"/>
        <w:ind w:firstLine="1223"/>
        <w:spacing w:after="0" w:line="257"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if the Grantee is Terminated by the Company (or its successor) without Cause within the 12-month period following a Change in Control, the portion of the Award that has not vested as of the date of such Termination shall become fully vested as of the date of such Termination.</w:t>
      </w:r>
    </w:p>
    <w:p>
      <w:pPr>
        <w:sectPr>
          <w:pgSz w:w="11900" w:h="16838" w:orient="portrait"/>
          <w:cols w:equalWidth="0" w:num="1">
            <w:col w:w="11240"/>
          </w:cols>
          <w:pgMar w:left="320" w:top="1418" w:right="339" w:bottom="1440" w:gutter="0" w:footer="0" w:header="0"/>
        </w:sectPr>
      </w:pPr>
    </w:p>
    <w:bookmarkStart w:id="88" w:name="page89"/>
    <w:bookmarkEnd w:id="88"/>
    <w:p>
      <w:pPr>
        <w:ind w:left="2120" w:hanging="654"/>
        <w:spacing w:after="0"/>
        <w:tabs>
          <w:tab w:leader="none" w:pos="21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Within thirty (30) days following the date on which any portion of the Award vests pursuant to Section 3 or Section 5 of this Award Agreement, the Company shall deliver to the Grantee one (1) Share in settlement of each Restricted Stock Unit that becomes vested on such vesting date.</w:t>
      </w:r>
    </w:p>
    <w:p>
      <w:pPr>
        <w:spacing w:after="0" w:line="190" w:lineRule="exact"/>
        <w:rPr>
          <w:sz w:val="20"/>
          <w:szCs w:val="20"/>
          <w:color w:val="auto"/>
        </w:rPr>
      </w:pPr>
    </w:p>
    <w:p>
      <w:pPr>
        <w:ind w:left="2120" w:hanging="654"/>
        <w:spacing w:after="0"/>
        <w:tabs>
          <w:tab w:leader="none" w:pos="212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Service</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5(c) below, if the Grantee incurs a Termination for any reason, whether voluntarily or involuntarily, then the portion of the Restricted Stock Units that have not previously vested shall terminate as of the date of the Grantee’s Termination.</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Grantee incurs a Termination for Cause, then the Restricted Stock Units (including, for the avoidance of doubt, Restricted Stock Units that are unvested and vested but not yet settled) shall be forfeited and terminate immediately without consideration upon the effective date of such Termination for Cause.</w:t>
      </w:r>
    </w:p>
    <w:p>
      <w:pPr>
        <w:spacing w:after="0" w:line="19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If the Grantee incurs a Termination due to death or Disability, the portion of the Grantee’s Restricted Stock Units that have not previously vested shall become vested in full as of the date of the Grantee’s death or Termination due to Disability.</w:t>
      </w:r>
    </w:p>
    <w:p>
      <w:pPr>
        <w:spacing w:after="0" w:line="209"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51" w:lineRule="exact"/>
        <w:rPr>
          <w:sz w:val="20"/>
          <w:szCs w:val="20"/>
          <w:color w:val="auto"/>
        </w:rPr>
      </w:pPr>
    </w:p>
    <w:p>
      <w:pPr>
        <w:jc w:val="both"/>
        <w:ind w:firstLine="1304"/>
        <w:spacing w:after="0" w:line="251"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Restricted Stock Units and Recovery</w:t>
      </w:r>
      <w:r>
        <w:rPr>
          <w:rFonts w:ascii="Times New Roman" w:cs="Times New Roman" w:eastAsia="Times New Roman" w:hAnsi="Times New Roman"/>
          <w:sz w:val="22"/>
          <w:szCs w:val="22"/>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(ii) the Grantee engages in any activity prohibited by this Section 6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89" w:name="page90"/>
    <w:bookmarkEnd w:id="89"/>
    <w:p>
      <w:pPr>
        <w:ind w:right="20"/>
        <w:spacing w:after="0" w:line="271" w:lineRule="auto"/>
        <w:rPr>
          <w:sz w:val="20"/>
          <w:szCs w:val="20"/>
          <w:color w:val="auto"/>
        </w:rPr>
      </w:pPr>
      <w:r>
        <w:rPr>
          <w:rFonts w:ascii="Times New Roman" w:cs="Times New Roman" w:eastAsia="Times New Roman" w:hAnsi="Times New Roman"/>
          <w:sz w:val="22"/>
          <w:szCs w:val="22"/>
          <w:color w:val="auto"/>
        </w:rPr>
        <w:t>shall mean any agreement between the Company or any Subsidiary and the Grantee that contains non-competition, non-solicitation, non-hire, non-disparagement, non-disclosure, confidentiality or similar restrictions applicable to the Grantee.</w:t>
      </w:r>
    </w:p>
    <w:p>
      <w:pPr>
        <w:spacing w:after="0" w:line="185" w:lineRule="exact"/>
        <w:rPr>
          <w:sz w:val="20"/>
          <w:szCs w:val="20"/>
          <w:color w:val="auto"/>
        </w:rPr>
      </w:pPr>
    </w:p>
    <w:p>
      <w:pPr>
        <w:jc w:val="both"/>
        <w:ind w:firstLine="1304"/>
        <w:spacing w:after="0" w:line="253"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6 shall not prevent the Company or any Subsidiary from seeking injunctive or other equitable relief in connection with the Grantee’s breach of any Restrictive Agreement. In the event that the provisions of this Section 6 should ever be deemed to exceed the limitation provided by applicable law, then the Grantee and the Company agree that such provisions shall be reformed to set forth the maximum limitations permitted.</w:t>
      </w:r>
    </w:p>
    <w:p>
      <w:pPr>
        <w:spacing w:after="0" w:line="201"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96" w:lineRule="exact"/>
        <w:rPr>
          <w:sz w:val="20"/>
          <w:szCs w:val="20"/>
          <w:color w:val="auto"/>
        </w:rPr>
      </w:pPr>
    </w:p>
    <w:p>
      <w:pPr>
        <w:ind w:left="2120" w:hanging="654"/>
        <w:spacing w:after="0"/>
        <w:tabs>
          <w:tab w:leader="none" w:pos="21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Taxation Upon Settlement of the Restricted Stock Units; Tax Withholding</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Grantee understands that the Grantee will recognize income, for Federal, state and local income tax purposes, as applicable, in respect of the vesting and/or settlement of the Restricted Stock Units. The acceptance of the Shares by the Grantee shall constitute an agreement by the Grantee to report such income in accordance with then applicable law and to cooperate with Company and its Subsidiaries in establishing the amount of such income and corresponding deduction to the Company and/or its subsidiaries for its income tax purposes.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Grantee is responsible for all tax obligations that arise as a result of the vesting and settlement of the Restricted Stock Units. The Company may withhold from any amount payable to the Grantee an amount sufficient to cover any Federal, state or local withholding taxes which may become required with respect to such vesting and settlement or take any other action it deems necessary to satisfy any income or other tax withholding requirements as a result of the vesting and settlement of the Restricted Stock Units. The Company shall have the right to require the payment of any such taxes and require that the Grantee, or the Grantee’s beneficiary, to furnish information deemed necessary by the Company to meet any tax reporting obligation as a condition to delivery of any Shares pursuant to settlement of the Restricted Stock Units. The Grantee may pay his or her withholding tax obligation in connection with the vesting and settlement of the Restricted Stock Units, by making a cash payment to the Company. In addition, the Company, in its sole discretion, may allow the Grantee, to pay his or her withholding tax obligation in connection with the vesting and settlement of the Restricted Stock Units, by (x) having withheld a portion of the Shares then issuable to him or her upon settlement of the Restricted Stock Units or (z) surrendering Shares that have been held by the Grantee for at least six (6) months (or such lesser period as may be permitted by the Company) prior to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settlement of the Restricted Stock Units, in each case having an aggregate Fair Market Value equal to the withholding taxes.</w:t>
      </w:r>
    </w:p>
    <w:p>
      <w:pPr>
        <w:spacing w:after="0" w:line="243" w:lineRule="exact"/>
        <w:rPr>
          <w:sz w:val="20"/>
          <w:szCs w:val="20"/>
          <w:color w:val="auto"/>
        </w:rPr>
      </w:pPr>
    </w:p>
    <w:p>
      <w:pPr>
        <w:ind w:left="2120" w:hanging="648"/>
        <w:spacing w:after="0"/>
        <w:tabs>
          <w:tab w:leader="none" w:pos="21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203" w:lineRule="exact"/>
        <w:rPr>
          <w:sz w:val="20"/>
          <w:szCs w:val="20"/>
          <w:color w:val="auto"/>
        </w:rPr>
      </w:pPr>
    </w:p>
    <w:p>
      <w:pPr>
        <w:ind w:left="2120" w:hanging="648"/>
        <w:spacing w:after="0"/>
        <w:tabs>
          <w:tab w:leader="none" w:pos="21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set forth in Section 12(b)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99" w:lineRule="exact"/>
        <w:rPr>
          <w:sz w:val="20"/>
          <w:szCs w:val="20"/>
          <w:color w:val="auto"/>
        </w:rPr>
      </w:pPr>
    </w:p>
    <w:p>
      <w:pPr>
        <w:ind w:left="2100" w:hanging="628"/>
        <w:spacing w:after="0"/>
        <w:tabs>
          <w:tab w:leader="none" w:pos="21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5" w:lineRule="exact"/>
        <w:rPr>
          <w:sz w:val="20"/>
          <w:szCs w:val="20"/>
          <w:color w:val="auto"/>
        </w:rPr>
      </w:pPr>
    </w:p>
    <w:p>
      <w:pPr>
        <w:ind w:left="1940" w:hanging="393"/>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34"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1177 Avenue of the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91" w:name="page92"/>
    <w:bookmarkEnd w:id="91"/>
    <w:p>
      <w:pPr>
        <w:ind w:left="196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Douglas Friedman, General Counsel</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Douglas.Friedman@tradeweb.com</w:t>
      </w:r>
    </w:p>
    <w:p>
      <w:pPr>
        <w:spacing w:after="0" w:line="5" w:lineRule="exact"/>
        <w:rPr>
          <w:sz w:val="20"/>
          <w:szCs w:val="20"/>
          <w:color w:val="auto"/>
        </w:rPr>
      </w:pPr>
    </w:p>
    <w:p>
      <w:pPr>
        <w:ind w:left="1940" w:hanging="393"/>
        <w:spacing w:after="0"/>
        <w:tabs>
          <w:tab w:leader="none" w:pos="19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30"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 as set forth in Section 5(c) hereof is invalid or impracticable under applicable local law, the terms of Section 5(c) hereof shall either be amended or be deemed not to apply to such Grantee, as determined in the sole discretion of the Committee. All determinations made and actions taken with respect to this Section 12(b)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Restricted Stock Units are intended to be exempt from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accordingly, to the maximum extent permitted, this Award Agreement shall be interpreted to be exempt from Section 409A of the Code or, if not exempt, in compliance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92" w:name="page93"/>
    <w:bookmarkEnd w:id="92"/>
    <w:p>
      <w:pPr>
        <w:ind w:left="2120" w:hanging="648"/>
        <w:spacing w:after="0"/>
        <w:tabs>
          <w:tab w:leader="none" w:pos="21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 w:lineRule="exact"/>
        <w:rPr>
          <w:sz w:val="20"/>
          <w:szCs w:val="20"/>
          <w:color w:val="auto"/>
        </w:rPr>
      </w:pPr>
    </w:p>
    <w:p>
      <w:pPr>
        <w:ind w:left="2120" w:hanging="648"/>
        <w:spacing w:after="0"/>
        <w:tabs>
          <w:tab w:leader="none" w:pos="21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2" w:lineRule="exact"/>
        <w:rPr>
          <w:sz w:val="20"/>
          <w:szCs w:val="20"/>
          <w:color w:val="auto"/>
        </w:rPr>
      </w:pPr>
    </w:p>
    <w:p>
      <w:pPr>
        <w:ind w:left="2120" w:hanging="648"/>
        <w:spacing w:after="0"/>
        <w:tabs>
          <w:tab w:leader="none" w:pos="21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48"/>
        <w:spacing w:after="0"/>
        <w:tabs>
          <w:tab w:leader="none" w:pos="21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3" w:lineRule="exact"/>
        <w:rPr>
          <w:sz w:val="20"/>
          <w:szCs w:val="20"/>
          <w:color w:val="auto"/>
        </w:rPr>
      </w:pPr>
    </w:p>
    <w:p>
      <w:pPr>
        <w:ind w:left="2120" w:hanging="648"/>
        <w:spacing w:after="0"/>
        <w:tabs>
          <w:tab w:leader="none" w:pos="21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8" w:right="339" w:bottom="1440" w:gutter="0" w:footer="0" w:header="0"/>
        </w:sectPr>
      </w:pPr>
    </w:p>
    <w:bookmarkStart w:id="93" w:name="page94"/>
    <w:bookmarkEnd w:id="93"/>
    <w:p>
      <w:pPr>
        <w:ind w:left="988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40" w:right="20"/>
        <w:spacing w:after="0" w:line="263"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SEPARATION AGREEMENT AND RELEASE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entered into as of June 17, 2024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between Thomas Pluta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and Tradeweb Markets LLC, a Delaware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(each of the Executive and the Company,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sets forth the terms and understandings regarding the Executive’s separation from the Company. The Parties acknowledge that the terms and conditions of this Agreement have been voluntarily agreed to and are intended to be final and binding.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Executive has been employed by the Company as the Company’s President;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WHEREAS, the Executive is party to those certain equity award agreements entered into with Tradeweb Markets Inc. (the “</w:t>
      </w: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Agreements</w:t>
      </w:r>
      <w:r>
        <w:rPr>
          <w:rFonts w:ascii="Times New Roman" w:cs="Times New Roman" w:eastAsia="Times New Roman" w:hAnsi="Times New Roman"/>
          <w:sz w:val="20"/>
          <w:szCs w:val="20"/>
          <w:color w:val="auto"/>
        </w:rPr>
        <w:t>”) pursuant to which the following awards remain outstanding: (i) 19,647 restricted stock units (“</w:t>
      </w:r>
      <w:r>
        <w:rPr>
          <w:rFonts w:ascii="Times New Roman" w:cs="Times New Roman" w:eastAsia="Times New Roman" w:hAnsi="Times New Roman"/>
          <w:sz w:val="20"/>
          <w:szCs w:val="20"/>
          <w:u w:val="single" w:color="auto"/>
          <w:color w:val="auto"/>
        </w:rPr>
        <w:t>2023 RSUs</w:t>
      </w:r>
      <w:r>
        <w:rPr>
          <w:rFonts w:ascii="Times New Roman" w:cs="Times New Roman" w:eastAsia="Times New Roman" w:hAnsi="Times New Roman"/>
          <w:sz w:val="20"/>
          <w:szCs w:val="20"/>
          <w:color w:val="auto"/>
        </w:rPr>
        <w:t>”) and 13,854 restricted stock units (“</w:t>
      </w:r>
      <w:r>
        <w:rPr>
          <w:rFonts w:ascii="Times New Roman" w:cs="Times New Roman" w:eastAsia="Times New Roman" w:hAnsi="Times New Roman"/>
          <w:sz w:val="20"/>
          <w:szCs w:val="20"/>
          <w:u w:val="single" w:color="auto"/>
          <w:color w:val="auto"/>
        </w:rPr>
        <w:t>2024 RSUs</w:t>
      </w:r>
      <w:r>
        <w:rPr>
          <w:rFonts w:ascii="Times New Roman" w:cs="Times New Roman" w:eastAsia="Times New Roman" w:hAnsi="Times New Roman"/>
          <w:sz w:val="20"/>
          <w:szCs w:val="20"/>
          <w:color w:val="auto"/>
        </w:rPr>
        <w:t>”) pursuant to those certain restricted stock unit award agreements dated as of April 7, 2023 and April 2, 2024, respectively, (ii) 53,429 performance-based restricted stock units (“</w:t>
      </w:r>
      <w:r>
        <w:rPr>
          <w:rFonts w:ascii="Times New Roman" w:cs="Times New Roman" w:eastAsia="Times New Roman" w:hAnsi="Times New Roman"/>
          <w:sz w:val="20"/>
          <w:szCs w:val="20"/>
          <w:u w:val="single" w:color="auto"/>
          <w:color w:val="auto"/>
        </w:rPr>
        <w:t>2023 PRSUs</w:t>
      </w:r>
      <w:r>
        <w:rPr>
          <w:rFonts w:ascii="Times New Roman" w:cs="Times New Roman" w:eastAsia="Times New Roman" w:hAnsi="Times New Roman"/>
          <w:sz w:val="20"/>
          <w:szCs w:val="20"/>
          <w:color w:val="auto"/>
        </w:rPr>
        <w:t>”) and an award with a target of [***] performance-based restricted stock units (“</w:t>
      </w:r>
      <w:r>
        <w:rPr>
          <w:rFonts w:ascii="Times New Roman" w:cs="Times New Roman" w:eastAsia="Times New Roman" w:hAnsi="Times New Roman"/>
          <w:sz w:val="20"/>
          <w:szCs w:val="20"/>
          <w:u w:val="single" w:color="auto"/>
          <w:color w:val="auto"/>
        </w:rPr>
        <w:t>2024 PRSUs</w:t>
      </w:r>
      <w:r>
        <w:rPr>
          <w:rFonts w:ascii="Times New Roman" w:cs="Times New Roman" w:eastAsia="Times New Roman" w:hAnsi="Times New Roman"/>
          <w:sz w:val="20"/>
          <w:szCs w:val="20"/>
          <w:color w:val="auto"/>
        </w:rPr>
        <w:t>”), granted pursuant to those certain PRSU award agreements dated as of April 6, 2023 and April 2, 2024, respectively (the “</w:t>
      </w:r>
      <w:r>
        <w:rPr>
          <w:rFonts w:ascii="Times New Roman" w:cs="Times New Roman" w:eastAsia="Times New Roman" w:hAnsi="Times New Roman"/>
          <w:sz w:val="20"/>
          <w:szCs w:val="20"/>
          <w:u w:val="single" w:color="auto"/>
          <w:color w:val="auto"/>
        </w:rPr>
        <w:t>PRSU Awards</w:t>
      </w:r>
      <w:r>
        <w:rPr>
          <w:rFonts w:ascii="Times New Roman" w:cs="Times New Roman" w:eastAsia="Times New Roman" w:hAnsi="Times New Roman"/>
          <w:sz w:val="20"/>
          <w:szCs w:val="20"/>
          <w:color w:val="auto"/>
        </w:rPr>
        <w:t>”), and (iii) an award with a target of 36,373 performance-vesting stock units (“</w:t>
      </w:r>
      <w:r>
        <w:rPr>
          <w:rFonts w:ascii="Times New Roman" w:cs="Times New Roman" w:eastAsia="Times New Roman" w:hAnsi="Times New Roman"/>
          <w:sz w:val="20"/>
          <w:szCs w:val="20"/>
          <w:u w:val="single" w:color="auto"/>
          <w:color w:val="auto"/>
        </w:rPr>
        <w:t>2023 PSUs</w:t>
      </w:r>
      <w:r>
        <w:rPr>
          <w:rFonts w:ascii="Times New Roman" w:cs="Times New Roman" w:eastAsia="Times New Roman" w:hAnsi="Times New Roman"/>
          <w:sz w:val="20"/>
          <w:szCs w:val="20"/>
          <w:color w:val="auto"/>
        </w:rPr>
        <w:t>”) and an award with a target of [***] performance-vesting stock units (“</w:t>
      </w:r>
      <w:r>
        <w:rPr>
          <w:rFonts w:ascii="Times New Roman" w:cs="Times New Roman" w:eastAsia="Times New Roman" w:hAnsi="Times New Roman"/>
          <w:sz w:val="20"/>
          <w:szCs w:val="20"/>
          <w:u w:val="single" w:color="auto"/>
          <w:color w:val="auto"/>
        </w:rPr>
        <w:t>2024 PSUs</w:t>
      </w:r>
      <w:r>
        <w:rPr>
          <w:rFonts w:ascii="Times New Roman" w:cs="Times New Roman" w:eastAsia="Times New Roman" w:hAnsi="Times New Roman"/>
          <w:sz w:val="20"/>
          <w:szCs w:val="20"/>
          <w:color w:val="auto"/>
        </w:rPr>
        <w:t>”), granted pursuant to those certain PSU award agreements dated as of April 7, 2023 and April 2, 2024, respectively (the “</w:t>
      </w:r>
      <w:r>
        <w:rPr>
          <w:rFonts w:ascii="Times New Roman" w:cs="Times New Roman" w:eastAsia="Times New Roman" w:hAnsi="Times New Roman"/>
          <w:sz w:val="20"/>
          <w:szCs w:val="20"/>
          <w:u w:val="single" w:color="auto"/>
          <w:color w:val="auto"/>
        </w:rPr>
        <w:t>PSU Awards</w:t>
      </w:r>
      <w:r>
        <w:rPr>
          <w:rFonts w:ascii="Times New Roman" w:cs="Times New Roman" w:eastAsia="Times New Roman" w:hAnsi="Times New Roman"/>
          <w:sz w:val="20"/>
          <w:szCs w:val="20"/>
          <w:color w:val="auto"/>
        </w:rPr>
        <w:t>”) (each of (i), (ii), and (iii) together, the “</w:t>
      </w: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Parties have agreed that the Executive’s employment with the Company will terminate effective as of September 30, 2024 (such date,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wishes to have the Executive continue the Executive’s employment with the Company during the period commencing on the Effective Date until the Separation Date (the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pursuant to this Agreement in order to assist in the transition of his duties, in exchange for continued payment of compensation and benefits equal to those received prior to the Effective Date as modified herein;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Executive and the Company wish to settle their mutual rights and obligations arising in connection with the Executive’s service with the Company; and</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Executive wishes to continue the Executive’s employment during the Transition Period in accordance with the terms set forth herein.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promises herein contained, the Company and the Executive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63621615.7</w:t>
      </w:r>
    </w:p>
    <w:p>
      <w:pPr>
        <w:sectPr>
          <w:pgSz w:w="11900" w:h="16838" w:orient="portrait"/>
          <w:cols w:equalWidth="0" w:num="1">
            <w:col w:w="11240"/>
          </w:cols>
          <w:pgMar w:left="320" w:top="122" w:right="339" w:bottom="1440" w:gutter="0" w:footer="0" w:header="0"/>
        </w:sectPr>
      </w:pPr>
    </w:p>
    <w:bookmarkStart w:id="94" w:name="page95"/>
    <w:bookmarkEnd w:id="94"/>
    <w:p>
      <w:pPr>
        <w:jc w:val="both"/>
        <w:ind w:firstLine="656"/>
        <w:spacing w:after="0" w:line="261"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During the Transition Period, the Executive will continue to serve as President of the Company and will continue to perform his normal duties and responsibilities, as well as provide assistance with respect to the transition of his normal duties and responsibilities and such other similar support (the “</w:t>
      </w:r>
      <w:r>
        <w:rPr>
          <w:rFonts w:ascii="Times New Roman" w:cs="Times New Roman" w:eastAsia="Times New Roman" w:hAnsi="Times New Roman"/>
          <w:sz w:val="20"/>
          <w:szCs w:val="20"/>
          <w:u w:val="single" w:color="auto"/>
          <w:color w:val="auto"/>
        </w:rPr>
        <w:t>Transition Services</w:t>
      </w:r>
      <w:r>
        <w:rPr>
          <w:rFonts w:ascii="Times New Roman" w:cs="Times New Roman" w:eastAsia="Times New Roman" w:hAnsi="Times New Roman"/>
          <w:sz w:val="20"/>
          <w:szCs w:val="20"/>
          <w:color w:val="auto"/>
        </w:rPr>
        <w:t>”) as requested by the Chief Executive Officer of the Company.</w:t>
      </w:r>
    </w:p>
    <w:p>
      <w:pPr>
        <w:spacing w:after="0" w:line="208"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of Service</w:t>
      </w:r>
      <w:r>
        <w:rPr>
          <w:rFonts w:ascii="Times New Roman" w:cs="Times New Roman" w:eastAsia="Times New Roman" w:hAnsi="Times New Roman"/>
          <w:sz w:val="20"/>
          <w:szCs w:val="20"/>
          <w:color w:val="auto"/>
        </w:rPr>
        <w:t>. Effective as of the close of business on the Separation Date, the Executive (a) will cease to serve as President of the Company and in any other positions as an officer, manager or director of the Company or any of its subsidiaries or affiliates (including, for the sake of clarity, as a member of the Board of Directors of Tradeweb Markets Inc.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(b) will no longer be authorized to incur any expenses, obligations, or liabilities on behalf of the Company or any of its subsidiaries or affiliates. The Executive agrees to promptly execute any writings as are requested by the Company or any of its subsidiaries or affiliates to effectuate the foregoing at any time following the Separation Date (including, for the sake of clarity, his resignation from the Board). Promptly following the Separation Date, the Executive agrees to update all of his social media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LinkedIn), if any, to reflect that he is no longer employed by the Company.</w:t>
      </w:r>
    </w:p>
    <w:p>
      <w:pPr>
        <w:spacing w:after="0" w:line="22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and Benefits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56"/>
        <w:spacing w:after="0" w:line="258"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Amounts</w:t>
      </w:r>
      <w:r>
        <w:rPr>
          <w:rFonts w:ascii="Times New Roman" w:cs="Times New Roman" w:eastAsia="Times New Roman" w:hAnsi="Times New Roman"/>
          <w:sz w:val="20"/>
          <w:szCs w:val="20"/>
          <w:color w:val="auto"/>
        </w:rPr>
        <w:t>. Without regard to whether the Executive executes this Agreement or the Reaffirmation, the Executive shall remain entitled to receive (i) any earned but unpaid base salary through the Separation Date, (ii) vested benefits in accordance with the applicable terms of applicable Company arrangements, and (iii) any unreimbursed expenses in accordance with the Company’s policies, each payable in accordance with the Company’s payroll practices and applicable law.</w:t>
      </w:r>
    </w:p>
    <w:p>
      <w:pPr>
        <w:spacing w:after="0" w:line="21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w:t>
      </w:r>
      <w:r>
        <w:rPr>
          <w:rFonts w:ascii="Times New Roman" w:cs="Times New Roman" w:eastAsia="Times New Roman" w:hAnsi="Times New Roman"/>
          <w:sz w:val="20"/>
          <w:szCs w:val="20"/>
          <w:color w:val="auto"/>
        </w:rPr>
        <w:t>. Subject to the Executive delivering and not revoking this Agreement and the Reaffirmation in accordance with Section 5 hereof, and the Executive’s continued compliance with any obligations as set forth in this Agreement (including, without limitation, Section 6 hereof), the Company shall pay or provide the Executive with the following payments and benefits:</w:t>
      </w:r>
    </w:p>
    <w:p>
      <w:pPr>
        <w:spacing w:after="0" w:line="214"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equal to one times the Executive’s base salary at the rate in effect immediately prior to the Separation Date, payable in equal installments on the Company’s payroll dates during the one-year period following the Separation Date, commencing on the first regularly scheduled payroll date following the Final Release Effective Date (with any amounts otherwise due prior to such payment date paid on such payment date);</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payment equal to $3,850,000 (the “</w:t>
      </w:r>
      <w:r>
        <w:rPr>
          <w:rFonts w:ascii="Times New Roman" w:cs="Times New Roman" w:eastAsia="Times New Roman" w:hAnsi="Times New Roman"/>
          <w:sz w:val="20"/>
          <w:szCs w:val="20"/>
          <w:u w:val="single" w:color="auto"/>
          <w:color w:val="auto"/>
        </w:rPr>
        <w:t>Severance Bonus</w:t>
      </w:r>
      <w:r>
        <w:rPr>
          <w:rFonts w:ascii="Times New Roman" w:cs="Times New Roman" w:eastAsia="Times New Roman" w:hAnsi="Times New Roman"/>
          <w:sz w:val="20"/>
          <w:szCs w:val="20"/>
          <w:color w:val="auto"/>
        </w:rPr>
        <w:t>”), which represents the sum of (i) the Executive’s highest annual bonus received in respect of the two most recent calendar years completed prior to the Separation Date (the “</w:t>
      </w:r>
      <w:r>
        <w:rPr>
          <w:rFonts w:ascii="Times New Roman" w:cs="Times New Roman" w:eastAsia="Times New Roman" w:hAnsi="Times New Roman"/>
          <w:sz w:val="20"/>
          <w:szCs w:val="20"/>
          <w:u w:val="single" w:color="auto"/>
          <w:color w:val="auto"/>
        </w:rPr>
        <w:t>Reference Bonus Amount</w:t>
      </w:r>
      <w:r>
        <w:rPr>
          <w:rFonts w:ascii="Times New Roman" w:cs="Times New Roman" w:eastAsia="Times New Roman" w:hAnsi="Times New Roman"/>
          <w:sz w:val="20"/>
          <w:szCs w:val="20"/>
          <w:color w:val="auto"/>
        </w:rPr>
        <w:t>”), plus (ii) the Reference Bonus Amount prorated for the number of days worked by the Executive during 2024 through the Separation Date. The Severance Bonus shall be paid at the time when annual bonuses for the 2024 fiscal year are paid generally to the Company’s senior executives, but in all events within the calendar year following the Separation Date and by no later than March 21,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1304"/>
        <w:spacing w:after="0" w:line="253" w:lineRule="auto"/>
        <w:tabs>
          <w:tab w:leader="none" w:pos="194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timely elects to continue medical coverage under the Consolidated Omnibus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and subject to his copayment of premiums associated with such coverage consistent with amounts paid by the Executive during the year in which the Separation Date occurs, reimbursement, on a monthly basis, for the excess costs of continued health benefits for the Executive and the Executive’s covered dependents for one year following the Separation Date, or until such earlier date on which such COBRA coverage terminates in accordance with COBRA.</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Each of the Equity Awards will continue to vest pursuant to their terms until the Separation Date. For the sake of clarity, in connection with the Executive’s separation upon the Separation Date, each of the Equity Awards will be treated as follows in accordance with the terms applicable to a termination without “cause” under the applicable Equity Agreements:</w:t>
      </w:r>
    </w:p>
    <w:p>
      <w:pPr>
        <w:spacing w:after="0" w:line="208" w:lineRule="exact"/>
        <w:rPr>
          <w:sz w:val="20"/>
          <w:szCs w:val="20"/>
          <w:color w:val="auto"/>
        </w:rPr>
      </w:pPr>
    </w:p>
    <w:p>
      <w:pPr>
        <w:ind w:firstLine="656"/>
        <w:spacing w:after="0" w:line="269" w:lineRule="auto"/>
        <w:tabs>
          <w:tab w:leader="none" w:pos="128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2023 RSUs and 2024 RSUs will each remain outstanding and vest and settle in accordance with their terms following the Separation Date.</w:t>
      </w:r>
    </w:p>
    <w:p>
      <w:pPr>
        <w:spacing w:after="0" w:line="19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PRSUs and PSUs</w:t>
      </w:r>
      <w:r>
        <w:rPr>
          <w:rFonts w:ascii="Times New Roman" w:cs="Times New Roman" w:eastAsia="Times New Roman" w:hAnsi="Times New Roman"/>
          <w:sz w:val="20"/>
          <w:szCs w:val="20"/>
          <w:color w:val="auto"/>
        </w:rPr>
        <w:t>. The Executive will be entitled to retain a prorated portion of each of the PSU Awards and the PRSU Awards. Estimates for such prorated portions are illustrated below, however, final calculations will be provided through the Shareworks account system using an actual year-to-date pro-rata calculation. Such final calculations will represent the Executive’s new target number of PSUs and PRSUs, as applicable, that remains eligible to vest and settle following the Separation Date in accordance with the terms of the applicable Equity Agreements. For the sake of clarity, the 2024 PRSUs and the PSU Awards shall each remain subject to the application of the “Performance Modifier” applicable thereto, determined in accordance with the terms of the applicable Equity Agreements.</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vMerge w:val="restart"/>
          </w:tcPr>
          <w:p>
            <w:pPr>
              <w:jc w:val="center"/>
              <w:ind w:right="741"/>
              <w:spacing w:after="0"/>
              <w:rPr>
                <w:sz w:val="20"/>
                <w:szCs w:val="20"/>
                <w:color w:val="auto"/>
              </w:rPr>
            </w:pPr>
            <w:r>
              <w:rPr>
                <w:rFonts w:ascii="Times New Roman" w:cs="Times New Roman" w:eastAsia="Times New Roman" w:hAnsi="Times New Roman"/>
                <w:sz w:val="20"/>
                <w:szCs w:val="20"/>
                <w:b w:val="1"/>
                <w:bCs w:val="1"/>
                <w:color w:val="auto"/>
                <w:w w:val="98"/>
              </w:rPr>
              <w:t>Award</w:t>
            </w:r>
          </w:p>
        </w:tc>
        <w:tc>
          <w:tcPr>
            <w:tcW w:w="3640" w:type="dxa"/>
            <w:vAlign w:val="bottom"/>
            <w:tcBorders>
              <w:top w:val="single" w:sz="8" w:color="auto"/>
              <w:right w:val="single" w:sz="8" w:color="auto"/>
            </w:tcBorders>
          </w:tcPr>
          <w:p>
            <w:pPr>
              <w:jc w:val="center"/>
              <w:ind w:left="521"/>
              <w:spacing w:after="0" w:line="203" w:lineRule="exact"/>
              <w:rPr>
                <w:sz w:val="20"/>
                <w:szCs w:val="20"/>
                <w:color w:val="auto"/>
              </w:rPr>
            </w:pPr>
            <w:r>
              <w:rPr>
                <w:rFonts w:ascii="Times New Roman" w:cs="Times New Roman" w:eastAsia="Times New Roman" w:hAnsi="Times New Roman"/>
                <w:sz w:val="20"/>
                <w:szCs w:val="20"/>
                <w:b w:val="1"/>
                <w:bCs w:val="1"/>
                <w:color w:val="auto"/>
                <w:w w:val="97"/>
              </w:rPr>
              <w:t>New Target Number of</w:t>
            </w:r>
          </w:p>
        </w:tc>
        <w:tc>
          <w:tcPr>
            <w:tcW w:w="0" w:type="dxa"/>
            <w:vAlign w:val="bottom"/>
          </w:tcPr>
          <w:p>
            <w:pPr>
              <w:spacing w:after="0"/>
              <w:rPr>
                <w:sz w:val="1"/>
                <w:szCs w:val="1"/>
                <w:color w:val="auto"/>
              </w:rPr>
            </w:pPr>
          </w:p>
        </w:tc>
      </w:tr>
      <w:tr>
        <w:trPr>
          <w:trHeight w:val="155"/>
        </w:trPr>
        <w:tc>
          <w:tcPr>
            <w:tcW w:w="6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3640" w:type="dxa"/>
            <w:vAlign w:val="bottom"/>
            <w:tcBorders>
              <w:right w:val="single" w:sz="8" w:color="auto"/>
            </w:tcBorders>
            <w:vMerge w:val="restart"/>
          </w:tcPr>
          <w:p>
            <w:pPr>
              <w:jc w:val="center"/>
              <w:ind w:left="521"/>
              <w:spacing w:after="0"/>
              <w:rPr>
                <w:sz w:val="20"/>
                <w:szCs w:val="20"/>
                <w:color w:val="auto"/>
              </w:rPr>
            </w:pPr>
            <w:r>
              <w:rPr>
                <w:rFonts w:ascii="Times New Roman" w:cs="Times New Roman" w:eastAsia="Times New Roman" w:hAnsi="Times New Roman"/>
                <w:sz w:val="20"/>
                <w:szCs w:val="20"/>
                <w:b w:val="1"/>
                <w:bCs w:val="1"/>
                <w:color w:val="auto"/>
                <w:w w:val="99"/>
              </w:rPr>
              <w:t>PRSUs or PSUs</w:t>
            </w:r>
          </w:p>
        </w:tc>
        <w:tc>
          <w:tcPr>
            <w:tcW w:w="0" w:type="dxa"/>
            <w:vAlign w:val="bottom"/>
          </w:tcPr>
          <w:p>
            <w:pPr>
              <w:spacing w:after="0"/>
              <w:rPr>
                <w:sz w:val="1"/>
                <w:szCs w:val="1"/>
                <w:color w:val="auto"/>
              </w:rPr>
            </w:pPr>
          </w:p>
        </w:tc>
      </w:tr>
      <w:tr>
        <w:trPr>
          <w:trHeight w:val="102"/>
        </w:trPr>
        <w:tc>
          <w:tcPr>
            <w:tcW w:w="620" w:type="dxa"/>
            <w:vAlign w:val="bottom"/>
            <w:tcBorders>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2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left="501"/>
              <w:spacing w:after="0"/>
              <w:rPr>
                <w:sz w:val="20"/>
                <w:szCs w:val="20"/>
                <w:color w:val="auto"/>
              </w:rPr>
            </w:pPr>
            <w:r>
              <w:rPr>
                <w:rFonts w:ascii="Times New Roman" w:cs="Times New Roman" w:eastAsia="Times New Roman" w:hAnsi="Times New Roman"/>
                <w:sz w:val="20"/>
                <w:szCs w:val="20"/>
                <w:color w:val="auto"/>
              </w:rPr>
              <w:t>2023 PSUs</w:t>
            </w:r>
          </w:p>
        </w:tc>
        <w:tc>
          <w:tcPr>
            <w:tcW w:w="364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8"/>
              </w:rPr>
              <w:t>21,173</w:t>
            </w:r>
          </w:p>
        </w:tc>
        <w:tc>
          <w:tcPr>
            <w:tcW w:w="0" w:type="dxa"/>
            <w:vAlign w:val="bottom"/>
          </w:tcPr>
          <w:p>
            <w:pPr>
              <w:spacing w:after="0"/>
              <w:rPr>
                <w:sz w:val="1"/>
                <w:szCs w:val="1"/>
                <w:color w:val="auto"/>
              </w:rPr>
            </w:pPr>
          </w:p>
        </w:tc>
      </w:tr>
      <w:tr>
        <w:trPr>
          <w:trHeight w:val="250"/>
        </w:trPr>
        <w:tc>
          <w:tcPr>
            <w:tcW w:w="62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left="501"/>
              <w:spacing w:after="0"/>
              <w:rPr>
                <w:sz w:val="20"/>
                <w:szCs w:val="20"/>
                <w:color w:val="auto"/>
              </w:rPr>
            </w:pPr>
            <w:r>
              <w:rPr>
                <w:rFonts w:ascii="Times New Roman" w:cs="Times New Roman" w:eastAsia="Times New Roman" w:hAnsi="Times New Roman"/>
                <w:sz w:val="20"/>
                <w:szCs w:val="20"/>
                <w:color w:val="auto"/>
              </w:rPr>
              <w:t>2024 PSUs</w:t>
            </w:r>
          </w:p>
        </w:tc>
        <w:tc>
          <w:tcPr>
            <w:tcW w:w="364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50"/>
        </w:trPr>
        <w:tc>
          <w:tcPr>
            <w:tcW w:w="62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9"/>
              </w:rPr>
              <w:t>2023 PRSUs</w:t>
            </w:r>
          </w:p>
        </w:tc>
        <w:tc>
          <w:tcPr>
            <w:tcW w:w="364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8"/>
              </w:rPr>
              <w:t>31,101</w:t>
            </w:r>
          </w:p>
        </w:tc>
        <w:tc>
          <w:tcPr>
            <w:tcW w:w="0" w:type="dxa"/>
            <w:vAlign w:val="bottom"/>
          </w:tcPr>
          <w:p>
            <w:pPr>
              <w:spacing w:after="0"/>
              <w:rPr>
                <w:sz w:val="1"/>
                <w:szCs w:val="1"/>
                <w:color w:val="auto"/>
              </w:rPr>
            </w:pPr>
          </w:p>
        </w:tc>
      </w:tr>
      <w:tr>
        <w:trPr>
          <w:trHeight w:val="250"/>
        </w:trPr>
        <w:tc>
          <w:tcPr>
            <w:tcW w:w="62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9"/>
              </w:rPr>
              <w:t>2024 PRSUs</w:t>
            </w:r>
          </w:p>
        </w:tc>
        <w:tc>
          <w:tcPr>
            <w:tcW w:w="364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507"/>
        </w:trPr>
        <w:tc>
          <w:tcPr>
            <w:tcW w:w="6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79"/>
              </w:rPr>
              <w:t>5.</w:t>
            </w:r>
          </w:p>
        </w:tc>
        <w:tc>
          <w:tcPr>
            <w:tcW w:w="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Release of Claims.</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firstLine="656"/>
        <w:spacing w:after="0" w:line="252" w:lineRule="auto"/>
        <w:tabs>
          <w:tab w:leader="none" w:pos="1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payments and benefits to be made under this Agreement, the sufficiency of which the Executive acknowledges, the Executive, with the intention of binding the Executive and the Executive’s heirs, executors, administrators and assigns, does hereby release, remise, acquit and forever discharge Tradeweb Markets Inc., the Company and each of its and their subsidiaries and affiliates (the “</w:t>
      </w:r>
      <w:r>
        <w:rPr>
          <w:rFonts w:ascii="Times New Roman" w:cs="Times New Roman" w:eastAsia="Times New Roman" w:hAnsi="Times New Roman"/>
          <w:sz w:val="20"/>
          <w:szCs w:val="20"/>
          <w:u w:val="single" w:color="auto"/>
          <w:color w:val="auto"/>
        </w:rPr>
        <w:t>Company Affiliated Group</w:t>
      </w:r>
      <w:r>
        <w:rPr>
          <w:rFonts w:ascii="Times New Roman" w:cs="Times New Roman" w:eastAsia="Times New Roman" w:hAnsi="Times New Roman"/>
          <w:sz w:val="20"/>
          <w:szCs w:val="20"/>
          <w:color w:val="auto"/>
        </w:rPr>
        <w:t>”), their present and former parent organizations, officers, directors, executives, shareholders, agents, attorneys, employees and employee benefit plans (and the fiduciaries thereof), and the successors, predecessors and assigns of each of the foregoing (collectively, the “</w:t>
      </w:r>
      <w:r>
        <w:rPr>
          <w:rFonts w:ascii="Times New Roman" w:cs="Times New Roman" w:eastAsia="Times New Roman" w:hAnsi="Times New Roman"/>
          <w:sz w:val="20"/>
          <w:szCs w:val="20"/>
          <w:u w:val="single" w:color="auto"/>
          <w:color w:val="auto"/>
        </w:rPr>
        <w:t>Company Released Parties</w:t>
      </w:r>
      <w:r>
        <w:rPr>
          <w:rFonts w:ascii="Times New Roman" w:cs="Times New Roman" w:eastAsia="Times New Roman" w:hAnsi="Times New Roman"/>
          <w:sz w:val="20"/>
          <w:szCs w:val="20"/>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which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0"/>
          <w:szCs w:val="20"/>
          <w:color w:val="auto"/>
        </w:rPr>
        <w:t>the Executive, individually or as a member of a class, now has, owns or holds, or has at any time heretofore had, owned or held, arising on or prior to the date hereof, against any Company Released Party that arises out of, or relates to the Executive’s employment with the Company or any of its subsidiaries and affiliates, or any termination of such employment, including claims (i) for severance or vacation benefits, unpaid wages, salary or incentive payments, (ii) for breach of contract, wrongful discharge, impairment of economic opportunity, defamation, intentional infliction of emotional harm or other tort, (iii) for any violation of applicable state and local labor and employment laws (including, without limitation, all laws concerning unlawful and unfair labor and employment practices), and (iv)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0"/>
          <w:szCs w:val="20"/>
          <w:u w:val="single" w:color="auto"/>
          <w:color w:val="auto"/>
        </w:rPr>
        <w:t>Title VII</w:t>
      </w:r>
      <w:r>
        <w:rPr>
          <w:rFonts w:ascii="Times New Roman" w:cs="Times New Roman" w:eastAsia="Times New Roman" w:hAnsi="Times New Roman"/>
          <w:sz w:val="20"/>
          <w:szCs w:val="20"/>
          <w:color w:val="auto"/>
        </w:rPr>
        <w:t>”), the Civil Rights Act of 1988, the Fair Labor Standards Act, the Americans with Disabilities Act (“</w:t>
      </w:r>
      <w:r>
        <w:rPr>
          <w:rFonts w:ascii="Times New Roman" w:cs="Times New Roman" w:eastAsia="Times New Roman" w:hAnsi="Times New Roman"/>
          <w:sz w:val="20"/>
          <w:szCs w:val="20"/>
          <w:u w:val="single" w:color="auto"/>
          <w:color w:val="auto"/>
        </w:rPr>
        <w:t>ADA</w:t>
      </w:r>
      <w:r>
        <w:rPr>
          <w:rFonts w:ascii="Times New Roman" w:cs="Times New Roman" w:eastAsia="Times New Roman" w:hAnsi="Times New Roman"/>
          <w:sz w:val="20"/>
          <w:szCs w:val="20"/>
          <w:color w:val="auto"/>
        </w:rPr>
        <w:t>”), the Employee Retirement Income Security Act of 1974, as amended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Age Discrimination in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and any similar or analogous state statute, excepting only: (A) rights of the Executive arising under, or preserved by, this Agreement (including with respect to the Equity Awards described in Section 4 of this Agreement); (B) the right of the Executive to receive COBRA continuation coverage in accordance with applicable law; (C) claims for benefits under any health, disability, retirement, life insurance or other, similar employee benefit plan (within the meaning of Section 3(3) of ERISA) of the Company Affiliated Group; and (D) rights to advancement and/or indemnification the Executive has or may have under the limited liability company agreement or similar organizing documents of any member of the Company Affiliated Group or as an insured under any director’s and officer’s liability insurance policy now or previously in force.</w:t>
      </w:r>
    </w:p>
    <w:p>
      <w:pPr>
        <w:spacing w:after="0" w:line="232" w:lineRule="exact"/>
        <w:rPr>
          <w:sz w:val="20"/>
          <w:szCs w:val="20"/>
          <w:color w:val="auto"/>
        </w:rPr>
      </w:pPr>
    </w:p>
    <w:p>
      <w:pPr>
        <w:jc w:val="both"/>
        <w:ind w:firstLine="656"/>
        <w:spacing w:after="0" w:line="254" w:lineRule="auto"/>
        <w:tabs>
          <w:tab w:leader="none" w:pos="12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this Agreement is not to be construed in any way as an admission of any liability whatsoever by any Company Released Party, any such liability being expressly denied. This Section 5 applies to any relief no matter how called, including, without limitation, wages, back pay, front pay, compensatory damages, liquidated damages, punitive damages, damages for pain or suffering, costs, and attorneys’ fees and expenses.</w:t>
      </w:r>
    </w:p>
    <w:p>
      <w:pPr>
        <w:spacing w:after="0" w:line="214"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 specifically acknowledges that the Executive’s acceptance of the terms of this Agreement, including this Section 5 is, among other things, a specific waiver of the Executive’s rights, claims and causes of action under Title VII, ADEA, ADA and any state or local law or regulation in respect of discrimination of any kind;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nothing herein shall be deemed, nor does anything contained herein purport, to be a waiver of any right or claim or cause of action which by law the Executive is not permitted to waive.</w:t>
      </w:r>
    </w:p>
    <w:p>
      <w:pPr>
        <w:spacing w:after="0" w:line="21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the Executive has been given a period of twenty-one (21) days to consider whether to execute this Agreement. If the Executive accepts the terms hereof and executes this Agreement, the Executive may thereafter, for a period of seven (7) days following (and not including) the date of execution, revoke this Agreement. If no such revocation occurs, this Agreement shall become irrevocable in its entirety, and binding and enforceable against the Executive, on the day next following the day on which the foregoing seven-day period has elapsed (the date this release becomes effective,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the Executive has been advised to seek, and has had the opportunity to seek, the advice and assistance of an attorney with regard to this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Agreement, including this Section 5, and has been given a sufficient period within which to consider this Agreement.</w:t>
      </w:r>
    </w:p>
    <w:p>
      <w:pPr>
        <w:spacing w:after="0" w:line="256" w:lineRule="exact"/>
        <w:rPr>
          <w:sz w:val="20"/>
          <w:szCs w:val="20"/>
          <w:color w:val="auto"/>
        </w:rPr>
      </w:pPr>
    </w:p>
    <w:p>
      <w:pPr>
        <w:jc w:val="both"/>
        <w:ind w:firstLine="656"/>
        <w:spacing w:after="0" w:line="261" w:lineRule="auto"/>
        <w:tabs>
          <w:tab w:leader="none" w:pos="12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the payments and benefits the Executive is receiving in connection with this Agreement and the Executive’s obligations under this Agreement are in addition to anything of value to which the Executive is entitled from the Company.</w:t>
      </w:r>
    </w:p>
    <w:p>
      <w:pPr>
        <w:spacing w:after="0" w:line="194"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enforce at any time any of the provisions of this Agreement or to require at any time performance by another party of any of the provisions hereof shall in no way be construed to be a waiver of such provisions or to affect the validity of this Section 5, or any part hereof, or the right of any party thereafter to enforce each and every such provision in accordance with the terms of this Agreement.</w:t>
      </w:r>
    </w:p>
    <w:p>
      <w:pPr>
        <w:spacing w:after="0" w:line="21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 shall reaffirm the release set forth in this Section 5 by executing a reaffirmation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within five (5) businesss days after the Separation Date. The Executive further acknowledges that if he signs the Reaffirmation, it will be voluntary without any duress or compulsion by the Company. If the Executive so executes the Reaffirmation, he may thereafter, for a period of seven (7) days following (and not including) the date of execution, revoke the Reaffirmation. If no such revocation occurs, the Reaffirmation shall become irrevocable in its entirety, and binding and enforceable against the Executive, on the day next following the day on which the foregoing seven-day period has elapsed. If such a revocation occurs, all payments, benefits or other rights under this Agreement that are subject to the Final Release Effective Date occurring shall terminate and be of no further force and effect, and the Executive shall irrevocably forfeit all such payments, benefits or other rights, but the remainder of this Agreement shall continue in full force. The date that the Reaffirmation becomes effective and no longer subject to revocation is herein referred to as the “</w:t>
      </w:r>
      <w:r>
        <w:rPr>
          <w:rFonts w:ascii="Times New Roman" w:cs="Times New Roman" w:eastAsia="Times New Roman" w:hAnsi="Times New Roman"/>
          <w:sz w:val="20"/>
          <w:szCs w:val="20"/>
          <w:u w:val="single" w:color="auto"/>
          <w:color w:val="auto"/>
        </w:rPr>
        <w:t>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Release Effective Date.</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656"/>
        <w:spacing w:after="0" w:line="250"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The Executive acknowledges and confirms the covenants contained in, or incorporated by reference into, the Equity Agreements, including any covenants and the provisions in the Equity Agreements related to the interpretation and enforcement thereof, which will survive the termination of the Equity Agreements and the Executive’s termination of employment and are incorporated into this Agreement by reference as if such sections were set forth directly in this Agreement. In the event the Executive is seeking an employment opportunity during a restriction period set forth in a covenant in, or incorporated by reference into, the Equity Agreements, the Executive may request in writing (via email) an opinion from the Company, through the Company’s General Counsel and Head of Human Resources, whether the Company believes such employment opportunity violates said covenant, and the Company shall respond in writing within ten (10) calendar days of such written request. Any such response shall be limited to the specific opportunity presented and shall not apply to any other opportunity or constitute a waiver of the Company’s rights or the Executive’s obligations under any such covenant.</w:t>
      </w:r>
    </w:p>
    <w:p>
      <w:pPr>
        <w:spacing w:after="0" w:line="22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Following the Separation Date, the Executive shall promptly return to the Company all documents, records, files and other information and property belonging or relating to the Company, its affiliates, customers, clients or employees (which for clarity, does not include Executive’s employment agreement, Equity Agreements, compensation and/or benefits information). The Executive acknowledges that all such materials are, and will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98" w:name="page99"/>
    <w:bookmarkEnd w:id="98"/>
    <w:p>
      <w:pPr>
        <w:spacing w:after="0" w:line="258" w:lineRule="auto"/>
        <w:rPr>
          <w:sz w:val="20"/>
          <w:szCs w:val="20"/>
          <w:color w:val="auto"/>
        </w:rPr>
      </w:pPr>
      <w:r>
        <w:rPr>
          <w:rFonts w:ascii="Times New Roman" w:cs="Times New Roman" w:eastAsia="Times New Roman" w:hAnsi="Times New Roman"/>
          <w:sz w:val="20"/>
          <w:szCs w:val="20"/>
          <w:color w:val="auto"/>
        </w:rPr>
        <w:t>remain, the exclusive property of the Company, and the Executive may not retain originals or copies of such materials without the express written approval of the Company.</w:t>
      </w:r>
    </w:p>
    <w:p>
      <w:pPr>
        <w:jc w:val="both"/>
        <w:ind w:firstLine="656"/>
        <w:spacing w:after="0" w:line="249" w:lineRule="auto"/>
        <w:tabs>
          <w:tab w:leader="none" w:pos="129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one or more of the provisions of this Agreement are held to be invalid, illegal or unenforceable, the validity, legality and enforceability of the remainder of this Agreement shall not in any way be affected or impaired thereby.</w:t>
      </w:r>
    </w:p>
    <w:p>
      <w:pPr>
        <w:spacing w:after="0" w:line="220"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by either party of any breach by the other party of any condition or provision of this Agreement to be performed by such other party shall be deemed a waiver of any other provision or condition at the time or at any prior or subsequent time.</w:t>
      </w:r>
    </w:p>
    <w:p>
      <w:pPr>
        <w:spacing w:after="0" w:line="173"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enforced in accordance with the laws of the State of New York, without reference to its choice of law rules.</w:t>
      </w:r>
    </w:p>
    <w:p>
      <w:pPr>
        <w:spacing w:after="0" w:line="173" w:lineRule="exact"/>
        <w:rPr>
          <w:rFonts w:ascii="Times New Roman" w:cs="Times New Roman" w:eastAsia="Times New Roman" w:hAnsi="Times New Roman"/>
          <w:sz w:val="20"/>
          <w:szCs w:val="20"/>
          <w:color w:val="auto"/>
        </w:rPr>
      </w:pPr>
    </w:p>
    <w:p>
      <w:pPr>
        <w:jc w:val="both"/>
        <w:ind w:firstLine="656"/>
        <w:spacing w:after="0" w:line="268" w:lineRule="auto"/>
        <w:tabs>
          <w:tab w:leader="none" w:pos="127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deduct or withhold, or require the Executive to remit to the Company, at least the minimum statutory amount to satisfy federal, state or local taxes required by law or regulation to be withheld with respect to any benefit provided hereunder.</w:t>
      </w:r>
    </w:p>
    <w:p>
      <w:pPr>
        <w:spacing w:after="0" w:line="18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shall constitute the entire agreement and understanding of the Parties with respect to the subject matter herein and supersedes all prior agreements, arrangements and understandings, written or oral, between the parties with respect to the subject matter herein. The Executive acknowledges and agrees that Executive is not relying on any representations or promises by any representative of the Company concerning the meaning of any aspect of this Agreement. This Agreement may not be altered or modified other than in a writing signed by the Executive and an authorized representative of the Company.</w:t>
      </w:r>
    </w:p>
    <w:p>
      <w:pPr>
        <w:spacing w:after="0" w:line="19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otherwise provided herein, all notices, requests, demands, claims and other communications provided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 the terms of this Agreement shall be in writing. Any notice, request, demand, claim or other communication hereunder shall be sent by</w:t>
      </w:r>
    </w:p>
    <w:p>
      <w:pPr>
        <w:spacing w:after="0" w:line="18" w:lineRule="exact"/>
        <w:rPr>
          <w:sz w:val="20"/>
          <w:szCs w:val="20"/>
          <w:color w:val="auto"/>
        </w:rPr>
      </w:pPr>
    </w:p>
    <w:p>
      <w:pPr>
        <w:jc w:val="both"/>
        <w:ind w:firstLine="8"/>
        <w:spacing w:after="0" w:line="249" w:lineRule="auto"/>
        <w:tabs>
          <w:tab w:leader="none" w:pos="28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delivery (including receipted courier service) or overnight delivery service, with confirmation of receipt, (ii) e-mail, (iii) reputable commercial overnight delivery service courier, with confirmation of receipt or (iv) registered or certified mail, return receipt requested, postage prepaid and addressed to the intended recipient as set forth below:</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Tradeweb Markets LLC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1177 Avenue of the Americas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Douglas Friedman, General Counsel</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Douglas.Friedman@tradeweb.com</w:t>
      </w:r>
    </w:p>
    <w:p>
      <w:pPr>
        <w:spacing w:after="0" w:line="227"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0"/>
          <w:szCs w:val="20"/>
          <w:color w:val="auto"/>
        </w:rPr>
        <w:t>If to the Executive:</w:t>
      </w:r>
      <w:r>
        <w:rPr>
          <w:sz w:val="20"/>
          <w:szCs w:val="20"/>
          <w:color w:val="auto"/>
        </w:rPr>
        <w:tab/>
      </w:r>
      <w:r>
        <w:rPr>
          <w:rFonts w:ascii="Times New Roman" w:cs="Times New Roman" w:eastAsia="Times New Roman" w:hAnsi="Times New Roman"/>
          <w:sz w:val="19"/>
          <w:szCs w:val="19"/>
          <w:color w:val="auto"/>
        </w:rPr>
        <w:t>At the Executive’s last address on file with the Company.</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notice is mailed, such notice shall be effective upon mailing, or if notice is personally delivered or sent by telecopy or other electronic facsimile transmission, it shall be effective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56"/>
        <w:spacing w:after="0" w:line="261" w:lineRule="auto"/>
        <w:tabs>
          <w:tab w:leader="none" w:pos="128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is intended to bind and inure to the benefit of and be enforceable by the Executive, the Company and their respective heirs, successors and assigns, except that the Executive may not assign the Executive’s rights or delegate the Executive’s obligations hereunder without the prior written consent of the Company.</w:t>
      </w:r>
    </w:p>
    <w:p>
      <w:pPr>
        <w:spacing w:after="0" w:line="208"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but all of which together shall constitute one and the same instrument.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day, month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TRADEWEB MARKETS LLC</w:t>
      </w:r>
    </w:p>
    <w:p>
      <w:pPr>
        <w:spacing w:after="0" w:line="243" w:lineRule="exact"/>
        <w:rPr>
          <w:sz w:val="20"/>
          <w:szCs w:val="20"/>
          <w:color w:val="auto"/>
        </w:rPr>
      </w:pPr>
    </w:p>
    <w:p>
      <w:pPr>
        <w:jc w:val="right"/>
        <w:ind w:right="4020"/>
        <w:spacing w:after="0"/>
        <w:tabs>
          <w:tab w:leader="none" w:pos="5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-10795</wp:posOffset>
            </wp:positionV>
            <wp:extent cx="12071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8" w:lineRule="exact"/>
        <w:rPr>
          <w:sz w:val="20"/>
          <w:szCs w:val="20"/>
          <w:color w:val="auto"/>
        </w:rPr>
      </w:pPr>
    </w:p>
    <w:p>
      <w:pPr>
        <w:jc w:val="right"/>
        <w:ind w:right="3960"/>
        <w:spacing w:after="0"/>
        <w:rPr>
          <w:sz w:val="20"/>
          <w:szCs w:val="20"/>
          <w:color w:val="auto"/>
        </w:rPr>
      </w:pPr>
      <w:r>
        <w:rPr>
          <w:rFonts w:ascii="Times New Roman" w:cs="Times New Roman" w:eastAsia="Times New Roman" w:hAnsi="Times New Roman"/>
          <w:sz w:val="20"/>
          <w:szCs w:val="20"/>
          <w:color w:val="auto"/>
        </w:rPr>
        <w:t>Name: Douglas Friedman</w:t>
      </w:r>
    </w:p>
    <w:p>
      <w:pPr>
        <w:spacing w:after="0" w:line="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EXECUTIVE</w:t>
      </w:r>
    </w:p>
    <w:p>
      <w:pPr>
        <w:spacing w:after="0" w:line="2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/s/ Thomas Pluta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-10795</wp:posOffset>
            </wp:positionV>
            <wp:extent cx="970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Thomas Pluta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Separation Agreement and Release</w:t>
      </w:r>
      <w:r>
        <w:rPr>
          <w:rFonts w:ascii="Times New Roman" w:cs="Times New Roman" w:eastAsia="Times New Roman" w:hAnsi="Times New Roman"/>
          <w:sz w:val="20"/>
          <w:szCs w:val="20"/>
          <w:color w:val="auto"/>
        </w:rPr>
        <w:t>]</w:t>
      </w:r>
    </w:p>
    <w:p>
      <w:pPr>
        <w:sectPr>
          <w:pgSz w:w="11900" w:h="16838" w:orient="portrait"/>
          <w:cols w:equalWidth="0" w:num="1">
            <w:col w:w="10720"/>
          </w:cols>
          <w:pgMar w:left="340" w:top="1422" w:right="8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Reaffirmation</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Reference is hereby made to the Separation Agreement and Release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between the undersigned and Tradeweb Markets LLC, dated as of June 17, 2024, which Agreement contemplates the execution by the undersigned of this Reaffirmation (this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It is acknowledged and agreed that this Reaffirmation will be part of and subject to the terms of the Agreement, and capitalized terms in this Reaffirmation will be as defined in the Agreement unless otherwise defined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states, affirms, and agrees as follows:</w:t>
      </w:r>
    </w:p>
    <w:p>
      <w:pPr>
        <w:spacing w:after="0" w:line="216"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claims in Section 5 of the Agreement is hereby reaffirmed in full as if fully set forth herein.</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of this Reaffirmation is without any admission of liability by the Company.</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acknowledges that he has seven (7) days to revoke this Reaffirmation, and that he has had at least twenty-one (21) days to review and consider this Reaffirmation and its terms, including all rights and obligations created by the Agreement. If no such revocation occurs, this Reaffirmation shall become irrevocable in its entirety, and binding and enforceable against the undersigned, on the day next following the day on which the foregoing seven-day period has elapsed.</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considered and understands the terms of this Reaffirmation, the consideration he will receive if he enters into this Reaffirmation and does not revoke it, and what rights and benefits he is giving up, up to and including the date he signs, including his rights under the ADEA. The undersigned has hereby been advised to consult an attorney about the contents and meaning of this Reaffirmation, and has had the opportunity to do so to his satisfaction. The undersigned acknowledges and agrees that he knowingly and voluntarily has entered into this Reaffirmation agreement with complete understanding of all relevant facts, and that he was neither fraudulently induced nor coerced to enter into this Reaffirmation.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Thomas Pluta</w:t>
      </w:r>
    </w:p>
    <w:p>
      <w:pPr>
        <w:spacing w:after="0" w:line="200"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________________________</w:t>
      </w:r>
    </w:p>
    <w:p>
      <w:pPr>
        <w:sectPr>
          <w:pgSz w:w="11900" w:h="16838" w:orient="portrait"/>
          <w:cols w:equalWidth="0" w:num="1">
            <w:col w:w="11240"/>
          </w:cols>
          <w:pgMar w:left="320" w:top="140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2024,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2024,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endash "/>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1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lowerRoman"/>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3"/>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2"/>
    </w:lvl>
  </w:abstractNum>
  <w:abstractNum w:abstractNumId="38">
    <w:nsid w:val="180115BE"/>
    <w:multiLevelType w:val="hybridMultilevel"/>
    <w:lvl w:ilvl="0">
      <w:lvlJc w:val="left"/>
      <w:lvlText w:val="%1"/>
      <w:numFmt w:val="lowerLetter"/>
      <w:start w:val="1"/>
    </w:lvl>
    <w:lvl w:ilvl="1">
      <w:lvlJc w:val="left"/>
      <w:lvlText w:val="%2."/>
      <w:numFmt w:val="decimal"/>
      <w:start w:val="3"/>
    </w:lvl>
  </w:abstractNum>
  <w:abstractNum w:abstractNumId="39">
    <w:nsid w:val="235BA861"/>
    <w:multiLevelType w:val="hybridMultilevel"/>
    <w:lvl w:ilvl="0">
      <w:lvlJc w:val="left"/>
      <w:lvlText w:val="(%1)"/>
      <w:numFmt w:val="lowerLetter"/>
      <w:start w:val="1"/>
    </w:lvl>
    <w:lvl w:ilvl="1">
      <w:lvlJc w:val="left"/>
      <w:lvlText w:val="%2"/>
      <w:numFmt w:val="decimal"/>
      <w:start w:val="1"/>
    </w:lvl>
  </w:abstractNum>
  <w:abstractNum w:abstractNumId="40">
    <w:nsid w:val="47398C89"/>
    <w:multiLevelType w:val="hybridMultilevel"/>
    <w:lvl w:ilvl="0">
      <w:lvlJc w:val="left"/>
      <w:lvlText w:val="(%1)"/>
      <w:numFmt w:val="lowerLetter"/>
      <w:start w:val="2"/>
    </w:lvl>
  </w:abstractNum>
  <w:abstractNum w:abstractNumId="41">
    <w:nsid w:val="354FE9F9"/>
    <w:multiLevelType w:val="hybridMultilevel"/>
    <w:lvl w:ilvl="0">
      <w:lvlJc w:val="left"/>
      <w:lvlText w:val="%1."/>
      <w:numFmt w:val="decimal"/>
      <w:start w:val="4"/>
    </w:lvl>
  </w:abstractNum>
  <w:abstractNum w:abstractNumId="42">
    <w:nsid w:val="15B5AF5C"/>
    <w:multiLevelType w:val="hybridMultilevel"/>
    <w:lvl w:ilvl="0">
      <w:lvlJc w:val="left"/>
      <w:lvlText w:val="%1"/>
      <w:numFmt w:val="lowerLetter"/>
      <w:start w:val="1"/>
    </w:lvl>
    <w:lvl w:ilvl="1">
      <w:lvlJc w:val="left"/>
      <w:lvlText w:val="%2."/>
      <w:numFmt w:val="decimal"/>
      <w:start w:val="5"/>
    </w:lvl>
  </w:abstractNum>
  <w:abstractNum w:abstractNumId="43">
    <w:nsid w:val="741226BB"/>
    <w:multiLevelType w:val="hybridMultilevel"/>
    <w:lvl w:ilvl="0">
      <w:lvlJc w:val="left"/>
      <w:lvlText w:val="(%1)"/>
      <w:numFmt w:val="lowerLetter"/>
      <w:start w:val="1"/>
    </w:lvl>
    <w:lvl w:ilvl="1">
      <w:lvlJc w:val="left"/>
      <w:lvlText w:val="%2."/>
      <w:numFmt w:val="decimal"/>
      <w:start w:val="6"/>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3"/>
    </w:lvl>
    <w:lvl w:ilvl="1">
      <w:lvlJc w:val="left"/>
      <w:lvlText w:val="%2."/>
      <w:numFmt w:val="decimal"/>
      <w:start w:val="7"/>
    </w:lvl>
  </w:abstractNum>
  <w:abstractNum w:abstractNumId="46">
    <w:nsid w:val="3F6AB60F"/>
    <w:multiLevelType w:val="hybridMultilevel"/>
    <w:lvl w:ilvl="0">
      <w:lvlJc w:val="left"/>
      <w:lvlText w:val="%1."/>
      <w:numFmt w:val="decimal"/>
      <w:start w:val="8"/>
    </w:lvl>
  </w:abstractNum>
  <w:abstractNum w:abstractNumId="47">
    <w:nsid w:val="61574095"/>
    <w:multiLevelType w:val="hybridMultilevel"/>
    <w:lvl w:ilvl="0">
      <w:lvlJc w:val="left"/>
      <w:lvlText w:val="%1."/>
      <w:numFmt w:val="decimal"/>
      <w:start w:val="9"/>
    </w:lvl>
  </w:abstractNum>
  <w:abstractNum w:abstractNumId="48">
    <w:nsid w:val="7E0C57B1"/>
    <w:multiLevelType w:val="hybridMultilevel"/>
    <w:lvl w:ilvl="0">
      <w:lvlJc w:val="left"/>
      <w:lvlText w:val="%1."/>
      <w:numFmt w:val="decimal"/>
      <w:start w:val="10"/>
    </w:lvl>
  </w:abstractNum>
  <w:abstractNum w:abstractNumId="49">
    <w:nsid w:val="77AE35EB"/>
    <w:multiLevelType w:val="hybridMultilevel"/>
    <w:lvl w:ilvl="0">
      <w:lvlJc w:val="left"/>
      <w:lvlText w:val="%1."/>
      <w:numFmt w:val="decimal"/>
      <w:start w:val="11"/>
    </w:lvl>
  </w:abstractNum>
  <w:abstractNum w:abstractNumId="50">
    <w:nsid w:val="579BE4F1"/>
    <w:multiLevelType w:val="hybridMultilevel"/>
    <w:lvl w:ilvl="0">
      <w:lvlJc w:val="left"/>
      <w:lvlText w:val="(%1)"/>
      <w:numFmt w:val="lowerRoman"/>
      <w:start w:val="1"/>
    </w:lvl>
  </w:abstractNum>
  <w:abstractNum w:abstractNumId="51">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52">
    <w:nsid w:val="5FF87E0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3">
    <w:nsid w:val="2F305DEF"/>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54">
    <w:nsid w:val="25A70BF7"/>
    <w:multiLevelType w:val="hybridMultilevel"/>
    <w:lvl w:ilvl="0">
      <w:lvlJc w:val="left"/>
      <w:lvlText w:val="%1."/>
      <w:numFmt w:val="decimal"/>
      <w:start w:val="14"/>
    </w:lvl>
  </w:abstractNum>
  <w:abstractNum w:abstractNumId="55">
    <w:nsid w:val="1DBABF00"/>
    <w:multiLevelType w:val="hybridMultilevel"/>
    <w:lvl w:ilvl="0">
      <w:lvlJc w:val="left"/>
      <w:lvlText w:val="%1."/>
      <w:numFmt w:val="decimal"/>
      <w:start w:val="15"/>
    </w:lvl>
  </w:abstractNum>
  <w:abstractNum w:abstractNumId="56">
    <w:nsid w:val="4AD084E9"/>
    <w:multiLevelType w:val="hybridMultilevel"/>
    <w:lvl w:ilvl="0">
      <w:lvlJc w:val="left"/>
      <w:lvlText w:val="%1."/>
      <w:numFmt w:val="decimal"/>
      <w:start w:val="16"/>
    </w:lvl>
  </w:abstractNum>
  <w:abstractNum w:abstractNumId="57">
    <w:nsid w:val="1F48EAA1"/>
    <w:multiLevelType w:val="hybridMultilevel"/>
    <w:lvl w:ilvl="0">
      <w:lvlJc w:val="left"/>
      <w:lvlText w:val="%1."/>
      <w:numFmt w:val="decimal"/>
      <w:start w:val="17"/>
    </w:lvl>
  </w:abstractNum>
  <w:abstractNum w:abstractNumId="58">
    <w:nsid w:val="1381823A"/>
    <w:multiLevelType w:val="hybridMultilevel"/>
    <w:lvl w:ilvl="0">
      <w:lvlJc w:val="left"/>
      <w:lvlText w:val="%1."/>
      <w:numFmt w:val="decimal"/>
      <w:start w:val="18"/>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lowerLetter"/>
      <w:start w:val="1"/>
    </w:lvl>
    <w:lvl w:ilvl="1">
      <w:lvlJc w:val="left"/>
      <w:lvlText w:val="(%2)"/>
      <w:numFmt w:val="lowerRoman"/>
      <w:start w:val="1"/>
    </w:lvl>
  </w:abstractNum>
  <w:abstractNum w:abstractNumId="61">
    <w:nsid w:val="6590700B"/>
    <w:multiLevelType w:val="hybridMultilevel"/>
    <w:lvl w:ilvl="0">
      <w:lvlJc w:val="left"/>
      <w:lvlText w:val="%1"/>
      <w:numFmt w:val="decimal"/>
      <w:start w:val="1"/>
    </w:lvl>
    <w:lvl w:ilvl="1">
      <w:lvlJc w:val="left"/>
      <w:lvlText w:val="(%2)"/>
      <w:numFmt w:val="lowerRoman"/>
      <w:start w:val="3"/>
    </w:lvl>
  </w:abstractNum>
  <w:abstractNum w:abstractNumId="62">
    <w:nsid w:val="15014ACB"/>
    <w:multiLevelType w:val="hybridMultilevel"/>
    <w:lvl w:ilvl="0">
      <w:lvlJc w:val="left"/>
      <w:lvlText w:val="%1."/>
      <w:numFmt w:val="decimal"/>
      <w:start w:val="4"/>
    </w:lvl>
    <w:lvl w:ilvl="1">
      <w:lvlJc w:val="left"/>
      <w:lvlText w:val="%2"/>
      <w:numFmt w:val="lowerRoman"/>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2"/>
    </w:lvl>
  </w:abstractNum>
  <w:abstractNum w:abstractNumId="66">
    <w:nsid w:val="6B94764"/>
    <w:multiLevelType w:val="hybridMultilevel"/>
    <w:lvl w:ilvl="0">
      <w:lvlJc w:val="left"/>
      <w:lvlText w:val="(%1)"/>
      <w:numFmt w:val="lowerLetter"/>
      <w:start w:val="6"/>
    </w:lvl>
  </w:abstractNum>
  <w:abstractNum w:abstractNumId="67">
    <w:nsid w:val="42C296BD"/>
    <w:multiLevelType w:val="hybridMultilevel"/>
    <w:lvl w:ilvl="0">
      <w:lvlJc w:val="left"/>
      <w:lvlText w:val="%1."/>
      <w:numFmt w:val="decimal"/>
      <w:start w:val="6"/>
    </w:lvl>
  </w:abstractNum>
  <w:abstractNum w:abstractNumId="68">
    <w:nsid w:val="168E121F"/>
    <w:multiLevelType w:val="hybridMultilevel"/>
    <w:lvl w:ilvl="0">
      <w:lvlJc w:val="left"/>
      <w:lvlText w:val="%1."/>
      <w:numFmt w:val="decimal"/>
      <w:start w:val="8"/>
    </w:lvl>
  </w:abstractNum>
  <w:abstractNum w:abstractNumId="69">
    <w:nsid w:val="1EBA5D23"/>
    <w:multiLevelType w:val="hybridMultilevel"/>
    <w:lvl w:ilvl="0">
      <w:lvlJc w:val="left"/>
      <w:lvlText w:val="(%1)"/>
      <w:numFmt w:val="lowerRoman"/>
      <w:start w:val="1"/>
    </w:lvl>
  </w:abstractNum>
  <w:abstractNum w:abstractNumId="70">
    <w:nsid w:val="661E3F1E"/>
    <w:multiLevelType w:val="hybridMultilevel"/>
    <w:lvl w:ilvl="0">
      <w:lvlJc w:val="left"/>
      <w:lvlText w:val="%1."/>
      <w:numFmt w:val="decimal"/>
      <w:start w:val="14"/>
    </w:lvl>
  </w:abstractNum>
  <w:abstractNum w:abstractNumId="71">
    <w:nsid w:val="5DC79EA8"/>
    <w:multiLevelType w:val="hybridMultilevel"/>
    <w:lvl w:ilvl="0">
      <w:lvlJc w:val="left"/>
      <w:lvlText w:val="%1."/>
      <w:numFmt w:val="upp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12" Type="http://schemas.openxmlformats.org/officeDocument/2006/relationships/hyperlink" Target="https://www.sec.gov/Archives/edgar/data/1758730/000119312524089086/d81121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2024-07-25T06:11:51Z</dcterms:created>
  <dcterms:modified xsi:type="dcterms:W3CDTF">2024-07-25T06:11:51Z</dcterms:modified>
</cp:coreProperties>
</file>