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3, 2022</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47"/>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r>
      <w:tr>
        <w:trPr>
          <w:trHeight w:val="203"/>
        </w:trPr>
        <w:tc>
          <w:tcPr>
            <w:tcW w:w="4080" w:type="dxa"/>
            <w:vAlign w:val="bottom"/>
          </w:tcPr>
          <w:p>
            <w:pPr>
              <w:jc w:val="center"/>
              <w:ind w:right="2050"/>
              <w:spacing w:after="0" w:line="203"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3"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3" w:lineRule="exact"/>
              <w:rPr>
                <w:sz w:val="20"/>
                <w:szCs w:val="20"/>
                <w:color w:val="auto"/>
              </w:rPr>
            </w:pPr>
            <w:r>
              <w:rPr>
                <w:rFonts w:ascii="Arial" w:cs="Arial" w:eastAsia="Arial" w:hAnsi="Arial"/>
                <w:sz w:val="18"/>
                <w:szCs w:val="18"/>
                <w:color w:val="auto"/>
                <w:w w:val="93"/>
              </w:rPr>
              <w:t>(I.R.S. Employer</w:t>
            </w:r>
          </w:p>
        </w:tc>
      </w:tr>
      <w:tr>
        <w:trPr>
          <w:trHeight w:val="243"/>
        </w:trPr>
        <w:tc>
          <w:tcPr>
            <w:tcW w:w="408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23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4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1"/>
                <w:szCs w:val="21"/>
                <w:color w:val="auto"/>
              </w:rPr>
            </w:pP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10036</w:t>
            </w: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5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30"/>
        </w:trPr>
        <w:tc>
          <w:tcPr>
            <w:tcW w:w="4560" w:type="dxa"/>
            <w:vAlign w:val="bottom"/>
            <w:gridSpan w:val="2"/>
            <w:vMerge w:val="continue"/>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8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February 3, 2022, Tradeweb Markets Inc. (the “Company”) issued a press release, a copy of which is furnished as Exhibit 99.1 hereto and incorporated herein by reference, announcing financial results for the quarter and full year ended December 31, 2021.</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700" w:type="dxa"/>
            <w:vAlign w:val="bottom"/>
            <w:tcBorders>
              <w:top w:val="single" w:sz="8" w:color="auto"/>
              <w:bottom w:val="single" w:sz="8" w:color="0000FF"/>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of Tradeweb Markets Inc., dated February 3, 2022.</w:t>
              </w:r>
            </w:hyperlink>
          </w:p>
        </w:tc>
        <w:tc>
          <w:tcPr>
            <w:tcW w:w="4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TRADEWEB MARKETS INC.</w:t>
            </w:r>
          </w:p>
        </w:tc>
      </w:tr>
      <w:tr>
        <w:trPr>
          <w:trHeight w:val="500"/>
        </w:trPr>
        <w:tc>
          <w:tcPr>
            <w:tcW w:w="4480" w:type="dxa"/>
            <w:vAlign w:val="bottom"/>
          </w:tcPr>
          <w:p>
            <w:pPr>
              <w:spacing w:after="0"/>
              <w:rPr>
                <w:sz w:val="20"/>
                <w:szCs w:val="20"/>
                <w:color w:val="auto"/>
              </w:rPr>
            </w:pPr>
            <w:r>
              <w:rPr>
                <w:rFonts w:ascii="Arial" w:cs="Arial" w:eastAsia="Arial" w:hAnsi="Arial"/>
                <w:sz w:val="18"/>
                <w:szCs w:val="18"/>
                <w:color w:val="auto"/>
              </w:rPr>
              <w:t>Date: February 3, 2022</w:t>
            </w: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By:   /s/ Douglas Friedman</w:t>
            </w:r>
          </w:p>
        </w:tc>
      </w:tr>
      <w:tr>
        <w:trPr>
          <w:trHeight w:val="222"/>
        </w:trPr>
        <w:tc>
          <w:tcPr>
            <w:tcW w:w="4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Douglas Friedman</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1240"/>
          </w:cols>
          <w:pgMar w:left="320" w:top="1134"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FOURTH QUARTER AND FULL YEAR 2021 FINANCIAL RESULTS</w:t>
      </w:r>
    </w:p>
    <w:p>
      <w:pPr>
        <w:spacing w:after="0" w:line="224" w:lineRule="exact"/>
        <w:rPr>
          <w:sz w:val="20"/>
          <w:szCs w:val="20"/>
          <w:color w:val="auto"/>
        </w:rPr>
      </w:pPr>
    </w:p>
    <w:p>
      <w:pPr>
        <w:ind w:left="20" w:right="60"/>
        <w:spacing w:after="0" w:line="286" w:lineRule="auto"/>
        <w:rPr>
          <w:sz w:val="20"/>
          <w:szCs w:val="20"/>
          <w:color w:val="auto"/>
        </w:rPr>
      </w:pPr>
      <w:r>
        <w:rPr>
          <w:rFonts w:ascii="Arial" w:cs="Arial" w:eastAsia="Arial" w:hAnsi="Arial"/>
          <w:sz w:val="16"/>
          <w:szCs w:val="16"/>
          <w:b w:val="1"/>
          <w:bCs w:val="1"/>
          <w:color w:val="auto"/>
        </w:rPr>
        <w:t xml:space="preserve">New York, February 3, 2022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fourth quarter and full year ended December 31, 2021.</w:t>
      </w:r>
    </w:p>
    <w:p>
      <w:pPr>
        <w:sectPr>
          <w:pgSz w:w="11900" w:h="16838" w:orient="portrait"/>
          <w:cols w:equalWidth="0" w:num="1">
            <w:col w:w="10980"/>
          </w:cols>
          <w:pgMar w:left="320" w:top="283" w:right="599" w:bottom="1440" w:gutter="0" w:footer="0" w:header="0"/>
        </w:sectPr>
      </w:pPr>
    </w:p>
    <w:p>
      <w:pPr>
        <w:spacing w:after="0" w:line="102" w:lineRule="exact"/>
        <w:rPr>
          <w:sz w:val="20"/>
          <w:szCs w:val="20"/>
          <w:color w:val="auto"/>
        </w:rPr>
      </w:pPr>
    </w:p>
    <w:p>
      <w:pPr>
        <w:ind w:left="20" w:right="620"/>
        <w:spacing w:after="0" w:line="286" w:lineRule="auto"/>
        <w:rPr>
          <w:sz w:val="20"/>
          <w:szCs w:val="20"/>
          <w:color w:val="auto"/>
        </w:rPr>
      </w:pPr>
      <w:r>
        <w:rPr>
          <w:rFonts w:ascii="Arial" w:cs="Arial" w:eastAsia="Arial" w:hAnsi="Arial"/>
          <w:sz w:val="16"/>
          <w:szCs w:val="16"/>
          <w:b w:val="1"/>
          <w:bCs w:val="1"/>
          <w:color w:val="auto"/>
        </w:rPr>
        <w:t xml:space="preserve">$276.9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18.8% </w:t>
      </w:r>
      <w:r>
        <w:rPr>
          <w:rFonts w:ascii="Arial" w:cs="Arial" w:eastAsia="Arial" w:hAnsi="Arial"/>
          <w:sz w:val="16"/>
          <w:szCs w:val="16"/>
          <w:color w:val="auto"/>
        </w:rPr>
        <w:t>(</w:t>
      </w:r>
      <w:r>
        <w:rPr>
          <w:rFonts w:ascii="Arial" w:cs="Arial" w:eastAsia="Arial" w:hAnsi="Arial"/>
          <w:sz w:val="16"/>
          <w:szCs w:val="16"/>
          <w:b w:val="1"/>
          <w:bCs w:val="1"/>
          <w:color w:val="auto"/>
        </w:rPr>
        <w:t xml:space="preserve">19.9%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48" w:lineRule="exact"/>
        <w:rPr>
          <w:sz w:val="20"/>
          <w:szCs w:val="20"/>
          <w:color w:val="auto"/>
        </w:rPr>
      </w:pPr>
    </w:p>
    <w:p>
      <w:pPr>
        <w:ind w:left="20" w:right="60"/>
        <w:spacing w:after="0" w:line="256" w:lineRule="auto"/>
        <w:rPr>
          <w:sz w:val="20"/>
          <w:szCs w:val="20"/>
          <w:color w:val="auto"/>
        </w:rPr>
      </w:pPr>
      <w:r>
        <w:rPr>
          <w:rFonts w:ascii="Arial" w:cs="Arial" w:eastAsia="Arial" w:hAnsi="Arial"/>
          <w:sz w:val="16"/>
          <w:szCs w:val="16"/>
          <w:b w:val="1"/>
          <w:bCs w:val="1"/>
          <w:color w:val="auto"/>
        </w:rPr>
        <w:t xml:space="preserve">$1.1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24.1% </w:t>
      </w:r>
      <w:r>
        <w:rPr>
          <w:rFonts w:ascii="Arial" w:cs="Arial" w:eastAsia="Arial" w:hAnsi="Arial"/>
          <w:sz w:val="16"/>
          <w:szCs w:val="16"/>
          <w:color w:val="auto"/>
        </w:rPr>
        <w:t>compared to prior year period; quarterly ADV records in U.S. government bonds, U.S. High Yield credit and swaps/swaptions ≥ 1-year; Tradeweb's share of fully electronic TRACE volume for U.S. High Grade and U.S. High Yield for the quarter increased by +331 bps and +334 bps respectively compared to prior year period</w:t>
      </w:r>
    </w:p>
    <w:p>
      <w:pPr>
        <w:spacing w:after="0" w:line="72" w:lineRule="exact"/>
        <w:rPr>
          <w:sz w:val="20"/>
          <w:szCs w:val="20"/>
          <w:color w:val="auto"/>
        </w:rPr>
      </w:pPr>
    </w:p>
    <w:p>
      <w:pPr>
        <w:ind w:left="20" w:right="120"/>
        <w:spacing w:after="0" w:line="259" w:lineRule="auto"/>
        <w:rPr>
          <w:sz w:val="20"/>
          <w:szCs w:val="20"/>
          <w:color w:val="auto"/>
        </w:rPr>
      </w:pPr>
      <w:r>
        <w:rPr>
          <w:rFonts w:ascii="Arial" w:cs="Arial" w:eastAsia="Arial" w:hAnsi="Arial"/>
          <w:sz w:val="16"/>
          <w:szCs w:val="16"/>
          <w:b w:val="1"/>
          <w:bCs w:val="1"/>
          <w:color w:val="auto"/>
        </w:rPr>
        <w:t xml:space="preserve">$60.0 million </w:t>
      </w:r>
      <w:r>
        <w:rPr>
          <w:rFonts w:ascii="Arial" w:cs="Arial" w:eastAsia="Arial" w:hAnsi="Arial"/>
          <w:sz w:val="16"/>
          <w:szCs w:val="16"/>
          <w:color w:val="auto"/>
        </w:rPr>
        <w:t>net income for the quarter decreased by</w:t>
      </w:r>
      <w:r>
        <w:rPr>
          <w:rFonts w:ascii="Arial" w:cs="Arial" w:eastAsia="Arial" w:hAnsi="Arial"/>
          <w:sz w:val="16"/>
          <w:szCs w:val="16"/>
          <w:b w:val="1"/>
          <w:bCs w:val="1"/>
          <w:color w:val="auto"/>
        </w:rPr>
        <w:t xml:space="preserve"> 9.7% </w:t>
      </w:r>
      <w:r>
        <w:rPr>
          <w:rFonts w:ascii="Arial" w:cs="Arial" w:eastAsia="Arial" w:hAnsi="Arial"/>
          <w:sz w:val="16"/>
          <w:szCs w:val="16"/>
          <w:color w:val="auto"/>
        </w:rPr>
        <w:t>from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period due to higher tax expense, as state apportionment rate changes drove a reduction in deferred tax assets. </w:t>
      </w:r>
      <w:r>
        <w:rPr>
          <w:rFonts w:ascii="Arial" w:cs="Arial" w:eastAsia="Arial" w:hAnsi="Arial"/>
          <w:sz w:val="16"/>
          <w:szCs w:val="16"/>
          <w:b w:val="1"/>
          <w:bCs w:val="1"/>
          <w:color w:val="auto"/>
        </w:rPr>
        <w:t>$99.7 million</w:t>
      </w:r>
      <w:r>
        <w:rPr>
          <w:rFonts w:ascii="Arial" w:cs="Arial" w:eastAsia="Arial" w:hAnsi="Arial"/>
          <w:sz w:val="16"/>
          <w:szCs w:val="16"/>
          <w:color w:val="auto"/>
        </w:rPr>
        <w:t xml:space="preserve"> adjusted net income increased by </w:t>
      </w:r>
      <w:r>
        <w:rPr>
          <w:rFonts w:ascii="Arial" w:cs="Arial" w:eastAsia="Arial" w:hAnsi="Arial"/>
          <w:sz w:val="16"/>
          <w:szCs w:val="16"/>
          <w:b w:val="1"/>
          <w:bCs w:val="1"/>
          <w:color w:val="auto"/>
        </w:rPr>
        <w:t xml:space="preserve">23.9% </w:t>
      </w:r>
      <w:r>
        <w:rPr>
          <w:rFonts w:ascii="Arial" w:cs="Arial" w:eastAsia="Arial" w:hAnsi="Arial"/>
          <w:sz w:val="16"/>
          <w:szCs w:val="16"/>
          <w:color w:val="auto"/>
        </w:rPr>
        <w:t>from prior year period</w:t>
      </w:r>
    </w:p>
    <w:p>
      <w:pPr>
        <w:spacing w:after="0" w:line="70" w:lineRule="exact"/>
        <w:rPr>
          <w:sz w:val="20"/>
          <w:szCs w:val="20"/>
          <w:color w:val="auto"/>
        </w:rPr>
      </w:pPr>
    </w:p>
    <w:p>
      <w:pPr>
        <w:ind w:left="20" w:right="360"/>
        <w:spacing w:after="0" w:line="286" w:lineRule="auto"/>
        <w:rPr>
          <w:sz w:val="20"/>
          <w:szCs w:val="20"/>
          <w:color w:val="auto"/>
        </w:rPr>
      </w:pPr>
      <w:r>
        <w:rPr>
          <w:rFonts w:ascii="Arial" w:cs="Arial" w:eastAsia="Arial" w:hAnsi="Arial"/>
          <w:sz w:val="16"/>
          <w:szCs w:val="16"/>
          <w:b w:val="1"/>
          <w:bCs w:val="1"/>
          <w:color w:val="auto"/>
        </w:rPr>
        <w:t xml:space="preserve">50.6%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$140.1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49.2% or $114.6 million respectively in prior year period</w:t>
      </w:r>
    </w:p>
    <w:p>
      <w:pPr>
        <w:spacing w:after="0" w:line="34" w:lineRule="exact"/>
        <w:rPr>
          <w:sz w:val="20"/>
          <w:szCs w:val="20"/>
          <w:color w:val="auto"/>
        </w:rPr>
      </w:pPr>
    </w:p>
    <w:p>
      <w:pPr>
        <w:ind w:left="20" w:right="600"/>
        <w:spacing w:after="0" w:line="268" w:lineRule="auto"/>
        <w:rPr>
          <w:sz w:val="20"/>
          <w:szCs w:val="20"/>
          <w:color w:val="auto"/>
        </w:rPr>
      </w:pPr>
      <w:r>
        <w:rPr>
          <w:rFonts w:ascii="Arial" w:cs="Arial" w:eastAsia="Arial" w:hAnsi="Arial"/>
          <w:sz w:val="16"/>
          <w:szCs w:val="16"/>
          <w:b w:val="1"/>
          <w:bCs w:val="1"/>
          <w:color w:val="auto"/>
        </w:rPr>
        <w:t xml:space="preserve">$0.23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$0.42 </w:t>
      </w:r>
      <w:r>
        <w:rPr>
          <w:rFonts w:ascii="Arial" w:cs="Arial" w:eastAsia="Arial" w:hAnsi="Arial"/>
          <w:sz w:val="16"/>
          <w:szCs w:val="16"/>
          <w:color w:val="auto"/>
        </w:rPr>
        <w:t>adjusted diluted earnings per share for the quarter</w:t>
      </w:r>
    </w:p>
    <w:p>
      <w:pPr>
        <w:spacing w:after="0" w:line="62"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$12.0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 in the fourth quarter</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940" w:type="dxa"/>
            <w:vAlign w:val="bottom"/>
            <w:gridSpan w:val="2"/>
            <w:shd w:val="clear" w:color="auto" w:fill="083566"/>
          </w:tcPr>
          <w:p>
            <w:pPr>
              <w:ind w:left="120"/>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2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940" w:type="dxa"/>
            <w:vAlign w:val="bottom"/>
            <w:gridSpan w:val="2"/>
            <w:shd w:val="clear" w:color="auto" w:fill="083566"/>
          </w:tcPr>
          <w:p>
            <w:pPr>
              <w:ind w:left="100"/>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63"/>
        </w:trPr>
        <w:tc>
          <w:tcPr>
            <w:tcW w:w="18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2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4Q21</w:t>
            </w:r>
          </w:p>
        </w:tc>
        <w:tc>
          <w:tcPr>
            <w:tcW w:w="20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4Q20</w:t>
            </w:r>
          </w:p>
        </w:tc>
        <w:tc>
          <w:tcPr>
            <w:tcW w:w="90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ind w:left="100"/>
              <w:spacing w:after="0"/>
              <w:rPr>
                <w:sz w:val="20"/>
                <w:szCs w:val="20"/>
                <w:color w:val="auto"/>
              </w:rPr>
            </w:pPr>
            <w:r>
              <w:rPr>
                <w:rFonts w:ascii="Arial" w:cs="Arial" w:eastAsia="Arial" w:hAnsi="Arial"/>
                <w:sz w:val="16"/>
                <w:szCs w:val="16"/>
                <w:b w:val="1"/>
                <w:bCs w:val="1"/>
                <w:color w:val="FFFFFF"/>
              </w:rPr>
              <w:t xml:space="preserve">Growth </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14"/>
        </w:trPr>
        <w:tc>
          <w:tcPr>
            <w:tcW w:w="498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18"/>
                <w:szCs w:val="18"/>
                <w:color w:val="auto"/>
              </w:rPr>
            </w:pPr>
          </w:p>
        </w:tc>
        <w:tc>
          <w:tcPr>
            <w:tcW w:w="380" w:type="dxa"/>
            <w:vAlign w:val="bottom"/>
            <w:shd w:val="clear" w:color="auto" w:fill="08356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276,883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233,076</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18.8 %</w:t>
            </w:r>
          </w:p>
        </w:tc>
        <w:tc>
          <w:tcPr>
            <w:tcW w:w="560" w:type="dxa"/>
            <w:vAlign w:val="bottom"/>
          </w:tcPr>
          <w:p>
            <w:pPr>
              <w:jc w:val="right"/>
              <w:spacing w:after="0"/>
              <w:rPr>
                <w:sz w:val="20"/>
                <w:szCs w:val="20"/>
                <w:color w:val="auto"/>
              </w:rPr>
            </w:pPr>
            <w:r>
              <w:rPr>
                <w:rFonts w:ascii="Arial" w:cs="Arial" w:eastAsia="Arial" w:hAnsi="Arial"/>
                <w:sz w:val="16"/>
                <w:szCs w:val="16"/>
                <w:color w:val="auto"/>
              </w:rPr>
              <w:t>19.9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Rates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146,528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121,699</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20.4 %</w:t>
            </w:r>
          </w:p>
        </w:tc>
        <w:tc>
          <w:tcPr>
            <w:tcW w:w="560" w:type="dxa"/>
            <w:vAlign w:val="bottom"/>
          </w:tcPr>
          <w:p>
            <w:pPr>
              <w:jc w:val="right"/>
              <w:spacing w:after="0"/>
              <w:rPr>
                <w:sz w:val="20"/>
                <w:szCs w:val="20"/>
                <w:color w:val="auto"/>
              </w:rPr>
            </w:pPr>
            <w:r>
              <w:rPr>
                <w:rFonts w:ascii="Arial" w:cs="Arial" w:eastAsia="Arial" w:hAnsi="Arial"/>
                <w:sz w:val="16"/>
                <w:szCs w:val="16"/>
                <w:color w:val="auto"/>
              </w:rPr>
              <w:t>21.7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00" w:type="dxa"/>
            <w:vAlign w:val="bottom"/>
          </w:tcPr>
          <w:p>
            <w:pPr>
              <w:ind w:left="140"/>
              <w:spacing w:after="0"/>
              <w:rPr>
                <w:sz w:val="20"/>
                <w:szCs w:val="20"/>
                <w:color w:val="auto"/>
              </w:rPr>
            </w:pPr>
            <w:r>
              <w:rPr>
                <w:rFonts w:ascii="Arial" w:cs="Arial" w:eastAsia="Arial" w:hAnsi="Arial"/>
                <w:sz w:val="16"/>
                <w:szCs w:val="16"/>
                <w:color w:val="auto"/>
              </w:rPr>
              <w:t>Credit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73,614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59,255</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24.2 %</w:t>
            </w:r>
          </w:p>
        </w:tc>
        <w:tc>
          <w:tcPr>
            <w:tcW w:w="560" w:type="dxa"/>
            <w:vAlign w:val="bottom"/>
          </w:tcPr>
          <w:p>
            <w:pPr>
              <w:jc w:val="right"/>
              <w:spacing w:after="0"/>
              <w:rPr>
                <w:sz w:val="20"/>
                <w:szCs w:val="20"/>
                <w:color w:val="auto"/>
              </w:rPr>
            </w:pPr>
            <w:r>
              <w:rPr>
                <w:rFonts w:ascii="Arial" w:cs="Arial" w:eastAsia="Arial" w:hAnsi="Arial"/>
                <w:sz w:val="16"/>
                <w:szCs w:val="16"/>
                <w:color w:val="auto"/>
              </w:rPr>
              <w:t>25.1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18,361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15,011</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22.3 %</w:t>
            </w:r>
          </w:p>
        </w:tc>
        <w:tc>
          <w:tcPr>
            <w:tcW w:w="560" w:type="dxa"/>
            <w:vAlign w:val="bottom"/>
          </w:tcPr>
          <w:p>
            <w:pPr>
              <w:jc w:val="right"/>
              <w:spacing w:after="0"/>
              <w:rPr>
                <w:sz w:val="20"/>
                <w:szCs w:val="20"/>
                <w:color w:val="auto"/>
              </w:rPr>
            </w:pPr>
            <w:r>
              <w:rPr>
                <w:rFonts w:ascii="Arial" w:cs="Arial" w:eastAsia="Arial" w:hAnsi="Arial"/>
                <w:sz w:val="16"/>
                <w:szCs w:val="16"/>
                <w:color w:val="auto"/>
              </w:rPr>
              <w:t>25.4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10,915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10,382</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5.1 %</w:t>
            </w:r>
          </w:p>
        </w:tc>
        <w:tc>
          <w:tcPr>
            <w:tcW w:w="560" w:type="dxa"/>
            <w:vAlign w:val="bottom"/>
          </w:tcPr>
          <w:p>
            <w:pPr>
              <w:jc w:val="right"/>
              <w:spacing w:after="0"/>
              <w:rPr>
                <w:sz w:val="20"/>
                <w:szCs w:val="20"/>
                <w:color w:val="auto"/>
              </w:rPr>
            </w:pPr>
            <w:r>
              <w:rPr>
                <w:rFonts w:ascii="Arial" w:cs="Arial" w:eastAsia="Arial" w:hAnsi="Arial"/>
                <w:sz w:val="16"/>
                <w:szCs w:val="16"/>
                <w:color w:val="auto"/>
              </w:rPr>
              <w:t>5.9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80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21,648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20,864</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3.8 %</w:t>
            </w: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5,817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5,865</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(0.8) %</w:t>
            </w:r>
          </w:p>
        </w:tc>
        <w:tc>
          <w:tcPr>
            <w:tcW w:w="940" w:type="dxa"/>
            <w:vAlign w:val="bottom"/>
            <w:gridSpan w:val="2"/>
          </w:tcPr>
          <w:p>
            <w:pPr>
              <w:jc w:val="right"/>
              <w:ind w:right="99"/>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60,005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66,449</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(9.7)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800" w:type="dxa"/>
            <w:vAlign w:val="bottom"/>
          </w:tcPr>
          <w:p>
            <w:pPr>
              <w:ind w:left="20"/>
              <w:spacing w:after="0"/>
              <w:rPr>
                <w:sz w:val="20"/>
                <w:szCs w:val="20"/>
                <w:color w:val="auto"/>
              </w:rPr>
            </w:pPr>
            <w:r>
              <w:rPr>
                <w:rFonts w:ascii="Arial" w:cs="Arial" w:eastAsia="Arial" w:hAnsi="Arial"/>
                <w:sz w:val="16"/>
                <w:szCs w:val="16"/>
                <w:color w:val="auto"/>
              </w:rPr>
              <w:t>to Tradeweb Markets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48,890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55,060</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(11.2) %</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8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0.23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0.28</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(17.9) %</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0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140,088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114,576</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22.3 %</w:t>
            </w:r>
          </w:p>
        </w:tc>
        <w:tc>
          <w:tcPr>
            <w:tcW w:w="560" w:type="dxa"/>
            <w:vAlign w:val="bottom"/>
          </w:tcPr>
          <w:p>
            <w:pPr>
              <w:jc w:val="right"/>
              <w:spacing w:after="0"/>
              <w:rPr>
                <w:sz w:val="20"/>
                <w:szCs w:val="20"/>
                <w:color w:val="auto"/>
              </w:rPr>
            </w:pPr>
            <w:r>
              <w:rPr>
                <w:rFonts w:ascii="Arial" w:cs="Arial" w:eastAsia="Arial" w:hAnsi="Arial"/>
                <w:sz w:val="16"/>
                <w:szCs w:val="16"/>
                <w:color w:val="auto"/>
              </w:rPr>
              <w:t>23.1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18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50.6 %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49.2 %</w:t>
            </w:r>
          </w:p>
        </w:tc>
        <w:tc>
          <w:tcPr>
            <w:tcW w:w="900" w:type="dxa"/>
            <w:vAlign w:val="bottom"/>
          </w:tcPr>
          <w:p>
            <w:pPr>
              <w:jc w:val="right"/>
              <w:spacing w:after="0"/>
              <w:rPr>
                <w:sz w:val="20"/>
                <w:szCs w:val="20"/>
                <w:color w:val="auto"/>
              </w:rPr>
            </w:pPr>
            <w:r>
              <w:rPr>
                <w:rFonts w:ascii="Arial" w:cs="Arial" w:eastAsia="Arial" w:hAnsi="Arial"/>
                <w:sz w:val="16"/>
                <w:szCs w:val="16"/>
                <w:color w:val="auto"/>
              </w:rPr>
              <w:t>144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132 bps</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128,217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103,563</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23.8 %</w:t>
            </w:r>
          </w:p>
        </w:tc>
        <w:tc>
          <w:tcPr>
            <w:tcW w:w="560" w:type="dxa"/>
            <w:vAlign w:val="bottom"/>
          </w:tcPr>
          <w:p>
            <w:pPr>
              <w:jc w:val="right"/>
              <w:spacing w:after="0"/>
              <w:rPr>
                <w:sz w:val="20"/>
                <w:szCs w:val="20"/>
                <w:color w:val="auto"/>
              </w:rPr>
            </w:pPr>
            <w:r>
              <w:rPr>
                <w:rFonts w:ascii="Arial" w:cs="Arial" w:eastAsia="Arial" w:hAnsi="Arial"/>
                <w:sz w:val="16"/>
                <w:szCs w:val="16"/>
                <w:color w:val="auto"/>
              </w:rPr>
              <w:t>24.8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6"/>
                <w:szCs w:val="16"/>
                <w:color w:val="auto"/>
                <w:w w:val="99"/>
              </w:rPr>
              <w:t xml:space="preserve">Adjusted EBIT margin </w:t>
            </w:r>
            <w:r>
              <w:rPr>
                <w:rFonts w:ascii="Arial" w:cs="Arial" w:eastAsia="Arial" w:hAnsi="Arial"/>
                <w:sz w:val="21"/>
                <w:szCs w:val="21"/>
                <w:color w:val="auto"/>
                <w:w w:val="99"/>
                <w:vertAlign w:val="superscript"/>
              </w:rPr>
              <w:t>(1)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46.3 %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44.4 %</w:t>
            </w:r>
          </w:p>
        </w:tc>
        <w:tc>
          <w:tcPr>
            <w:tcW w:w="900" w:type="dxa"/>
            <w:vAlign w:val="bottom"/>
          </w:tcPr>
          <w:p>
            <w:pPr>
              <w:jc w:val="right"/>
              <w:spacing w:after="0"/>
              <w:rPr>
                <w:sz w:val="20"/>
                <w:szCs w:val="20"/>
                <w:color w:val="auto"/>
              </w:rPr>
            </w:pPr>
            <w:r>
              <w:rPr>
                <w:rFonts w:ascii="Arial" w:cs="Arial" w:eastAsia="Arial" w:hAnsi="Arial"/>
                <w:sz w:val="16"/>
                <w:szCs w:val="16"/>
                <w:color w:val="auto"/>
              </w:rPr>
              <w:t>187 bps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180 bps</w:t>
            </w:r>
          </w:p>
        </w:tc>
        <w:tc>
          <w:tcPr>
            <w:tcW w:w="0" w:type="dxa"/>
            <w:vAlign w:val="bottom"/>
          </w:tcPr>
          <w:p>
            <w:pPr>
              <w:spacing w:after="0"/>
              <w:rPr>
                <w:sz w:val="1"/>
                <w:szCs w:val="1"/>
                <w:color w:val="auto"/>
              </w:rPr>
            </w:pPr>
          </w:p>
        </w:tc>
      </w:tr>
      <w:tr>
        <w:trPr>
          <w:trHeight w:val="246"/>
        </w:trPr>
        <w:tc>
          <w:tcPr>
            <w:tcW w:w="180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99,689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80,483</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23.9 %</w:t>
            </w:r>
          </w:p>
        </w:tc>
        <w:tc>
          <w:tcPr>
            <w:tcW w:w="560" w:type="dxa"/>
            <w:vAlign w:val="bottom"/>
          </w:tcPr>
          <w:p>
            <w:pPr>
              <w:jc w:val="right"/>
              <w:spacing w:after="0"/>
              <w:rPr>
                <w:sz w:val="20"/>
                <w:szCs w:val="20"/>
                <w:color w:val="auto"/>
              </w:rPr>
            </w:pPr>
            <w:r>
              <w:rPr>
                <w:rFonts w:ascii="Arial" w:cs="Arial" w:eastAsia="Arial" w:hAnsi="Arial"/>
                <w:sz w:val="16"/>
                <w:szCs w:val="16"/>
                <w:color w:val="auto"/>
              </w:rPr>
              <w:t>24.8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1800" w:type="dxa"/>
            <w:vAlign w:val="bottom"/>
          </w:tcPr>
          <w:p>
            <w:pPr>
              <w:ind w:left="20"/>
              <w:spacing w:after="0" w:line="147" w:lineRule="exact"/>
              <w:rPr>
                <w:sz w:val="20"/>
                <w:szCs w:val="20"/>
                <w:color w:val="auto"/>
              </w:rPr>
            </w:pPr>
            <w:r>
              <w:rPr>
                <w:rFonts w:ascii="Arial" w:cs="Arial" w:eastAsia="Arial" w:hAnsi="Arial"/>
                <w:sz w:val="16"/>
                <w:szCs w:val="16"/>
                <w:color w:val="auto"/>
              </w:rPr>
              <w:t>Adjusted Diluted EPS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0.42</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199"/>
              <w:spacing w:after="0"/>
              <w:rPr>
                <w:sz w:val="20"/>
                <w:szCs w:val="20"/>
                <w:color w:val="auto"/>
              </w:rPr>
            </w:pPr>
            <w:r>
              <w:rPr>
                <w:rFonts w:ascii="Arial" w:cs="Arial" w:eastAsia="Arial" w:hAnsi="Arial"/>
                <w:sz w:val="16"/>
                <w:szCs w:val="16"/>
                <w:color w:val="auto"/>
              </w:rPr>
              <w:t>0.34</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23.5 %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20.6</w:t>
            </w:r>
          </w:p>
        </w:tc>
        <w:tc>
          <w:tcPr>
            <w:tcW w:w="38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800" w:type="dxa"/>
            <w:vAlign w:val="bottom"/>
          </w:tcPr>
          <w:p>
            <w:pPr>
              <w:ind w:left="20"/>
              <w:spacing w:after="0" w:line="125" w:lineRule="exact"/>
              <w:rPr>
                <w:sz w:val="20"/>
                <w:szCs w:val="20"/>
                <w:color w:val="auto"/>
              </w:rPr>
            </w:pPr>
            <w:r>
              <w:rPr>
                <w:rFonts w:ascii="Arial" w:cs="Arial" w:eastAsia="Arial" w:hAnsi="Arial"/>
                <w:sz w:val="11"/>
                <w:szCs w:val="11"/>
                <w:color w:val="auto"/>
              </w:rPr>
              <w:t>(1)</w:t>
            </w: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497F"/>
        </w:rPr>
        <w:t>Lee Olesky, CEO of Tradeweb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-125095</wp:posOffset>
            </wp:positionV>
            <wp:extent cx="3094355" cy="2503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94355" cy="2503170"/>
                    </a:xfrm>
                    <a:prstGeom prst="rect">
                      <a:avLst/>
                    </a:prstGeom>
                    <a:noFill/>
                  </pic:spPr>
                </pic:pic>
              </a:graphicData>
            </a:graphic>
          </wp:anchor>
        </w:drawing>
      </w:r>
    </w:p>
    <w:p>
      <w:pPr>
        <w:spacing w:after="0" w:line="82" w:lineRule="exact"/>
        <w:rPr>
          <w:sz w:val="20"/>
          <w:szCs w:val="20"/>
          <w:color w:val="auto"/>
        </w:rPr>
      </w:pPr>
    </w:p>
    <w:p>
      <w:pPr>
        <w:ind w:left="200" w:right="180"/>
        <w:spacing w:after="0" w:line="218" w:lineRule="auto"/>
        <w:rPr>
          <w:sz w:val="20"/>
          <w:szCs w:val="20"/>
          <w:color w:val="auto"/>
        </w:rPr>
      </w:pPr>
      <w:r>
        <w:rPr>
          <w:rFonts w:ascii="Arial" w:cs="Arial" w:eastAsia="Arial" w:hAnsi="Arial"/>
          <w:sz w:val="18"/>
          <w:szCs w:val="18"/>
          <w:color w:val="auto"/>
        </w:rPr>
        <w:t>"Tradeweb recorded its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consecutive year of revenue growth in 2021 and surpassed $1 billion in annual revenues for the first time. We became the largest electronic trading platform for U.S. Treasuries, and as rates volatility increased we benefited from a global resurgence in swaps market activity on our platform. In credit, we continued to grow volume and market share, extending our industry leadership in electronic portfolio trading and reflecting strong client demand for both traditional RFQ and increased automation. We published our inaugural corporate sustainability report and continued to attract and develop world-class talent — reaffirming the strength of our culture during a time that tested each and every one of us. While increased adoption of electronic trading has been a long-term trend in recent years, we saw a clear acceleration of that trend during 2021. Looking ahead, we believe markets will continue to benefit from growth in electronic execution and digitized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208915</wp:posOffset>
            </wp:positionV>
            <wp:extent cx="309435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94355" cy="5486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FFFFFF"/>
              </w:rPr>
              <w:t>4Q21</w:t>
            </w:r>
          </w:p>
        </w:tc>
        <w:tc>
          <w:tcPr>
            <w:tcW w:w="26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b w:val="1"/>
                <w:bCs w:val="1"/>
                <w:color w:val="FFFFFF"/>
              </w:rPr>
              <w:t>4Q20</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FFFFFF"/>
              </w:rPr>
              <w:t>YoY</w:t>
            </w:r>
          </w:p>
        </w:tc>
      </w:tr>
      <w:tr>
        <w:trPr>
          <w:trHeight w:val="243"/>
        </w:trPr>
        <w:tc>
          <w:tcPr>
            <w:tcW w:w="120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328</w:t>
            </w:r>
          </w:p>
        </w:tc>
        <w:tc>
          <w:tcPr>
            <w:tcW w:w="80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53"/>
        </w:trPr>
        <w:tc>
          <w:tcPr>
            <w:tcW w:w="120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384</w:t>
            </w:r>
          </w:p>
        </w:tc>
        <w:tc>
          <w:tcPr>
            <w:tcW w:w="260" w:type="dxa"/>
            <w:vAlign w:val="bottom"/>
          </w:tcPr>
          <w:p>
            <w:pPr>
              <w:spacing w:after="0"/>
              <w:rPr>
                <w:sz w:val="21"/>
                <w:szCs w:val="21"/>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209</w:t>
            </w:r>
          </w:p>
        </w:tc>
        <w:tc>
          <w:tcPr>
            <w:tcW w:w="800" w:type="dxa"/>
            <w:vAlign w:val="bottom"/>
          </w:tcPr>
          <w:p>
            <w:pPr>
              <w:jc w:val="right"/>
              <w:spacing w:after="0"/>
              <w:rPr>
                <w:sz w:val="20"/>
                <w:szCs w:val="20"/>
                <w:color w:val="auto"/>
              </w:rPr>
            </w:pPr>
            <w:r>
              <w:rPr>
                <w:rFonts w:ascii="Arial" w:cs="Arial" w:eastAsia="Arial" w:hAnsi="Arial"/>
                <w:sz w:val="16"/>
                <w:szCs w:val="16"/>
                <w:color w:val="auto"/>
              </w:rPr>
              <w:t>83.1 %</w:t>
            </w:r>
          </w:p>
        </w:tc>
      </w:tr>
      <w:tr>
        <w:trPr>
          <w:trHeight w:val="246"/>
        </w:trPr>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729</w:t>
            </w:r>
          </w:p>
        </w:tc>
        <w:tc>
          <w:tcPr>
            <w:tcW w:w="260" w:type="dxa"/>
            <w:vAlign w:val="bottom"/>
            <w:tcBorders>
              <w:bottom w:val="single" w:sz="8" w:color="083566"/>
            </w:tcBorders>
            <w:shd w:val="clear" w:color="auto" w:fill="D5DCE4"/>
          </w:tcPr>
          <w:p>
            <w:pPr>
              <w:spacing w:after="0"/>
              <w:rPr>
                <w:sz w:val="21"/>
                <w:szCs w:val="21"/>
                <w:color w:val="auto"/>
              </w:rPr>
            </w:pPr>
          </w:p>
        </w:tc>
        <w:tc>
          <w:tcPr>
            <w:tcW w:w="820" w:type="dxa"/>
            <w:vAlign w:val="bottom"/>
            <w:tcBorders>
              <w:bottom w:val="single" w:sz="8" w:color="083566"/>
            </w:tcBorders>
            <w:shd w:val="clear" w:color="auto" w:fill="D5DCE4"/>
          </w:tcPr>
          <w:p>
            <w:pPr>
              <w:jc w:val="right"/>
              <w:ind w:right="259"/>
              <w:spacing w:after="0"/>
              <w:rPr>
                <w:sz w:val="20"/>
                <w:szCs w:val="20"/>
                <w:color w:val="auto"/>
              </w:rPr>
            </w:pPr>
            <w:r>
              <w:rPr>
                <w:rFonts w:ascii="Arial" w:cs="Arial" w:eastAsia="Arial" w:hAnsi="Arial"/>
                <w:sz w:val="16"/>
                <w:szCs w:val="16"/>
                <w:color w:val="auto"/>
              </w:rPr>
              <w:t>537</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35.7 %</w:t>
            </w:r>
          </w:p>
        </w:tc>
      </w:tr>
      <w:tr>
        <w:trPr>
          <w:trHeight w:val="223"/>
        </w:trPr>
        <w:tc>
          <w:tcPr>
            <w:tcW w:w="120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8</w:t>
            </w:r>
          </w:p>
        </w:tc>
        <w:tc>
          <w:tcPr>
            <w:tcW w:w="80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53"/>
        </w:trPr>
        <w:tc>
          <w:tcPr>
            <w:tcW w:w="120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1"/>
                <w:szCs w:val="21"/>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10</w:t>
            </w:r>
          </w:p>
        </w:tc>
        <w:tc>
          <w:tcPr>
            <w:tcW w:w="80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46"/>
        </w:trPr>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083566"/>
            </w:tcBorders>
            <w:shd w:val="clear" w:color="auto" w:fill="D5DCE4"/>
          </w:tcPr>
          <w:p>
            <w:pPr>
              <w:spacing w:after="0"/>
              <w:rPr>
                <w:sz w:val="21"/>
                <w:szCs w:val="21"/>
                <w:color w:val="auto"/>
              </w:rPr>
            </w:pPr>
          </w:p>
        </w:tc>
        <w:tc>
          <w:tcPr>
            <w:tcW w:w="820" w:type="dxa"/>
            <w:vAlign w:val="bottom"/>
            <w:tcBorders>
              <w:bottom w:val="single" w:sz="8" w:color="083566"/>
            </w:tcBorders>
            <w:shd w:val="clear" w:color="auto" w:fill="D5DCE4"/>
          </w:tcPr>
          <w:p>
            <w:pPr>
              <w:jc w:val="right"/>
              <w:ind w:right="259"/>
              <w:spacing w:after="0"/>
              <w:rPr>
                <w:sz w:val="20"/>
                <w:szCs w:val="20"/>
                <w:color w:val="auto"/>
              </w:rPr>
            </w:pPr>
            <w:r>
              <w:rPr>
                <w:rFonts w:ascii="Arial" w:cs="Arial" w:eastAsia="Arial" w:hAnsi="Arial"/>
                <w:sz w:val="16"/>
                <w:szCs w:val="16"/>
                <w:color w:val="auto"/>
              </w:rPr>
              <w:t>18</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4.6 %</w:t>
            </w:r>
          </w:p>
        </w:tc>
      </w:tr>
      <w:tr>
        <w:trPr>
          <w:trHeight w:val="223"/>
        </w:trPr>
        <w:tc>
          <w:tcPr>
            <w:tcW w:w="120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7</w:t>
            </w:r>
          </w:p>
        </w:tc>
        <w:tc>
          <w:tcPr>
            <w:tcW w:w="800" w:type="dxa"/>
            <w:vAlign w:val="bottom"/>
          </w:tcPr>
          <w:p>
            <w:pPr>
              <w:jc w:val="right"/>
              <w:spacing w:after="0"/>
              <w:rPr>
                <w:sz w:val="20"/>
                <w:szCs w:val="20"/>
                <w:color w:val="auto"/>
              </w:rPr>
            </w:pPr>
            <w:r>
              <w:rPr>
                <w:rFonts w:ascii="Arial" w:cs="Arial" w:eastAsia="Arial" w:hAnsi="Arial"/>
                <w:sz w:val="16"/>
                <w:szCs w:val="16"/>
                <w:color w:val="auto"/>
              </w:rPr>
              <w:t>25.7 %</w:t>
            </w:r>
          </w:p>
        </w:tc>
      </w:tr>
      <w:tr>
        <w:trPr>
          <w:trHeight w:val="253"/>
        </w:trPr>
        <w:tc>
          <w:tcPr>
            <w:tcW w:w="120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1"/>
                <w:szCs w:val="21"/>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800" w:type="dxa"/>
            <w:vAlign w:val="bottom"/>
          </w:tcPr>
          <w:p>
            <w:pPr>
              <w:jc w:val="right"/>
              <w:spacing w:after="0"/>
              <w:rPr>
                <w:sz w:val="20"/>
                <w:szCs w:val="20"/>
                <w:color w:val="auto"/>
              </w:rPr>
            </w:pPr>
            <w:r>
              <w:rPr>
                <w:rFonts w:ascii="Arial" w:cs="Arial" w:eastAsia="Arial" w:hAnsi="Arial"/>
                <w:sz w:val="16"/>
                <w:szCs w:val="16"/>
                <w:color w:val="auto"/>
              </w:rPr>
              <w:t>33.0 %</w:t>
            </w:r>
          </w:p>
        </w:tc>
      </w:tr>
      <w:tr>
        <w:trPr>
          <w:trHeight w:val="246"/>
        </w:trPr>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083566"/>
            </w:tcBorders>
            <w:shd w:val="clear" w:color="auto" w:fill="D5DCE4"/>
          </w:tcPr>
          <w:p>
            <w:pPr>
              <w:spacing w:after="0"/>
              <w:rPr>
                <w:sz w:val="21"/>
                <w:szCs w:val="21"/>
                <w:color w:val="auto"/>
              </w:rPr>
            </w:pPr>
          </w:p>
        </w:tc>
        <w:tc>
          <w:tcPr>
            <w:tcW w:w="820" w:type="dxa"/>
            <w:vAlign w:val="bottom"/>
            <w:tcBorders>
              <w:bottom w:val="single" w:sz="8" w:color="083566"/>
            </w:tcBorders>
            <w:shd w:val="clear" w:color="auto" w:fill="D5DCE4"/>
          </w:tcPr>
          <w:p>
            <w:pPr>
              <w:jc w:val="right"/>
              <w:ind w:right="259"/>
              <w:spacing w:after="0"/>
              <w:rPr>
                <w:sz w:val="20"/>
                <w:szCs w:val="20"/>
                <w:color w:val="auto"/>
              </w:rPr>
            </w:pPr>
            <w:r>
              <w:rPr>
                <w:rFonts w:ascii="Arial" w:cs="Arial" w:eastAsia="Arial" w:hAnsi="Arial"/>
                <w:sz w:val="16"/>
                <w:szCs w:val="16"/>
                <w:color w:val="auto"/>
              </w:rPr>
              <w:t>12</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29.0 %</w:t>
            </w:r>
          </w:p>
        </w:tc>
      </w:tr>
      <w:tr>
        <w:trPr>
          <w:trHeight w:val="287"/>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351</w:t>
            </w:r>
          </w:p>
        </w:tc>
        <w:tc>
          <w:tcPr>
            <w:tcW w:w="260" w:type="dxa"/>
            <w:vAlign w:val="bottom"/>
          </w:tcPr>
          <w:p>
            <w:pPr>
              <w:spacing w:after="0"/>
              <w:rPr>
                <w:sz w:val="24"/>
                <w:szCs w:val="24"/>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330</w:t>
            </w:r>
          </w:p>
        </w:tc>
        <w:tc>
          <w:tcPr>
            <w:tcW w:w="80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314"/>
        </w:trPr>
        <w:tc>
          <w:tcPr>
            <w:tcW w:w="1200" w:type="dxa"/>
            <w:vAlign w:val="bottom"/>
            <w:tcBorders>
              <w:bottom w:val="single" w:sz="8" w:color="083566"/>
            </w:tcBorders>
          </w:tcPr>
          <w:p>
            <w:pPr>
              <w:spacing w:after="0"/>
              <w:rPr>
                <w:sz w:val="24"/>
                <w:szCs w:val="24"/>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4"/>
                <w:szCs w:val="24"/>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351</w:t>
            </w:r>
          </w:p>
        </w:tc>
        <w:tc>
          <w:tcPr>
            <w:tcW w:w="260" w:type="dxa"/>
            <w:vAlign w:val="bottom"/>
            <w:tcBorders>
              <w:bottom w:val="single" w:sz="8" w:color="083566"/>
            </w:tcBorders>
            <w:shd w:val="clear" w:color="auto" w:fill="D5DCE4"/>
          </w:tcPr>
          <w:p>
            <w:pPr>
              <w:spacing w:after="0"/>
              <w:rPr>
                <w:sz w:val="24"/>
                <w:szCs w:val="24"/>
                <w:color w:val="auto"/>
              </w:rPr>
            </w:pPr>
          </w:p>
        </w:tc>
        <w:tc>
          <w:tcPr>
            <w:tcW w:w="820" w:type="dxa"/>
            <w:vAlign w:val="bottom"/>
            <w:tcBorders>
              <w:bottom w:val="single" w:sz="8" w:color="083566"/>
            </w:tcBorders>
            <w:shd w:val="clear" w:color="auto" w:fill="D5DCE4"/>
          </w:tcPr>
          <w:p>
            <w:pPr>
              <w:jc w:val="right"/>
              <w:ind w:right="259"/>
              <w:spacing w:after="0"/>
              <w:rPr>
                <w:sz w:val="20"/>
                <w:szCs w:val="20"/>
                <w:color w:val="auto"/>
              </w:rPr>
            </w:pPr>
            <w:r>
              <w:rPr>
                <w:rFonts w:ascii="Arial" w:cs="Arial" w:eastAsia="Arial" w:hAnsi="Arial"/>
                <w:sz w:val="16"/>
                <w:szCs w:val="16"/>
                <w:color w:val="auto"/>
              </w:rPr>
              <w:t>330</w:t>
            </w:r>
          </w:p>
        </w:tc>
        <w:tc>
          <w:tcPr>
            <w:tcW w:w="8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6.2 %</w:t>
            </w:r>
          </w:p>
        </w:tc>
      </w:tr>
      <w:tr>
        <w:trPr>
          <w:trHeight w:val="243"/>
        </w:trPr>
        <w:tc>
          <w:tcPr>
            <w:tcW w:w="1200" w:type="dxa"/>
            <w:vAlign w:val="bottom"/>
          </w:tcPr>
          <w:p>
            <w:pPr>
              <w:spacing w:after="0"/>
              <w:rPr>
                <w:sz w:val="21"/>
                <w:szCs w:val="21"/>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1,115</w:t>
            </w:r>
          </w:p>
        </w:tc>
        <w:tc>
          <w:tcPr>
            <w:tcW w:w="260" w:type="dxa"/>
            <w:vAlign w:val="bottom"/>
            <w:shd w:val="clear" w:color="auto" w:fill="D5DCE4"/>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D5DCE4"/>
          </w:tcPr>
          <w:p>
            <w:pPr>
              <w:jc w:val="right"/>
              <w:ind w:right="259"/>
              <w:spacing w:after="0"/>
              <w:rPr>
                <w:sz w:val="20"/>
                <w:szCs w:val="20"/>
                <w:color w:val="auto"/>
              </w:rPr>
            </w:pPr>
            <w:r>
              <w:rPr>
                <w:rFonts w:ascii="Arial" w:cs="Arial" w:eastAsia="Arial" w:hAnsi="Arial"/>
                <w:sz w:val="16"/>
                <w:szCs w:val="16"/>
                <w:b w:val="1"/>
                <w:bCs w:val="1"/>
                <w:color w:val="auto"/>
              </w:rPr>
              <w:t>898</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24.1 %</w:t>
            </w:r>
          </w:p>
        </w:tc>
      </w:tr>
    </w:tbl>
    <w:p>
      <w:pPr>
        <w:spacing w:after="0" w:line="269" w:lineRule="exact"/>
        <w:rPr>
          <w:sz w:val="20"/>
          <w:szCs w:val="20"/>
          <w:color w:val="auto"/>
        </w:rPr>
      </w:pPr>
    </w:p>
    <w:p>
      <w:pPr>
        <w:ind w:left="280" w:right="160" w:hanging="252"/>
        <w:spacing w:after="0" w:line="238" w:lineRule="auto"/>
        <w:tabs>
          <w:tab w:leader="none" w:pos="217"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17" w:lineRule="exact"/>
        <w:rPr>
          <w:rFonts w:ascii="Arial" w:cs="Arial" w:eastAsia="Arial" w:hAnsi="Arial"/>
          <w:sz w:val="12"/>
          <w:szCs w:val="12"/>
          <w:color w:val="auto"/>
        </w:rPr>
      </w:pPr>
    </w:p>
    <w:p>
      <w:pPr>
        <w:ind w:left="200" w:hanging="172"/>
        <w:spacing w:after="0"/>
        <w:tabs>
          <w:tab w:leader="none" w:pos="2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920" w:space="180"/>
            <w:col w:w="4880"/>
          </w:cols>
          <w:pgMar w:left="320" w:top="283" w:right="5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 FOURTH QUARTER 2021</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$146.5 million in the fourth quarter of 2021 increased 20.4% compared to prior year period (21.7% on a constant currency basis).</w:t>
      </w:r>
    </w:p>
    <w:p>
      <w:pPr>
        <w:spacing w:after="0"/>
        <w:rPr>
          <w:sz w:val="20"/>
          <w:szCs w:val="20"/>
          <w:color w:val="auto"/>
        </w:rPr>
      </w:pPr>
      <w:r>
        <w:rPr>
          <w:rFonts w:ascii="Arial" w:cs="Arial" w:eastAsia="Arial" w:hAnsi="Arial"/>
          <w:sz w:val="16"/>
          <w:szCs w:val="16"/>
          <w:color w:val="auto"/>
        </w:rPr>
        <w:t>Rates performance was led by record activity in swaps/swaptions ≥ 1-year and U.S. government bonds; the latter aided in part by the acquisition of NFI.</w:t>
      </w:r>
    </w:p>
    <w:p>
      <w:pPr>
        <w:spacing w:after="0" w:line="201"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$73.6 million in the fourth quarter of 2021 increased 24.2% compared to prior year period (25.1% on a constant currency basis). Credit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was led by robust trading in U.S. credit, with record trading in U.S. High Yield, and supported by strong growth in European credit. Tradeweb's share of fully electronic TRACE volume for U.S. High Grade was 13.4% compared with 10.1% in the prior year period (+331 bps) and for U.S. High Yield was 7.3%, compared with 4.0% in the prior year period (+334 bps).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$18.4 million in the fourth quarter of 2021 increased 22.3% compared to prior year period (25.4% on a constant currency basis).</w:t>
      </w:r>
    </w:p>
    <w:p>
      <w:pPr>
        <w:spacing w:after="0"/>
        <w:rPr>
          <w:sz w:val="20"/>
          <w:szCs w:val="20"/>
          <w:color w:val="auto"/>
        </w:rPr>
      </w:pPr>
      <w:r>
        <w:rPr>
          <w:rFonts w:ascii="Arial" w:cs="Arial" w:eastAsia="Arial" w:hAnsi="Arial"/>
          <w:sz w:val="16"/>
          <w:szCs w:val="16"/>
          <w:color w:val="auto"/>
        </w:rPr>
        <w:t>Equities performance reflected increased adoption of RFQ for electronic trading in ETFs globally.</w:t>
      </w:r>
    </w:p>
    <w:p>
      <w:pPr>
        <w:spacing w:after="0" w:line="201" w:lineRule="exact"/>
        <w:rPr>
          <w:sz w:val="20"/>
          <w:szCs w:val="20"/>
          <w:color w:val="auto"/>
        </w:rPr>
      </w:pPr>
    </w:p>
    <w:p>
      <w:pPr>
        <w:jc w:val="both"/>
        <w:ind w:right="480"/>
        <w:spacing w:after="0" w:line="248"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$10.9 million in the fourth quarter of 2021 increased 5.1% compared to prior year period (5.9%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Growth in Global Repo activity was supported by the continued addition of new clients and dealers on the platform and partially offset by lower revenue from certificates of deposit.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$21.6 million in the fourth quarter of 2021 increased 3.8% compared to prior year period (3.5% on a constant currency basis).</w:t>
      </w:r>
    </w:p>
    <w:p>
      <w:pPr>
        <w:spacing w:after="0"/>
        <w:rPr>
          <w:sz w:val="20"/>
          <w:szCs w:val="20"/>
          <w:color w:val="auto"/>
        </w:rPr>
      </w:pPr>
      <w:r>
        <w:rPr>
          <w:rFonts w:ascii="Arial" w:cs="Arial" w:eastAsia="Arial" w:hAnsi="Arial"/>
          <w:sz w:val="16"/>
          <w:szCs w:val="16"/>
          <w:color w:val="auto"/>
        </w:rPr>
        <w:t>The increase was derived from increased third party market data fees and revenue from our APA reporting service.</w:t>
      </w:r>
    </w:p>
    <w:p>
      <w:pPr>
        <w:spacing w:after="0" w:line="201"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$5.8 million in the fourth quarter of 2021 decreased 0.8% compared to prior year period (decreased 0.8%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w:t>
      </w:r>
    </w:p>
    <w:p>
      <w:pPr>
        <w:spacing w:after="0" w:line="182" w:lineRule="exact"/>
        <w:rPr>
          <w:sz w:val="20"/>
          <w:szCs w:val="20"/>
          <w:color w:val="auto"/>
        </w:rPr>
      </w:pPr>
    </w:p>
    <w:p>
      <w:pPr>
        <w:jc w:val="both"/>
        <w:ind w:right="360"/>
        <w:spacing w:after="0" w:line="228"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$185.7 million in the fourth quarter of 2021 increased 15.0% compared to $161.5 million in the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Adjusted expenses of $148.7 million increased 14.8% (16.0% on a constant currency basis) compared to the prior year period. Increases in both operating expenses and adjusted expenses were driven primarily by higher incentive compensation expenses tied to operating performance, as well as salaries and benefits resulting from increased employee headcount. Please see "Non-GAAP Financial Measures" below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DISCUSSION OF RESULTS: FULL-YEAR 2021</w:t>
      </w:r>
    </w:p>
    <w:p>
      <w:pPr>
        <w:spacing w:after="0" w:line="117" w:lineRule="exact"/>
        <w:rPr>
          <w:sz w:val="20"/>
          <w:szCs w:val="20"/>
          <w:color w:val="auto"/>
        </w:rPr>
      </w:pPr>
    </w:p>
    <w:p>
      <w:pPr>
        <w:ind w:right="80"/>
        <w:spacing w:after="0" w:line="208" w:lineRule="auto"/>
        <w:rPr>
          <w:sz w:val="20"/>
          <w:szCs w:val="20"/>
          <w:color w:val="auto"/>
        </w:rPr>
      </w:pPr>
      <w:r>
        <w:rPr>
          <w:rFonts w:ascii="Arial" w:cs="Arial" w:eastAsia="Arial" w:hAnsi="Arial"/>
          <w:sz w:val="16"/>
          <w:szCs w:val="16"/>
          <w:color w:val="auto"/>
        </w:rPr>
        <w:t>Tradeweb recorded its 22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consecutive year of record revenues in 2021, as total revenue increased 20.6% (19.3% on a constant currency basis) to $1.1 billion compared to full year 2020. Revenue was driven by average daily trading volume of more than $1 trillion and record activity in: U.S. and European government bonds; swaps/swaptions ≥ 1-year; swaps/swaptions ≤ 1-year; Rates Futures; U.S. High Grade and High Yield credit; European credit; Chinese bonds; U.S. and European ETFs; equity convertibles/swaps/options; and Repurchase Agreements. Net income increased 25.1% to $273.1 million for the year ended December 31, 2021, compared to $218.4 million for the year ended December 31, 2020. Adjusted EBITDA margin increased to 50.8% for the year ended December 31, 2021 compared to 48.9% for the year ended December 31, 2020, representing an increase of 192 bps (211 bps on a constant currency basis). Diluted EPS increased 23.9% to $1.09 for the year ended December 31, 2021. Adjusted Diluted EPS increased 24.4% to $1.63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CAPITAL MANAGEMENT</w:t>
      </w:r>
    </w:p>
    <w:p>
      <w:pPr>
        <w:spacing w:after="0" w:line="13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$972.0 million in cash and cash equivalents and an undrawn $500 million credit facility at December 31, 2021</w:t>
      </w:r>
    </w:p>
    <w:p>
      <w:pPr>
        <w:spacing w:after="0" w:line="10" w:lineRule="exact"/>
        <w:rPr>
          <w:rFonts w:ascii="Arial" w:cs="Arial" w:eastAsia="Arial" w:hAnsi="Arial"/>
          <w:sz w:val="16"/>
          <w:szCs w:val="16"/>
          <w:color w:val="auto"/>
        </w:rPr>
      </w:pPr>
    </w:p>
    <w:p>
      <w:pPr>
        <w:ind w:left="640" w:hanging="308"/>
        <w:spacing w:after="0" w:line="219"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6"/>
          <w:szCs w:val="16"/>
          <w:color w:val="auto"/>
        </w:rPr>
        <w:t>Capital expenditures and capitalization of software development in fourth quarter 2021 of $15.8 million and in full-year 2021 of $51.3 million</w:t>
      </w:r>
    </w:p>
    <w:p>
      <w:pPr>
        <w:ind w:left="660" w:right="58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for the year ended December 31, 2021 of $526.7 million, up 31.4% compared to prior year period. See “Non-GAAP Financial Measures” for additional information</w:t>
      </w:r>
    </w:p>
    <w:p>
      <w:pPr>
        <w:ind w:left="660" w:right="12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fourth quarter of 2021, as part of its Share Repurchase Program, Tradeweb purchased 144,155 shares of Class A common stock, at an average price of $83.24, for purchases totaling $12.0 million. For the full year 2021, Tradeweb purchased a total of 901,968 shares of Class A common stock, at an average price of $83.90, for annual purchases totaling $75.7 million. As of December 31, 2021, a total of $74.3 million remained available for repurchase pursuant to the Share Repurchase Program. In addition, $14.5 million in shares were withheld in the fourth quarter of 2021 and $71.0 million in shares were withheld in the full-year 2021 to satisfy tax obligations related to the exercise of stock options</w:t>
      </w:r>
    </w:p>
    <w:p>
      <w:pPr>
        <w:spacing w:after="0" w:line="2" w:lineRule="exact"/>
        <w:rPr>
          <w:rFonts w:ascii="Arial" w:cs="Arial" w:eastAsia="Arial" w:hAnsi="Arial"/>
          <w:sz w:val="16"/>
          <w:szCs w:val="16"/>
          <w:color w:val="auto"/>
        </w:rPr>
      </w:pPr>
    </w:p>
    <w:p>
      <w:pPr>
        <w:ind w:left="660" w:right="4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March 15, 2022 to stockholders of record as of March 1, 2022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2022 Guidance*</w:t>
      </w:r>
    </w:p>
    <w:p>
      <w:pPr>
        <w:spacing w:after="0" w:line="12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Expenses: $620 - $655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$127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$62 - $68 million</w:t>
      </w:r>
    </w:p>
    <w:p>
      <w:pPr>
        <w:spacing w:after="0" w:line="237"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33"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 xml:space="preserve">Tradeweb Markets will hold a conference call to discuss fourth quarter and full-year 2021 results starting at 9:30 AM EST today, February 3, 2022. A live, audio webcast of the conference call along with related materials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passcode 6480158. After the conference call, an archived recording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 trillion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200"/>
              <w:spacing w:after="0"/>
              <w:rPr>
                <w:sz w:val="20"/>
                <w:szCs w:val="20"/>
                <w:color w:val="auto"/>
              </w:rPr>
            </w:pPr>
            <w:r>
              <w:rPr>
                <w:rFonts w:ascii="Arial" w:cs="Arial" w:eastAsia="Arial" w:hAnsi="Arial"/>
                <w:sz w:val="16"/>
                <w:szCs w:val="16"/>
                <w:b w:val="1"/>
                <w:bCs w:val="1"/>
                <w:color w:val="auto"/>
              </w:rPr>
              <w:t>Quarter Ended December 31,</w:t>
            </w:r>
          </w:p>
        </w:tc>
        <w:tc>
          <w:tcPr>
            <w:tcW w:w="220" w:type="dxa"/>
            <w:vAlign w:val="bottom"/>
          </w:tcPr>
          <w:p>
            <w:pPr>
              <w:spacing w:after="0"/>
              <w:rPr>
                <w:sz w:val="18"/>
                <w:szCs w:val="18"/>
                <w:color w:val="auto"/>
              </w:rPr>
            </w:pPr>
          </w:p>
        </w:tc>
        <w:tc>
          <w:tcPr>
            <w:tcW w:w="28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D5DCE4"/>
            </w:tcBorders>
          </w:tcPr>
          <w:p>
            <w:pPr>
              <w:spacing w:after="0"/>
              <w:rPr>
                <w:sz w:val="22"/>
                <w:szCs w:val="22"/>
                <w:color w:val="auto"/>
              </w:rPr>
            </w:pPr>
          </w:p>
        </w:tc>
        <w:tc>
          <w:tcPr>
            <w:tcW w:w="80" w:type="dxa"/>
            <w:vAlign w:val="bottom"/>
            <w:tcBorders>
              <w:bottom w:val="single" w:sz="8" w:color="D5DCE4"/>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3"/>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c>
          <w:tcPr>
            <w:tcW w:w="0" w:type="dxa"/>
            <w:vAlign w:val="bottom"/>
          </w:tcPr>
          <w:p>
            <w:pPr>
              <w:spacing w:after="0"/>
              <w:rPr>
                <w:sz w:val="1"/>
                <w:szCs w:val="1"/>
                <w:color w:val="auto"/>
              </w:rPr>
            </w:pPr>
          </w:p>
        </w:tc>
      </w:tr>
      <w:tr>
        <w:trPr>
          <w:trHeight w:val="233"/>
        </w:trPr>
        <w:tc>
          <w:tcPr>
            <w:tcW w:w="490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216,841</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177,835</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846,354</w:t>
            </w:r>
          </w:p>
        </w:tc>
        <w:tc>
          <w:tcPr>
            <w:tcW w:w="8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681,588</w:t>
            </w:r>
          </w:p>
        </w:tc>
        <w:tc>
          <w:tcPr>
            <w:tcW w:w="0" w:type="dxa"/>
            <w:vAlign w:val="bottom"/>
          </w:tcPr>
          <w:p>
            <w:pPr>
              <w:spacing w:after="0"/>
              <w:rPr>
                <w:sz w:val="1"/>
                <w:szCs w:val="1"/>
                <w:color w:val="auto"/>
              </w:rPr>
            </w:pPr>
          </w:p>
        </w:tc>
      </w:tr>
      <w:tr>
        <w:trPr>
          <w:trHeight w:val="253"/>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41,307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36,652</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158,448</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142,358</w:t>
            </w:r>
          </w:p>
        </w:tc>
        <w:tc>
          <w:tcPr>
            <w:tcW w:w="0" w:type="dxa"/>
            <w:vAlign w:val="bottom"/>
          </w:tcPr>
          <w:p>
            <w:pPr>
              <w:spacing w:after="0"/>
              <w:rPr>
                <w:sz w:val="1"/>
                <w:szCs w:val="1"/>
                <w:color w:val="auto"/>
              </w:rPr>
            </w:pPr>
          </w:p>
        </w:tc>
      </w:tr>
      <w:tr>
        <w:trPr>
          <w:trHeight w:val="233"/>
        </w:trPr>
        <w:tc>
          <w:tcPr>
            <w:tcW w:w="490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61,161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59,706</w:t>
            </w:r>
          </w:p>
        </w:tc>
        <w:tc>
          <w:tcPr>
            <w:tcW w:w="0" w:type="dxa"/>
            <w:vAlign w:val="bottom"/>
          </w:tcPr>
          <w:p>
            <w:pPr>
              <w:spacing w:after="0"/>
              <w:rPr>
                <w:sz w:val="1"/>
                <w:szCs w:val="1"/>
                <w:color w:val="auto"/>
              </w:rPr>
            </w:pPr>
          </w:p>
        </w:tc>
      </w:tr>
      <w:tr>
        <w:trPr>
          <w:trHeight w:val="246"/>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2,619</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2,349</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10,484</w:t>
            </w:r>
          </w:p>
        </w:tc>
        <w:tc>
          <w:tcPr>
            <w:tcW w:w="80" w:type="dxa"/>
            <w:vAlign w:val="bottom"/>
            <w:shd w:val="clear" w:color="auto" w:fill="D5DCE4"/>
          </w:tcPr>
          <w:p>
            <w:pPr>
              <w:spacing w:after="0"/>
              <w:rPr>
                <w:sz w:val="21"/>
                <w:szCs w:val="21"/>
                <w:color w:val="auto"/>
              </w:rPr>
            </w:pPr>
          </w:p>
        </w:tc>
        <w:tc>
          <w:tcPr>
            <w:tcW w:w="24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9,007</w:t>
            </w:r>
          </w:p>
        </w:tc>
        <w:tc>
          <w:tcPr>
            <w:tcW w:w="0" w:type="dxa"/>
            <w:vAlign w:val="bottom"/>
          </w:tcPr>
          <w:p>
            <w:pPr>
              <w:spacing w:after="0"/>
              <w:rPr>
                <w:sz w:val="1"/>
                <w:szCs w:val="1"/>
                <w:color w:val="auto"/>
              </w:rPr>
            </w:pPr>
          </w:p>
        </w:tc>
      </w:tr>
      <w:tr>
        <w:trPr>
          <w:trHeight w:val="233"/>
        </w:trPr>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276,883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233,076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1,076,447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892,659</w:t>
            </w:r>
          </w:p>
        </w:tc>
        <w:tc>
          <w:tcPr>
            <w:tcW w:w="0" w:type="dxa"/>
            <w:vAlign w:val="bottom"/>
          </w:tcPr>
          <w:p>
            <w:pPr>
              <w:spacing w:after="0"/>
              <w:rPr>
                <w:sz w:val="1"/>
                <w:szCs w:val="1"/>
                <w:color w:val="auto"/>
              </w:rPr>
            </w:pPr>
          </w:p>
        </w:tc>
      </w:tr>
      <w:tr>
        <w:trPr>
          <w:trHeight w:val="280"/>
        </w:trPr>
        <w:tc>
          <w:tcPr>
            <w:tcW w:w="490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2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2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2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24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107,153</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86,305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407,260</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349,658</w:t>
            </w:r>
          </w:p>
        </w:tc>
        <w:tc>
          <w:tcPr>
            <w:tcW w:w="0" w:type="dxa"/>
            <w:vAlign w:val="bottom"/>
          </w:tcPr>
          <w:p>
            <w:pPr>
              <w:spacing w:after="0"/>
              <w:rPr>
                <w:sz w:val="1"/>
                <w:szCs w:val="1"/>
                <w:color w:val="auto"/>
              </w:rPr>
            </w:pPr>
          </w:p>
        </w:tc>
      </w:tr>
      <w:tr>
        <w:trPr>
          <w:trHeight w:val="233"/>
        </w:trPr>
        <w:tc>
          <w:tcPr>
            <w:tcW w:w="49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43,652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39,837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171,308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153,789</w:t>
            </w:r>
          </w:p>
        </w:tc>
        <w:tc>
          <w:tcPr>
            <w:tcW w:w="0" w:type="dxa"/>
            <w:vAlign w:val="bottom"/>
          </w:tcPr>
          <w:p>
            <w:pPr>
              <w:spacing w:after="0"/>
              <w:rPr>
                <w:sz w:val="1"/>
                <w:szCs w:val="1"/>
                <w:color w:val="auto"/>
              </w:rPr>
            </w:pPr>
          </w:p>
        </w:tc>
      </w:tr>
      <w:tr>
        <w:trPr>
          <w:trHeight w:val="253"/>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13,941</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13,103</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56,189</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47,500</w:t>
            </w:r>
          </w:p>
        </w:tc>
        <w:tc>
          <w:tcPr>
            <w:tcW w:w="0" w:type="dxa"/>
            <w:vAlign w:val="bottom"/>
          </w:tcPr>
          <w:p>
            <w:pPr>
              <w:spacing w:after="0"/>
              <w:rPr>
                <w:sz w:val="1"/>
                <w:szCs w:val="1"/>
                <w:color w:val="auto"/>
              </w:rPr>
            </w:pPr>
          </w:p>
        </w:tc>
      </w:tr>
      <w:tr>
        <w:trPr>
          <w:trHeight w:val="233"/>
        </w:trPr>
        <w:tc>
          <w:tcPr>
            <w:tcW w:w="49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32,153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34,822</w:t>
            </w:r>
          </w:p>
        </w:tc>
        <w:tc>
          <w:tcPr>
            <w:tcW w:w="0" w:type="dxa"/>
            <w:vAlign w:val="bottom"/>
          </w:tcPr>
          <w:p>
            <w:pPr>
              <w:spacing w:after="0"/>
              <w:rPr>
                <w:sz w:val="1"/>
                <w:szCs w:val="1"/>
                <w:color w:val="auto"/>
              </w:rPr>
            </w:pPr>
          </w:p>
        </w:tc>
      </w:tr>
      <w:tr>
        <w:trPr>
          <w:trHeight w:val="253"/>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7,188</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7,967</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36,181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28,875</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3,982</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14,528</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14,660</w:t>
            </w:r>
          </w:p>
        </w:tc>
        <w:tc>
          <w:tcPr>
            <w:tcW w:w="0" w:type="dxa"/>
            <w:vAlign w:val="bottom"/>
          </w:tcPr>
          <w:p>
            <w:pPr>
              <w:spacing w:after="0"/>
              <w:rPr>
                <w:sz w:val="1"/>
                <w:szCs w:val="1"/>
                <w:color w:val="auto"/>
              </w:rPr>
            </w:pPr>
          </w:p>
        </w:tc>
      </w:tr>
      <w:tr>
        <w:trPr>
          <w:trHeight w:val="237"/>
        </w:trPr>
        <w:tc>
          <w:tcPr>
            <w:tcW w:w="490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185,702</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161,496</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717,619</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629,304</w:t>
            </w:r>
          </w:p>
        </w:tc>
        <w:tc>
          <w:tcPr>
            <w:tcW w:w="0" w:type="dxa"/>
            <w:vAlign w:val="bottom"/>
          </w:tcPr>
          <w:p>
            <w:pPr>
              <w:spacing w:after="0"/>
              <w:rPr>
                <w:sz w:val="1"/>
                <w:szCs w:val="1"/>
                <w:color w:val="auto"/>
              </w:rPr>
            </w:pP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91,181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71,580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358,828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263,355</w:t>
            </w:r>
          </w:p>
        </w:tc>
        <w:tc>
          <w:tcPr>
            <w:tcW w:w="0" w:type="dxa"/>
            <w:vAlign w:val="bottom"/>
          </w:tcPr>
          <w:p>
            <w:pPr>
              <w:spacing w:after="0"/>
              <w:rPr>
                <w:sz w:val="1"/>
                <w:szCs w:val="1"/>
                <w:color w:val="auto"/>
              </w:rPr>
            </w:pPr>
          </w:p>
        </w:tc>
      </w:tr>
      <w:tr>
        <w:trPr>
          <w:trHeight w:val="253"/>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Tax receivable agreement liability adjustment</w:t>
            </w:r>
          </w:p>
        </w:tc>
        <w:tc>
          <w:tcPr>
            <w:tcW w:w="80" w:type="dxa"/>
            <w:vAlign w:val="bottom"/>
            <w:shd w:val="clear" w:color="auto" w:fill="DBDBDB"/>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12,745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11,425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12,745</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11,425</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Net interest income (expense)</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7"/>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103,515</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82,625</w:t>
            </w:r>
          </w:p>
        </w:tc>
        <w:tc>
          <w:tcPr>
            <w:tcW w:w="80" w:type="dxa"/>
            <w:vAlign w:val="bottom"/>
            <w:shd w:val="clear" w:color="auto" w:fill="D5DCE4"/>
          </w:tcPr>
          <w:p>
            <w:pPr>
              <w:spacing w:after="0"/>
              <w:rPr>
                <w:sz w:val="20"/>
                <w:szCs w:val="20"/>
                <w:color w:val="auto"/>
              </w:rPr>
            </w:pP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369,983</w:t>
            </w:r>
          </w:p>
        </w:tc>
        <w:tc>
          <w:tcPr>
            <w:tcW w:w="80" w:type="dxa"/>
            <w:vAlign w:val="bottom"/>
            <w:shd w:val="clear" w:color="auto" w:fill="D5DCE4"/>
          </w:tcPr>
          <w:p>
            <w:pPr>
              <w:spacing w:after="0"/>
              <w:rPr>
                <w:sz w:val="20"/>
                <w:szCs w:val="20"/>
                <w:color w:val="auto"/>
              </w:rPr>
            </w:pPr>
          </w:p>
        </w:tc>
        <w:tc>
          <w:tcPr>
            <w:tcW w:w="24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274,464</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Provision for income taxes</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(43,510)</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(16,176)</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(96,875)</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(56,074)</w:t>
            </w:r>
          </w:p>
        </w:tc>
        <w:tc>
          <w:tcPr>
            <w:tcW w:w="0" w:type="dxa"/>
            <w:vAlign w:val="bottom"/>
          </w:tcPr>
          <w:p>
            <w:pPr>
              <w:spacing w:after="0"/>
              <w:rPr>
                <w:sz w:val="1"/>
                <w:szCs w:val="1"/>
                <w:color w:val="auto"/>
              </w:rPr>
            </w:pPr>
          </w:p>
        </w:tc>
      </w:tr>
      <w:tr>
        <w:trPr>
          <w:trHeight w:val="243"/>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60,005</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66,449</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273,108</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218,390</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11,115</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11,389</w:t>
            </w:r>
          </w:p>
        </w:tc>
        <w:tc>
          <w:tcPr>
            <w:tcW w:w="8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46,280</w:t>
            </w:r>
          </w:p>
        </w:tc>
        <w:tc>
          <w:tcPr>
            <w:tcW w:w="80" w:type="dxa"/>
            <w:vAlign w:val="bottom"/>
            <w:tcBorders>
              <w:bottom w:val="single" w:sz="8" w:color="D5DCE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52,094</w:t>
            </w:r>
          </w:p>
        </w:tc>
        <w:tc>
          <w:tcPr>
            <w:tcW w:w="0" w:type="dxa"/>
            <w:vAlign w:val="bottom"/>
          </w:tcPr>
          <w:p>
            <w:pPr>
              <w:spacing w:after="0"/>
              <w:rPr>
                <w:sz w:val="1"/>
                <w:szCs w:val="1"/>
                <w:color w:val="auto"/>
              </w:rPr>
            </w:pPr>
          </w:p>
        </w:tc>
      </w:tr>
      <w:tr>
        <w:trPr>
          <w:trHeight w:val="263"/>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300" w:type="dxa"/>
            <w:vAlign w:val="bottom"/>
            <w:gridSpan w:val="2"/>
            <w:shd w:val="clear" w:color="auto" w:fill="D5DCE4"/>
          </w:tcPr>
          <w:p>
            <w:pPr>
              <w:jc w:val="right"/>
              <w:ind w:right="120"/>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48,890</w:t>
            </w:r>
          </w:p>
        </w:tc>
        <w:tc>
          <w:tcPr>
            <w:tcW w:w="80" w:type="dxa"/>
            <w:vAlign w:val="bottom"/>
            <w:shd w:val="clear" w:color="auto" w:fill="D5DCE4"/>
          </w:tcPr>
          <w:p>
            <w:pPr>
              <w:spacing w:after="0"/>
              <w:rPr>
                <w:sz w:val="22"/>
                <w:szCs w:val="22"/>
                <w:color w:val="auto"/>
              </w:rPr>
            </w:pP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55,060</w:t>
            </w:r>
          </w:p>
        </w:tc>
        <w:tc>
          <w:tcPr>
            <w:tcW w:w="80" w:type="dxa"/>
            <w:vAlign w:val="bottom"/>
            <w:shd w:val="clear" w:color="auto" w:fill="D5DCE4"/>
          </w:tcPr>
          <w:p>
            <w:pPr>
              <w:spacing w:after="0"/>
              <w:rPr>
                <w:sz w:val="22"/>
                <w:szCs w:val="22"/>
                <w:color w:val="auto"/>
              </w:rPr>
            </w:pP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226,828</w:t>
            </w:r>
          </w:p>
        </w:tc>
        <w:tc>
          <w:tcPr>
            <w:tcW w:w="80" w:type="dxa"/>
            <w:vAlign w:val="bottom"/>
            <w:shd w:val="clear" w:color="auto" w:fill="D5DCE4"/>
          </w:tcPr>
          <w:p>
            <w:pPr>
              <w:spacing w:after="0"/>
              <w:rPr>
                <w:sz w:val="22"/>
                <w:szCs w:val="22"/>
                <w:color w:val="auto"/>
              </w:rPr>
            </w:pP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166,296</w:t>
            </w:r>
          </w:p>
        </w:tc>
        <w:tc>
          <w:tcPr>
            <w:tcW w:w="0" w:type="dxa"/>
            <w:vAlign w:val="bottom"/>
          </w:tcPr>
          <w:p>
            <w:pPr>
              <w:spacing w:after="0"/>
              <w:rPr>
                <w:sz w:val="1"/>
                <w:szCs w:val="1"/>
                <w:color w:val="auto"/>
              </w:rPr>
            </w:pPr>
          </w:p>
        </w:tc>
      </w:tr>
      <w:tr>
        <w:trPr>
          <w:trHeight w:val="20"/>
        </w:trPr>
        <w:tc>
          <w:tcPr>
            <w:tcW w:w="49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share attributable to Tradeweb Markets Inc. Class A</w:t>
            </w: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4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D5DCE4"/>
          </w:tcPr>
          <w:p>
            <w:pPr>
              <w:ind w:left="20"/>
              <w:spacing w:after="0"/>
              <w:rPr>
                <w:sz w:val="20"/>
                <w:szCs w:val="20"/>
                <w:color w:val="auto"/>
              </w:rPr>
            </w:pPr>
            <w:r>
              <w:rPr>
                <w:rFonts w:ascii="Arial" w:cs="Arial" w:eastAsia="Arial" w:hAnsi="Arial"/>
                <w:sz w:val="16"/>
                <w:szCs w:val="16"/>
                <w:color w:val="auto"/>
              </w:rPr>
              <w:t>and B common stockholders:</w:t>
            </w: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4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40"/>
              <w:spacing w:after="0"/>
              <w:rPr>
                <w:sz w:val="20"/>
                <w:szCs w:val="20"/>
                <w:color w:val="auto"/>
              </w:rPr>
            </w:pPr>
            <w:r>
              <w:rPr>
                <w:rFonts w:ascii="Arial" w:cs="Arial" w:eastAsia="Arial" w:hAnsi="Arial"/>
                <w:sz w:val="16"/>
                <w:szCs w:val="16"/>
                <w:color w:val="auto"/>
              </w:rPr>
              <w:t>Basic</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0.29</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gridSpan w:val="2"/>
            <w:shd w:val="clear" w:color="auto" w:fill="D5DCE4"/>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0.23</w:t>
            </w:r>
          </w:p>
        </w:tc>
        <w:tc>
          <w:tcPr>
            <w:tcW w:w="80" w:type="dxa"/>
            <w:vAlign w:val="bottom"/>
            <w:shd w:val="clear" w:color="auto" w:fill="D5DCE4"/>
          </w:tcPr>
          <w:p>
            <w:pPr>
              <w:spacing w:after="0"/>
              <w:rPr>
                <w:sz w:val="22"/>
                <w:szCs w:val="22"/>
                <w:color w:val="auto"/>
              </w:rPr>
            </w:pP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0.28</w:t>
            </w:r>
          </w:p>
        </w:tc>
        <w:tc>
          <w:tcPr>
            <w:tcW w:w="80" w:type="dxa"/>
            <w:vAlign w:val="bottom"/>
            <w:shd w:val="clear" w:color="auto" w:fill="D5DCE4"/>
          </w:tcPr>
          <w:p>
            <w:pPr>
              <w:spacing w:after="0"/>
              <w:rPr>
                <w:sz w:val="22"/>
                <w:szCs w:val="22"/>
                <w:color w:val="auto"/>
              </w:rPr>
            </w:pP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D5DCE4"/>
          </w:tcPr>
          <w:p>
            <w:pPr>
              <w:spacing w:after="0"/>
              <w:rPr>
                <w:sz w:val="22"/>
                <w:szCs w:val="22"/>
                <w:color w:val="auto"/>
              </w:rPr>
            </w:pP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0"/>
        </w:trPr>
        <w:tc>
          <w:tcPr>
            <w:tcW w:w="490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9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202,576,021</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189,795,356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201,419,081</w:t>
            </w:r>
          </w:p>
        </w:tc>
        <w:tc>
          <w:tcPr>
            <w:tcW w:w="80" w:type="dxa"/>
            <w:vAlign w:val="bottom"/>
            <w:shd w:val="clear" w:color="auto" w:fill="D5DCE4"/>
          </w:tcPr>
          <w:p>
            <w:pPr>
              <w:spacing w:after="0"/>
              <w:rPr>
                <w:sz w:val="21"/>
                <w:szCs w:val="21"/>
                <w:color w:val="auto"/>
              </w:rPr>
            </w:pPr>
          </w:p>
        </w:tc>
        <w:tc>
          <w:tcPr>
            <w:tcW w:w="24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180,409,462</w:t>
            </w:r>
          </w:p>
        </w:tc>
        <w:tc>
          <w:tcPr>
            <w:tcW w:w="0" w:type="dxa"/>
            <w:vAlign w:val="bottom"/>
          </w:tcPr>
          <w:p>
            <w:pPr>
              <w:spacing w:after="0"/>
              <w:rPr>
                <w:sz w:val="1"/>
                <w:szCs w:val="1"/>
                <w:color w:val="auto"/>
              </w:rPr>
            </w:pPr>
          </w:p>
        </w:tc>
      </w:tr>
      <w:tr>
        <w:trPr>
          <w:trHeight w:val="224"/>
        </w:trPr>
        <w:tc>
          <w:tcPr>
            <w:tcW w:w="4900" w:type="dxa"/>
            <w:vAlign w:val="bottom"/>
          </w:tcPr>
          <w:p>
            <w:pPr>
              <w:ind w:left="1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208,282,322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197,745,297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207,254,840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188,223,032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ectPr>
          <w:pgSz w:w="11900" w:h="16838" w:orient="portrait"/>
          <w:cols w:equalWidth="0" w:num="1">
            <w:col w:w="11240"/>
          </w:cols>
          <w:pgMar w:left="320" w:top="688" w:right="339" w:bottom="1440" w:gutter="0" w:footer="0" w:header="0"/>
        </w:sectPr>
      </w:pPr>
    </w:p>
    <w:p>
      <w:pPr>
        <w:spacing w:after="0" w:line="39" w:lineRule="exact"/>
        <w:rPr>
          <w:sz w:val="20"/>
          <w:szCs w:val="20"/>
          <w:color w:val="auto"/>
        </w:rPr>
      </w:pPr>
    </w:p>
    <w:p>
      <w:pPr>
        <w:ind w:left="20"/>
        <w:spacing w:after="0" w:line="266"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8803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80" w:type="dxa"/>
            <w:vAlign w:val="bottom"/>
            <w:gridSpan w:val="4"/>
          </w:tcPr>
          <w:p>
            <w:pPr>
              <w:ind w:left="480"/>
              <w:spacing w:after="0"/>
              <w:rPr>
                <w:sz w:val="20"/>
                <w:szCs w:val="20"/>
                <w:color w:val="auto"/>
              </w:rPr>
            </w:pPr>
            <w:r>
              <w:rPr>
                <w:rFonts w:ascii="Arial" w:cs="Arial" w:eastAsia="Arial" w:hAnsi="Arial"/>
                <w:sz w:val="16"/>
                <w:szCs w:val="16"/>
                <w:b w:val="1"/>
                <w:bCs w:val="1"/>
                <w:color w:val="auto"/>
              </w:rPr>
              <w:t>Quarter Ended December 31,</w:t>
            </w:r>
          </w:p>
        </w:tc>
        <w:tc>
          <w:tcPr>
            <w:tcW w:w="3220" w:type="dxa"/>
            <w:vAlign w:val="bottom"/>
            <w:gridSpan w:val="3"/>
          </w:tcPr>
          <w:p>
            <w:pPr>
              <w:ind w:left="620"/>
              <w:spacing w:after="0"/>
              <w:rPr>
                <w:sz w:val="20"/>
                <w:szCs w:val="20"/>
                <w:color w:val="auto"/>
              </w:rPr>
            </w:pPr>
            <w:r>
              <w:rPr>
                <w:rFonts w:ascii="Arial" w:cs="Arial" w:eastAsia="Arial" w:hAnsi="Arial"/>
                <w:sz w:val="16"/>
                <w:szCs w:val="16"/>
                <w:b w:val="1"/>
                <w:bCs w:val="1"/>
                <w:color w:val="auto"/>
              </w:rPr>
              <w:t>Year Ended December 31,</w:t>
            </w:r>
          </w:p>
        </w:tc>
      </w:tr>
      <w:tr>
        <w:trPr>
          <w:trHeight w:val="323"/>
        </w:trPr>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4"/>
                <w:szCs w:val="24"/>
                <w:color w:val="auto"/>
              </w:rPr>
            </w:pP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64"/>
        </w:trPr>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00" w:type="dxa"/>
            <w:vAlign w:val="bottom"/>
            <w:gridSpan w:val="4"/>
          </w:tcPr>
          <w:p>
            <w:pPr>
              <w:ind w:left="760"/>
              <w:spacing w:after="0"/>
              <w:rPr>
                <w:sz w:val="20"/>
                <w:szCs w:val="20"/>
                <w:color w:val="auto"/>
              </w:rPr>
            </w:pPr>
            <w:r>
              <w:rPr>
                <w:rFonts w:ascii="Arial" w:cs="Arial" w:eastAsia="Arial" w:hAnsi="Arial"/>
                <w:sz w:val="16"/>
                <w:szCs w:val="16"/>
                <w:b w:val="1"/>
                <w:bCs w:val="1"/>
                <w:color w:val="auto"/>
              </w:rPr>
              <w:t>(dollars in thousands)</w:t>
            </w:r>
          </w:p>
        </w:tc>
        <w:tc>
          <w:tcPr>
            <w:tcW w:w="1560" w:type="dxa"/>
            <w:vAlign w:val="bottom"/>
          </w:tcPr>
          <w:p>
            <w:pPr>
              <w:spacing w:after="0"/>
              <w:rPr>
                <w:sz w:val="22"/>
                <w:szCs w:val="22"/>
                <w:color w:val="auto"/>
              </w:rPr>
            </w:pPr>
          </w:p>
        </w:tc>
      </w:tr>
    </w:tbl>
    <w:p>
      <w:pPr>
        <w:spacing w:after="0" w:line="20" w:lineRule="exact"/>
        <w:rPr>
          <w:sz w:val="20"/>
          <w:szCs w:val="20"/>
          <w:color w:val="auto"/>
        </w:rPr>
      </w:pPr>
    </w:p>
    <w:p>
      <w:pPr>
        <w:sectPr>
          <w:pgSz w:w="11900" w:h="16838" w:orient="portrait"/>
          <w:cols w:equalWidth="0" w:num="2">
            <w:col w:w="4220" w:space="520"/>
            <w:col w:w="65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60,005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66,449</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273,108</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218,390</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44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5,073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411</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380</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1,590</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316</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43,652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39,837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171,308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153,789</w:t>
            </w:r>
          </w:p>
        </w:tc>
      </w:tr>
      <w:tr>
        <w:trPr>
          <w:trHeight w:val="25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5,328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16,509</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13,025</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43,510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16,176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96,875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56,074</w:t>
            </w:r>
          </w:p>
        </w:tc>
      </w:tr>
      <w:tr>
        <w:trPr>
          <w:trHeight w:val="253"/>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40</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12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442</w:t>
            </w:r>
          </w:p>
        </w:tc>
        <w:tc>
          <w:tcPr>
            <w:tcW w:w="80" w:type="dxa"/>
            <w:vAlign w:val="bottom"/>
            <w:shd w:val="clear" w:color="auto" w:fill="D5DCE4"/>
          </w:tcPr>
          <w:p>
            <w:pPr>
              <w:spacing w:after="0"/>
              <w:rPr>
                <w:sz w:val="21"/>
                <w:szCs w:val="21"/>
                <w:color w:val="auto"/>
              </w:rPr>
            </w:pPr>
          </w:p>
        </w:tc>
        <w:tc>
          <w:tcPr>
            <w:tcW w:w="42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(4,702)</w:t>
            </w:r>
          </w:p>
        </w:tc>
        <w:tc>
          <w:tcPr>
            <w:tcW w:w="8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6,279</w:t>
            </w:r>
          </w:p>
        </w:tc>
      </w:tr>
      <w:tr>
        <w:trPr>
          <w:trHeight w:val="243"/>
        </w:trPr>
        <w:tc>
          <w:tcPr>
            <w:tcW w:w="474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(12,745)</w:t>
            </w:r>
          </w:p>
        </w:tc>
        <w:tc>
          <w:tcPr>
            <w:tcW w:w="80" w:type="dxa"/>
            <w:vAlign w:val="bottom"/>
            <w:tcBorders>
              <w:bottom w:val="single" w:sz="8" w:color="D5DCE4"/>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(11,425)</w:t>
            </w:r>
          </w:p>
        </w:tc>
        <w:tc>
          <w:tcPr>
            <w:tcW w:w="80" w:type="dxa"/>
            <w:vAlign w:val="bottom"/>
            <w:tcBorders>
              <w:bottom w:val="single" w:sz="8" w:color="D5DCE4"/>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(12,745)</w:t>
            </w:r>
          </w:p>
        </w:tc>
        <w:tc>
          <w:tcPr>
            <w:tcW w:w="80" w:type="dxa"/>
            <w:vAlign w:val="bottom"/>
            <w:tcBorders>
              <w:bottom w:val="single" w:sz="8" w:color="D5DCE4"/>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(11,425)</w:t>
            </w:r>
          </w:p>
        </w:tc>
      </w:tr>
      <w:tr>
        <w:trPr>
          <w:trHeight w:val="262"/>
        </w:trPr>
        <w:tc>
          <w:tcPr>
            <w:tcW w:w="47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140,088</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114,576</w:t>
            </w:r>
          </w:p>
        </w:tc>
        <w:tc>
          <w:tcPr>
            <w:tcW w:w="80" w:type="dxa"/>
            <w:vAlign w:val="bottom"/>
            <w:tcBorders>
              <w:bottom w:val="single" w:sz="8" w:color="D5DCE4"/>
            </w:tcBorders>
            <w:shd w:val="clear" w:color="auto" w:fill="D5DCE4"/>
          </w:tcPr>
          <w:p>
            <w:pPr>
              <w:spacing w:after="0"/>
              <w:rPr>
                <w:sz w:val="22"/>
                <w:szCs w:val="22"/>
                <w:color w:val="auto"/>
              </w:rPr>
            </w:pPr>
          </w:p>
        </w:tc>
        <w:tc>
          <w:tcPr>
            <w:tcW w:w="42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547,016</w:t>
            </w:r>
          </w:p>
        </w:tc>
        <w:tc>
          <w:tcPr>
            <w:tcW w:w="80" w:type="dxa"/>
            <w:vAlign w:val="bottom"/>
            <w:tcBorders>
              <w:bottom w:val="single" w:sz="8" w:color="D5DCE4"/>
            </w:tcBorders>
            <w:shd w:val="clear" w:color="auto" w:fill="D5DCE4"/>
          </w:tcPr>
          <w:p>
            <w:pPr>
              <w:spacing w:after="0"/>
              <w:rPr>
                <w:sz w:val="22"/>
                <w:szCs w:val="22"/>
                <w:color w:val="auto"/>
              </w:rPr>
            </w:pPr>
          </w:p>
        </w:tc>
        <w:tc>
          <w:tcPr>
            <w:tcW w:w="400" w:type="dxa"/>
            <w:vAlign w:val="bottom"/>
            <w:tcBorders>
              <w:bottom w:val="single" w:sz="8" w:color="auto"/>
            </w:tcBorders>
            <w:shd w:val="clear" w:color="auto" w:fill="D5DCE4"/>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436,448</w:t>
            </w:r>
          </w:p>
        </w:tc>
      </w:tr>
      <w:tr>
        <w:trPr>
          <w:trHeight w:val="20"/>
        </w:trPr>
        <w:tc>
          <w:tcPr>
            <w:tcW w:w="474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1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(43,652)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(39,837)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(171,308)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(153,789)</w:t>
            </w:r>
          </w:p>
        </w:tc>
      </w:tr>
      <w:tr>
        <w:trPr>
          <w:trHeight w:val="225"/>
        </w:trPr>
        <w:tc>
          <w:tcPr>
            <w:tcW w:w="4740" w:type="dxa"/>
            <w:vAlign w:val="bottom"/>
            <w:shd w:val="clear" w:color="auto" w:fill="D5DCE4"/>
          </w:tcPr>
          <w:p>
            <w:pPr>
              <w:ind w:left="20"/>
              <w:spacing w:after="0"/>
              <w:rPr>
                <w:sz w:val="20"/>
                <w:szCs w:val="20"/>
                <w:color w:val="auto"/>
              </w:rPr>
            </w:pPr>
            <w:r>
              <w:rPr>
                <w:rFonts w:ascii="Arial" w:cs="Arial" w:eastAsia="Arial" w:hAnsi="Arial"/>
                <w:sz w:val="16"/>
                <w:szCs w:val="16"/>
                <w:color w:val="auto"/>
              </w:rPr>
              <w:t>Add: D&amp;A related to acquisitions and the Refinitiv</w:t>
            </w:r>
          </w:p>
        </w:tc>
        <w:tc>
          <w:tcPr>
            <w:tcW w:w="440" w:type="dxa"/>
            <w:vAlign w:val="bottom"/>
            <w:shd w:val="clear" w:color="auto" w:fill="D5DCE4"/>
          </w:tcPr>
          <w:p>
            <w:pPr>
              <w:spacing w:after="0"/>
              <w:rPr>
                <w:sz w:val="19"/>
                <w:szCs w:val="19"/>
                <w:color w:val="auto"/>
              </w:rPr>
            </w:pPr>
          </w:p>
        </w:tc>
        <w:tc>
          <w:tcPr>
            <w:tcW w:w="11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112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1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160" w:type="dxa"/>
            <w:vAlign w:val="bottom"/>
            <w:shd w:val="clear" w:color="auto" w:fill="D5DCE4"/>
          </w:tcPr>
          <w:p>
            <w:pPr>
              <w:spacing w:after="0"/>
              <w:rPr>
                <w:sz w:val="19"/>
                <w:szCs w:val="19"/>
                <w:color w:val="auto"/>
              </w:rPr>
            </w:pPr>
          </w:p>
        </w:tc>
      </w:tr>
      <w:tr>
        <w:trPr>
          <w:trHeight w:val="217"/>
        </w:trPr>
        <w:tc>
          <w:tcPr>
            <w:tcW w:w="4740" w:type="dxa"/>
            <w:vAlign w:val="bottom"/>
            <w:shd w:val="clear" w:color="auto" w:fill="D5DCE4"/>
          </w:tcPr>
          <w:p>
            <w:pPr>
              <w:ind w:left="20"/>
              <w:spacing w:after="0" w:line="217" w:lineRule="exact"/>
              <w:rPr>
                <w:sz w:val="20"/>
                <w:szCs w:val="20"/>
                <w:color w:val="auto"/>
              </w:rPr>
            </w:pPr>
            <w:r>
              <w:rPr>
                <w:rFonts w:ascii="Arial" w:cs="Arial" w:eastAsia="Arial" w:hAnsi="Arial"/>
                <w:sz w:val="16"/>
                <w:szCs w:val="16"/>
                <w:color w:val="auto"/>
              </w:rPr>
              <w:t>Transaction</w:t>
            </w:r>
            <w:r>
              <w:rPr>
                <w:rFonts w:ascii="Arial" w:cs="Arial" w:eastAsia="Arial" w:hAnsi="Arial"/>
                <w:sz w:val="21"/>
                <w:szCs w:val="21"/>
                <w:color w:val="auto"/>
                <w:vertAlign w:val="superscript"/>
              </w:rPr>
              <w:t>(5)</w:t>
            </w:r>
          </w:p>
        </w:tc>
        <w:tc>
          <w:tcPr>
            <w:tcW w:w="440" w:type="dxa"/>
            <w:vAlign w:val="bottom"/>
            <w:tcBorders>
              <w:bottom w:val="single" w:sz="8" w:color="auto"/>
            </w:tcBorders>
            <w:shd w:val="clear" w:color="auto" w:fill="D5DCE4"/>
          </w:tcPr>
          <w:p>
            <w:pPr>
              <w:spacing w:after="0"/>
              <w:rPr>
                <w:sz w:val="18"/>
                <w:szCs w:val="18"/>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31,781</w:t>
            </w:r>
          </w:p>
        </w:tc>
        <w:tc>
          <w:tcPr>
            <w:tcW w:w="80" w:type="dxa"/>
            <w:vAlign w:val="bottom"/>
            <w:shd w:val="clear" w:color="auto" w:fill="D5DCE4"/>
          </w:tcPr>
          <w:p>
            <w:pPr>
              <w:spacing w:after="0"/>
              <w:rPr>
                <w:sz w:val="18"/>
                <w:szCs w:val="18"/>
                <w:color w:val="auto"/>
              </w:rPr>
            </w:pPr>
          </w:p>
        </w:tc>
        <w:tc>
          <w:tcPr>
            <w:tcW w:w="440" w:type="dxa"/>
            <w:vAlign w:val="bottom"/>
            <w:tcBorders>
              <w:bottom w:val="single" w:sz="8" w:color="auto"/>
            </w:tcBorders>
            <w:shd w:val="clear" w:color="auto" w:fill="D5DCE4"/>
          </w:tcPr>
          <w:p>
            <w:pPr>
              <w:spacing w:after="0"/>
              <w:rPr>
                <w:sz w:val="18"/>
                <w:szCs w:val="18"/>
                <w:color w:val="auto"/>
              </w:rPr>
            </w:pPr>
          </w:p>
        </w:tc>
        <w:tc>
          <w:tcPr>
            <w:tcW w:w="11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28,824</w:t>
            </w:r>
          </w:p>
        </w:tc>
        <w:tc>
          <w:tcPr>
            <w:tcW w:w="80" w:type="dxa"/>
            <w:vAlign w:val="bottom"/>
            <w:shd w:val="clear" w:color="auto" w:fill="D5DCE4"/>
          </w:tcPr>
          <w:p>
            <w:pPr>
              <w:spacing w:after="0"/>
              <w:rPr>
                <w:sz w:val="18"/>
                <w:szCs w:val="18"/>
                <w:color w:val="auto"/>
              </w:rPr>
            </w:pPr>
          </w:p>
        </w:tc>
        <w:tc>
          <w:tcPr>
            <w:tcW w:w="420" w:type="dxa"/>
            <w:vAlign w:val="bottom"/>
            <w:tcBorders>
              <w:bottom w:val="single" w:sz="8" w:color="auto"/>
            </w:tcBorders>
            <w:shd w:val="clear" w:color="auto" w:fill="D5DCE4"/>
          </w:tcPr>
          <w:p>
            <w:pPr>
              <w:spacing w:after="0"/>
              <w:rPr>
                <w:sz w:val="18"/>
                <w:szCs w:val="18"/>
                <w:color w:val="auto"/>
              </w:rPr>
            </w:pPr>
          </w:p>
        </w:tc>
        <w:tc>
          <w:tcPr>
            <w:tcW w:w="116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124,580</w:t>
            </w: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110,187</w:t>
            </w:r>
          </w:p>
        </w:tc>
      </w:tr>
      <w:tr>
        <w:trPr>
          <w:trHeight w:val="237"/>
        </w:trPr>
        <w:tc>
          <w:tcPr>
            <w:tcW w:w="474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128,217</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103,563</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500,288</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392,846</w:t>
            </w:r>
          </w:p>
        </w:tc>
      </w:tr>
      <w:tr>
        <w:trPr>
          <w:trHeight w:val="20"/>
        </w:trPr>
        <w:tc>
          <w:tcPr>
            <w:tcW w:w="474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50.6 %</w:t>
            </w:r>
          </w:p>
        </w:tc>
        <w:tc>
          <w:tcPr>
            <w:tcW w:w="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49.2 %</w:t>
            </w:r>
          </w:p>
        </w:tc>
        <w:tc>
          <w:tcPr>
            <w:tcW w:w="80" w:type="dxa"/>
            <w:vAlign w:val="bottom"/>
            <w:shd w:val="clear" w:color="auto" w:fill="D5DCE4"/>
          </w:tcPr>
          <w:p>
            <w:pPr>
              <w:spacing w:after="0"/>
              <w:rPr>
                <w:sz w:val="20"/>
                <w:szCs w:val="20"/>
                <w:color w:val="auto"/>
              </w:rPr>
            </w:pPr>
          </w:p>
        </w:tc>
        <w:tc>
          <w:tcPr>
            <w:tcW w:w="42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50.8 %</w:t>
            </w:r>
          </w:p>
        </w:tc>
        <w:tc>
          <w:tcPr>
            <w:tcW w:w="80" w:type="dxa"/>
            <w:vAlign w:val="bottom"/>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48.9 %</w:t>
            </w:r>
          </w:p>
        </w:tc>
      </w:tr>
      <w:tr>
        <w:trPr>
          <w:trHeight w:val="294"/>
        </w:trPr>
        <w:tc>
          <w:tcPr>
            <w:tcW w:w="4740" w:type="dxa"/>
            <w:vAlign w:val="bottom"/>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46.3 %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46.5 %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44.0 %</w:t>
            </w:r>
          </w:p>
        </w:tc>
      </w:tr>
    </w:tbl>
    <w:p>
      <w:pPr>
        <w:spacing w:after="0" w:line="42" w:lineRule="exact"/>
        <w:rPr>
          <w:sz w:val="20"/>
          <w:szCs w:val="20"/>
          <w:color w:val="auto"/>
        </w:rPr>
      </w:pPr>
    </w:p>
    <w:p>
      <w:pPr>
        <w:ind w:left="340" w:right="460" w:hanging="251"/>
        <w:spacing w:after="0" w:line="234" w:lineRule="auto"/>
        <w:tabs>
          <w:tab w:leader="none" w:pos="33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jc w:val="both"/>
        <w:ind w:left="340" w:right="240" w:hanging="251"/>
        <w:spacing w:after="0" w:line="234" w:lineRule="auto"/>
        <w:tabs>
          <w:tab w:leader="none" w:pos="33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Beginning on August 30, 2021, this adjustment also includes the non-cash Former CFO Accelerated Stock-Based Compensation Expense, and related payroll taxes, which totaled $1.7 million during the year ended December 31, 2021.</w:t>
      </w:r>
    </w:p>
    <w:p>
      <w:pPr>
        <w:spacing w:after="0" w:line="1" w:lineRule="exact"/>
        <w:rPr>
          <w:rFonts w:ascii="Arial" w:cs="Arial" w:eastAsia="Arial" w:hAnsi="Arial"/>
          <w:sz w:val="12"/>
          <w:szCs w:val="12"/>
          <w:color w:val="auto"/>
        </w:rPr>
      </w:pPr>
    </w:p>
    <w:p>
      <w:pPr>
        <w:ind w:left="340" w:right="260" w:hanging="251"/>
        <w:spacing w:after="0" w:line="234" w:lineRule="auto"/>
        <w:tabs>
          <w:tab w:leader="none" w:pos="33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360" w:hanging="251"/>
        <w:spacing w:after="0" w:line="234" w:lineRule="auto"/>
        <w:tabs>
          <w:tab w:leader="none" w:pos="33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340" w:right="100" w:hanging="251"/>
        <w:spacing w:after="0" w:line="234" w:lineRule="auto"/>
        <w:tabs>
          <w:tab w:leader="none" w:pos="33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340" w:hanging="251"/>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Adjusted EBITDA margin and Adjusted EBIT margin are defined as Adjusted EBITDA and Adjusted EBIT, respectively, divided by revenue for the applicable period.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w:t>
            </w:r>
          </w:p>
        </w:tc>
        <w:tc>
          <w:tcPr>
            <w:tcW w:w="280" w:type="dxa"/>
            <w:vAlign w:val="bottom"/>
          </w:tcPr>
          <w:p>
            <w:pPr>
              <w:spacing w:after="0"/>
              <w:rPr>
                <w:sz w:val="21"/>
                <w:szCs w:val="21"/>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21"/>
                <w:szCs w:val="21"/>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2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Diluted EPS</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74"/>
        </w:trPr>
        <w:tc>
          <w:tcPr>
            <w:tcW w:w="4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240" w:type="dxa"/>
            <w:vAlign w:val="bottom"/>
            <w:gridSpan w:val="7"/>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0.23</w:t>
            </w:r>
          </w:p>
        </w:tc>
        <w:tc>
          <w:tcPr>
            <w:tcW w:w="420" w:type="dxa"/>
            <w:vAlign w:val="bottom"/>
            <w:gridSpan w:val="2"/>
            <w:shd w:val="clear" w:color="auto" w:fill="D5DCE4"/>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0.28</w:t>
            </w:r>
          </w:p>
        </w:tc>
        <w:tc>
          <w:tcPr>
            <w:tcW w:w="80" w:type="dxa"/>
            <w:vAlign w:val="bottom"/>
            <w:shd w:val="clear" w:color="auto" w:fill="D5DCE4"/>
          </w:tcPr>
          <w:p>
            <w:pPr>
              <w:spacing w:after="0"/>
              <w:rPr>
                <w:sz w:val="23"/>
                <w:szCs w:val="23"/>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D5DCE4"/>
          </w:tcPr>
          <w:p>
            <w:pPr>
              <w:spacing w:after="0"/>
              <w:rPr>
                <w:sz w:val="23"/>
                <w:szCs w:val="23"/>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0.88</w:t>
            </w:r>
          </w:p>
        </w:tc>
      </w:tr>
      <w:tr>
        <w:trPr>
          <w:trHeight w:val="20"/>
        </w:trPr>
        <w:tc>
          <w:tcPr>
            <w:tcW w:w="49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48,890</w:t>
            </w:r>
          </w:p>
        </w:tc>
        <w:tc>
          <w:tcPr>
            <w:tcW w:w="420" w:type="dxa"/>
            <w:vAlign w:val="bottom"/>
            <w:gridSpan w:val="2"/>
            <w:shd w:val="clear" w:color="auto" w:fill="D5DCE4"/>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55,060</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226,828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166,296</w:t>
            </w:r>
          </w:p>
        </w:tc>
      </w:tr>
      <w:tr>
        <w:trPr>
          <w:trHeight w:val="243"/>
        </w:trPr>
        <w:tc>
          <w:tcPr>
            <w:tcW w:w="50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11,115</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11,389</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46,280</w:t>
            </w: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52,094</w:t>
            </w:r>
          </w:p>
        </w:tc>
      </w:tr>
      <w:tr>
        <w:trPr>
          <w:trHeight w:val="236"/>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60,005</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66,449</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273,108</w:t>
            </w: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218,390</w:t>
            </w:r>
          </w:p>
        </w:tc>
      </w:tr>
      <w:tr>
        <w:trPr>
          <w:trHeight w:val="23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96,875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56,074</w:t>
            </w:r>
          </w:p>
        </w:tc>
      </w:tr>
      <w:tr>
        <w:trPr>
          <w:trHeight w:val="25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(2)</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4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5,073</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28,824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124,580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110,187</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5,328</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16,509</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13,025</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6,279</w:t>
            </w:r>
          </w:p>
        </w:tc>
      </w:tr>
      <w:tr>
        <w:trPr>
          <w:trHeight w:val="24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(12,745)</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(11,425)</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(12,745)</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(11,425)</w:t>
            </w:r>
          </w:p>
        </w:tc>
      </w:tr>
      <w:tr>
        <w:trPr>
          <w:trHeight w:val="227"/>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127,806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103,183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498,698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392,530</w:t>
            </w:r>
          </w:p>
        </w:tc>
      </w:tr>
      <w:tr>
        <w:trPr>
          <w:trHeight w:val="25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80" w:type="dxa"/>
            <w:vAlign w:val="bottom"/>
            <w:tcBorders>
              <w:bottom w:val="single" w:sz="8" w:color="auto"/>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(28,117)</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(22,700)</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(109,713)</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(86,357)</w:t>
            </w: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Adjusted 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99,689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80,483</w:t>
            </w:r>
          </w:p>
        </w:tc>
        <w:tc>
          <w:tcPr>
            <w:tcW w:w="8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388,985</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306,173</w:t>
            </w:r>
          </w:p>
        </w:tc>
      </w:tr>
      <w:tr>
        <w:trPr>
          <w:trHeight w:val="21"/>
        </w:trPr>
        <w:tc>
          <w:tcPr>
            <w:tcW w:w="492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5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420" w:type="dxa"/>
            <w:vAlign w:val="bottom"/>
            <w:gridSpan w:val="2"/>
            <w:shd w:val="clear" w:color="auto" w:fill="D5DCE4"/>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0.34</w:t>
            </w:r>
          </w:p>
        </w:tc>
        <w:tc>
          <w:tcPr>
            <w:tcW w:w="80" w:type="dxa"/>
            <w:vAlign w:val="bottom"/>
            <w:shd w:val="clear" w:color="auto" w:fill="D5DCE4"/>
          </w:tcPr>
          <w:p>
            <w:pPr>
              <w:spacing w:after="0"/>
              <w:rPr>
                <w:sz w:val="22"/>
                <w:szCs w:val="22"/>
                <w:color w:val="auto"/>
              </w:rPr>
            </w:pP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D5DCE4"/>
          </w:tcPr>
          <w:p>
            <w:pPr>
              <w:spacing w:after="0"/>
              <w:rPr>
                <w:sz w:val="22"/>
                <w:szCs w:val="22"/>
                <w:color w:val="auto"/>
              </w:rPr>
            </w:pP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1.31</w:t>
            </w:r>
          </w:p>
        </w:tc>
      </w:tr>
      <w:tr>
        <w:trPr>
          <w:trHeight w:val="20"/>
        </w:trPr>
        <w:tc>
          <w:tcPr>
            <w:tcW w:w="49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320" w:hanging="251"/>
        <w:spacing w:after="0" w:line="234" w:lineRule="auto"/>
        <w:tabs>
          <w:tab w:leader="none" w:pos="339" w:val="left"/>
        </w:tabs>
        <w:numPr>
          <w:ilvl w:val="0"/>
          <w:numId w:val="6"/>
        </w:numPr>
        <w:rPr>
          <w:rFonts w:ascii="Arial" w:cs="Arial" w:eastAsia="Arial" w:hAnsi="Arial"/>
          <w:sz w:val="12"/>
          <w:szCs w:val="12"/>
          <w:color w:val="auto"/>
        </w:rPr>
      </w:pPr>
      <w:r>
        <w:rPr>
          <w:rFonts w:ascii="Arial" w:cs="Arial" w:eastAsia="Arial" w:hAnsi="Arial"/>
          <w:sz w:val="12"/>
          <w:szCs w:val="12"/>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ind w:left="340" w:right="240" w:hanging="251"/>
        <w:spacing w:after="0" w:line="234" w:lineRule="auto"/>
        <w:tabs>
          <w:tab w:leader="none" w:pos="339"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During the year ended December 31, 2021, Acquisition-related costs primarily include legal, consulting and advisory fees and severance costs incurred that relate to the acquisition transaction.</w:t>
      </w:r>
    </w:p>
    <w:p>
      <w:pPr>
        <w:ind w:left="340" w:right="100" w:hanging="251"/>
        <w:spacing w:after="0" w:line="234" w:lineRule="auto"/>
        <w:tabs>
          <w:tab w:leader="none" w:pos="339"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jc w:val="both"/>
        <w:ind w:left="340" w:right="240" w:hanging="251"/>
        <w:spacing w:after="0" w:line="234" w:lineRule="auto"/>
        <w:tabs>
          <w:tab w:leader="none" w:pos="339"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Beginning on August 30, 2021, this adjustment also includes the non-cash Former CFO Accelerated Stock-Based Compensation Expense, and related payroll taxes, which totaled $1.7 million during the year ended December 31, 2021.</w:t>
      </w:r>
    </w:p>
    <w:p>
      <w:pPr>
        <w:spacing w:after="0" w:line="1" w:lineRule="exact"/>
        <w:rPr>
          <w:rFonts w:ascii="Arial" w:cs="Arial" w:eastAsia="Arial" w:hAnsi="Arial"/>
          <w:sz w:val="12"/>
          <w:szCs w:val="12"/>
          <w:color w:val="auto"/>
        </w:rPr>
      </w:pPr>
    </w:p>
    <w:p>
      <w:pPr>
        <w:ind w:left="340" w:right="260" w:hanging="251"/>
        <w:spacing w:after="0" w:line="234" w:lineRule="auto"/>
        <w:tabs>
          <w:tab w:leader="none" w:pos="339"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360" w:hanging="251"/>
        <w:spacing w:after="0" w:line="247" w:lineRule="auto"/>
        <w:tabs>
          <w:tab w:leader="none" w:pos="339"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ectPr>
          <w:pgSz w:w="11900" w:h="16838" w:orient="portrait"/>
          <w:cols w:equalWidth="0" w:num="1">
            <w:col w:w="11240"/>
          </w:cols>
          <w:pgMar w:left="320" w:top="688" w:right="339" w:bottom="1440" w:gutter="0" w:footer="0" w:header="0"/>
          <w:type w:val="continuous"/>
        </w:sectPr>
      </w:pPr>
    </w:p>
    <w:p>
      <w:pPr>
        <w:spacing w:after="0" w:line="33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88" w:right="339" w:bottom="1440" w:gutter="0" w:footer="0" w:header="0"/>
          <w:type w:val="continuous"/>
        </w:sectPr>
      </w:pPr>
    </w:p>
    <w:bookmarkStart w:id="8" w:name="page9"/>
    <w:bookmarkEnd w:id="8"/>
    <w:p>
      <w:pPr>
        <w:ind w:left="340" w:right="80" w:hanging="251"/>
        <w:spacing w:after="0" w:line="234" w:lineRule="auto"/>
        <w:tabs>
          <w:tab w:leader="none" w:pos="33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 applied to Adjusted Net Income before income taxes for the years ended December 31, 2021 and 2020 and 26.4% applied to Adjusted Net Income before income taxes for the year ended December 31, 2019. For pre-IPO periods, this adjustment assumes Tradeweb Markets LLC was subject to a corporate tax rate for the periods presented December 31, 2021 and 2020.</w:t>
      </w:r>
    </w:p>
    <w:p>
      <w:pPr>
        <w:spacing w:after="0" w:line="1" w:lineRule="exact"/>
        <w:rPr>
          <w:rFonts w:ascii="Arial" w:cs="Arial" w:eastAsia="Arial" w:hAnsi="Arial"/>
          <w:sz w:val="12"/>
          <w:szCs w:val="12"/>
          <w:color w:val="auto"/>
        </w:rPr>
      </w:pPr>
    </w:p>
    <w:p>
      <w:pPr>
        <w:ind w:left="340" w:hanging="251"/>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below.</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Reconciliation of Diluted Weighted Average Shares Outstanding to</w:t>
            </w:r>
          </w:p>
        </w:tc>
        <w:tc>
          <w:tcPr>
            <w:tcW w:w="16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Arial" w:cs="Arial" w:eastAsia="Arial" w:hAnsi="Arial"/>
                <w:sz w:val="16"/>
                <w:szCs w:val="16"/>
                <w:b w:val="1"/>
                <w:bCs w:val="1"/>
                <w:color w:val="auto"/>
              </w:rPr>
              <w:t>Quarter Ended December 31,</w:t>
            </w:r>
          </w:p>
        </w:tc>
        <w:tc>
          <w:tcPr>
            <w:tcW w:w="200" w:type="dxa"/>
            <w:vAlign w:val="bottom"/>
          </w:tcPr>
          <w:p>
            <w:pPr>
              <w:spacing w:after="0"/>
              <w:rPr>
                <w:sz w:val="18"/>
                <w:szCs w:val="18"/>
                <w:color w:val="auto"/>
              </w:rPr>
            </w:pPr>
          </w:p>
        </w:tc>
        <w:tc>
          <w:tcPr>
            <w:tcW w:w="24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42"/>
        </w:trPr>
        <w:tc>
          <w:tcPr>
            <w:tcW w:w="59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Diluted Weighted Average Shares Outstanding</w:t>
            </w:r>
          </w:p>
        </w:tc>
        <w:tc>
          <w:tcPr>
            <w:tcW w:w="80" w:type="dxa"/>
            <w:vAlign w:val="bottom"/>
            <w:tcBorders>
              <w:bottom w:val="single" w:sz="8" w:color="D5DCE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5DCE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5DCE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8"/>
        </w:trPr>
        <w:tc>
          <w:tcPr>
            <w:tcW w:w="59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Diluted weighted average shares of Class A and Class B common stock</w:t>
            </w:r>
          </w:p>
        </w:tc>
        <w:tc>
          <w:tcPr>
            <w:tcW w:w="160" w:type="dxa"/>
            <w:vAlign w:val="bottom"/>
            <w:shd w:val="clear" w:color="auto" w:fill="D5DCE4"/>
          </w:tcPr>
          <w:p>
            <w:pPr>
              <w:spacing w:after="0"/>
              <w:rPr>
                <w:sz w:val="18"/>
                <w:szCs w:val="18"/>
                <w:color w:val="auto"/>
              </w:rPr>
            </w:pPr>
          </w:p>
        </w:tc>
        <w:tc>
          <w:tcPr>
            <w:tcW w:w="110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10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outstanding</w:t>
            </w:r>
          </w:p>
        </w:tc>
        <w:tc>
          <w:tcPr>
            <w:tcW w:w="160" w:type="dxa"/>
            <w:vAlign w:val="bottom"/>
            <w:shd w:val="clear" w:color="auto" w:fill="D5DCE4"/>
          </w:tcPr>
          <w:p>
            <w:pPr>
              <w:spacing w:after="0"/>
              <w:rPr>
                <w:sz w:val="18"/>
                <w:szCs w:val="18"/>
                <w:color w:val="auto"/>
              </w:rPr>
            </w:pPr>
          </w:p>
        </w:tc>
        <w:tc>
          <w:tcPr>
            <w:tcW w:w="11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208,282,322</w:t>
            </w:r>
          </w:p>
        </w:tc>
        <w:tc>
          <w:tcPr>
            <w:tcW w:w="10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197,745,297</w:t>
            </w:r>
          </w:p>
        </w:tc>
        <w:tc>
          <w:tcPr>
            <w:tcW w:w="8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207,254,840</w:t>
            </w:r>
          </w:p>
        </w:tc>
        <w:tc>
          <w:tcPr>
            <w:tcW w:w="100" w:type="dxa"/>
            <w:vAlign w:val="bottom"/>
            <w:shd w:val="clear" w:color="auto" w:fill="D5DCE4"/>
          </w:tcPr>
          <w:p>
            <w:pPr>
              <w:spacing w:after="0"/>
              <w:rPr>
                <w:sz w:val="18"/>
                <w:szCs w:val="18"/>
                <w:color w:val="auto"/>
              </w:rPr>
            </w:pPr>
          </w:p>
        </w:tc>
        <w:tc>
          <w:tcPr>
            <w:tcW w:w="20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188,223,032</w:t>
            </w:r>
          </w:p>
        </w:tc>
        <w:tc>
          <w:tcPr>
            <w:tcW w:w="0" w:type="dxa"/>
            <w:vAlign w:val="bottom"/>
          </w:tcPr>
          <w:p>
            <w:pPr>
              <w:spacing w:after="0"/>
              <w:rPr>
                <w:sz w:val="1"/>
                <w:szCs w:val="1"/>
                <w:color w:val="auto"/>
              </w:rPr>
            </w:pPr>
          </w:p>
        </w:tc>
      </w:tr>
      <w:tr>
        <w:trPr>
          <w:trHeight w:val="215"/>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Assumed exchange of LLC Interests for shares of Class A or Class B common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20" w:type="dxa"/>
            <w:vAlign w:val="bottom"/>
            <w:tcBorders>
              <w:bottom w:val="single" w:sz="8" w:color="D5DCE4"/>
            </w:tcBorders>
            <w:gridSpan w:val="2"/>
          </w:tcPr>
          <w:p>
            <w:pPr>
              <w:ind w:left="20"/>
              <w:spacing w:after="0" w:line="217" w:lineRule="exact"/>
              <w:rPr>
                <w:sz w:val="20"/>
                <w:szCs w:val="20"/>
                <w:color w:val="auto"/>
              </w:rPr>
            </w:pPr>
            <w:r>
              <w:rPr>
                <w:rFonts w:ascii="Arial" w:cs="Arial" w:eastAsia="Arial" w:hAnsi="Arial"/>
                <w:sz w:val="16"/>
                <w:szCs w:val="16"/>
                <w:color w:val="auto"/>
              </w:rPr>
              <w:t xml:space="preserve">stock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30,529,403</w:t>
            </w:r>
          </w:p>
        </w:tc>
        <w:tc>
          <w:tcPr>
            <w:tcW w:w="100" w:type="dxa"/>
            <w:vAlign w:val="bottom"/>
            <w:tcBorders>
              <w:bottom w:val="single" w:sz="8" w:color="D5DCE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38,176,219</w:t>
            </w:r>
          </w:p>
        </w:tc>
        <w:tc>
          <w:tcPr>
            <w:tcW w:w="80" w:type="dxa"/>
            <w:vAlign w:val="bottom"/>
            <w:tcBorders>
              <w:bottom w:val="single" w:sz="8" w:color="D5DCE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30,699,577</w:t>
            </w:r>
          </w:p>
        </w:tc>
        <w:tc>
          <w:tcPr>
            <w:tcW w:w="100" w:type="dxa"/>
            <w:vAlign w:val="bottom"/>
            <w:tcBorders>
              <w:bottom w:val="single" w:sz="8" w:color="D5DCE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45,828,289</w:t>
            </w:r>
          </w:p>
        </w:tc>
        <w:tc>
          <w:tcPr>
            <w:tcW w:w="0" w:type="dxa"/>
            <w:vAlign w:val="bottom"/>
          </w:tcPr>
          <w:p>
            <w:pPr>
              <w:spacing w:after="0"/>
              <w:rPr>
                <w:sz w:val="1"/>
                <w:szCs w:val="1"/>
                <w:color w:val="auto"/>
              </w:rPr>
            </w:pPr>
          </w:p>
        </w:tc>
      </w:tr>
      <w:tr>
        <w:trPr>
          <w:trHeight w:val="261"/>
        </w:trPr>
        <w:tc>
          <w:tcPr>
            <w:tcW w:w="592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160" w:type="dxa"/>
            <w:vAlign w:val="bottom"/>
            <w:tcBorders>
              <w:bottom w:val="single" w:sz="8" w:color="auto"/>
            </w:tcBorders>
            <w:shd w:val="clear" w:color="auto" w:fill="D5DCE4"/>
          </w:tcPr>
          <w:p>
            <w:pPr>
              <w:spacing w:after="0"/>
              <w:rPr>
                <w:sz w:val="22"/>
                <w:szCs w:val="22"/>
                <w:color w:val="auto"/>
              </w:rPr>
            </w:pP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238,811,725</w:t>
            </w:r>
          </w:p>
        </w:tc>
        <w:tc>
          <w:tcPr>
            <w:tcW w:w="10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spacing w:after="0"/>
              <w:rPr>
                <w:sz w:val="22"/>
                <w:szCs w:val="22"/>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235,921,516</w:t>
            </w:r>
          </w:p>
        </w:tc>
        <w:tc>
          <w:tcPr>
            <w:tcW w:w="8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spacing w:after="0"/>
              <w:rPr>
                <w:sz w:val="22"/>
                <w:szCs w:val="22"/>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237,954,417</w:t>
            </w:r>
          </w:p>
        </w:tc>
        <w:tc>
          <w:tcPr>
            <w:tcW w:w="10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spacing w:after="0"/>
              <w:rPr>
                <w:sz w:val="22"/>
                <w:szCs w:val="22"/>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234,051,321</w:t>
            </w:r>
          </w:p>
        </w:tc>
        <w:tc>
          <w:tcPr>
            <w:tcW w:w="0" w:type="dxa"/>
            <w:vAlign w:val="bottom"/>
          </w:tcPr>
          <w:p>
            <w:pPr>
              <w:spacing w:after="0"/>
              <w:rPr>
                <w:sz w:val="1"/>
                <w:szCs w:val="1"/>
                <w:color w:val="auto"/>
              </w:rPr>
            </w:pPr>
          </w:p>
        </w:tc>
      </w:tr>
      <w:tr>
        <w:trPr>
          <w:trHeight w:val="20"/>
        </w:trPr>
        <w:tc>
          <w:tcPr>
            <w:tcW w:w="584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Adjusted Net Income (in thousands)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99,689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80,483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306,173</w:t>
            </w:r>
          </w:p>
        </w:tc>
        <w:tc>
          <w:tcPr>
            <w:tcW w:w="0" w:type="dxa"/>
            <w:vAlign w:val="bottom"/>
          </w:tcPr>
          <w:p>
            <w:pPr>
              <w:spacing w:after="0"/>
              <w:rPr>
                <w:sz w:val="1"/>
                <w:szCs w:val="1"/>
                <w:color w:val="auto"/>
              </w:rPr>
            </w:pPr>
          </w:p>
        </w:tc>
      </w:tr>
      <w:tr>
        <w:trPr>
          <w:trHeight w:val="20"/>
        </w:trPr>
        <w:tc>
          <w:tcPr>
            <w:tcW w:w="58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92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Diluted EPS</w:t>
            </w:r>
          </w:p>
        </w:tc>
        <w:tc>
          <w:tcPr>
            <w:tcW w:w="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0.34</w:t>
            </w:r>
          </w:p>
        </w:tc>
        <w:tc>
          <w:tcPr>
            <w:tcW w:w="8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D5DCE4"/>
            </w:tcBorders>
            <w:shd w:val="clear" w:color="auto" w:fill="D5DCE4"/>
          </w:tcPr>
          <w:p>
            <w:pPr>
              <w:spacing w:after="0"/>
              <w:rPr>
                <w:sz w:val="22"/>
                <w:szCs w:val="22"/>
                <w:color w:val="auto"/>
              </w:rPr>
            </w:pP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584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110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06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right="100" w:hanging="251"/>
        <w:spacing w:after="0" w:line="247" w:lineRule="auto"/>
        <w:tabs>
          <w:tab w:leader="none" w:pos="339" w:val="left"/>
        </w:tabs>
        <w:numPr>
          <w:ilvl w:val="0"/>
          <w:numId w:val="8"/>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ind w:left="40"/>
              <w:spacing w:after="0"/>
              <w:rPr>
                <w:sz w:val="20"/>
                <w:szCs w:val="20"/>
                <w:color w:val="auto"/>
              </w:rPr>
            </w:pPr>
            <w:r>
              <w:rPr>
                <w:rFonts w:ascii="Arial" w:cs="Arial" w:eastAsia="Arial" w:hAnsi="Arial"/>
                <w:sz w:val="16"/>
                <w:szCs w:val="16"/>
                <w:b w:val="1"/>
                <w:bCs w:val="1"/>
                <w:color w:val="auto"/>
              </w:rPr>
              <w:t>Quarter Ended December 31,</w:t>
            </w:r>
          </w:p>
        </w:tc>
        <w:tc>
          <w:tcPr>
            <w:tcW w:w="220" w:type="dxa"/>
            <w:vAlign w:val="bottom"/>
          </w:tcPr>
          <w:p>
            <w:pPr>
              <w:spacing w:after="0"/>
              <w:rPr>
                <w:sz w:val="18"/>
                <w:szCs w:val="18"/>
                <w:color w:val="auto"/>
              </w:rPr>
            </w:pPr>
          </w:p>
        </w:tc>
        <w:tc>
          <w:tcPr>
            <w:tcW w:w="23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Year Ended December 31,</w:t>
            </w:r>
          </w:p>
        </w:tc>
      </w:tr>
      <w:tr>
        <w:trPr>
          <w:trHeight w:val="26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74"/>
        </w:trPr>
        <w:tc>
          <w:tcPr>
            <w:tcW w:w="5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0" w:type="dxa"/>
            <w:vAlign w:val="bottom"/>
            <w:gridSpan w:val="5"/>
          </w:tcPr>
          <w:p>
            <w:pPr>
              <w:ind w:left="46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3"/>
        </w:trPr>
        <w:tc>
          <w:tcPr>
            <w:tcW w:w="5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185,702</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161,496</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717,619</w:t>
            </w:r>
          </w:p>
        </w:tc>
        <w:tc>
          <w:tcPr>
            <w:tcW w:w="80" w:type="dxa"/>
            <w:vAlign w:val="bottom"/>
            <w:shd w:val="clear" w:color="auto" w:fill="D5DCE4"/>
          </w:tcPr>
          <w:p>
            <w:pPr>
              <w:spacing w:after="0"/>
              <w:rPr>
                <w:sz w:val="21"/>
                <w:szCs w:val="21"/>
                <w:color w:val="auto"/>
              </w:rPr>
            </w:pPr>
          </w:p>
        </w:tc>
        <w:tc>
          <w:tcPr>
            <w:tcW w:w="28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629,304</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Refinitiv Transaction </w:t>
            </w:r>
            <w:r>
              <w:rPr>
                <w:rFonts w:ascii="Arial" w:cs="Arial" w:eastAsia="Arial" w:hAnsi="Arial"/>
                <w:sz w:val="21"/>
                <w:szCs w:val="21"/>
                <w:color w:val="auto"/>
                <w:vertAlign w:val="superscript"/>
              </w:rPr>
              <w:t>(2)</w:t>
            </w:r>
          </w:p>
        </w:tc>
        <w:tc>
          <w:tcPr>
            <w:tcW w:w="14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(31,781)</w:t>
            </w:r>
          </w:p>
        </w:tc>
        <w:tc>
          <w:tcPr>
            <w:tcW w:w="80" w:type="dxa"/>
            <w:vAlign w:val="bottom"/>
            <w:shd w:val="clear" w:color="auto" w:fill="D5DCE4"/>
          </w:tcPr>
          <w:p>
            <w:pPr>
              <w:spacing w:after="0"/>
              <w:rPr>
                <w:sz w:val="21"/>
                <w:szCs w:val="21"/>
                <w:color w:val="auto"/>
              </w:rPr>
            </w:pPr>
          </w:p>
        </w:tc>
        <w:tc>
          <w:tcPr>
            <w:tcW w:w="2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(28,824)</w:t>
            </w:r>
          </w:p>
        </w:tc>
        <w:tc>
          <w:tcPr>
            <w:tcW w:w="80" w:type="dxa"/>
            <w:vAlign w:val="bottom"/>
            <w:shd w:val="clear" w:color="auto" w:fill="D5DCE4"/>
          </w:tcPr>
          <w:p>
            <w:pPr>
              <w:spacing w:after="0"/>
              <w:rPr>
                <w:sz w:val="21"/>
                <w:szCs w:val="21"/>
                <w:color w:val="auto"/>
              </w:rPr>
            </w:pPr>
          </w:p>
        </w:tc>
        <w:tc>
          <w:tcPr>
            <w:tcW w:w="2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(124,580)</w:t>
            </w:r>
          </w:p>
        </w:tc>
        <w:tc>
          <w:tcPr>
            <w:tcW w:w="80" w:type="dxa"/>
            <w:vAlign w:val="bottom"/>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(110,187)</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(16,509)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(13,025)</w:t>
            </w:r>
          </w:p>
        </w:tc>
      </w:tr>
      <w:tr>
        <w:trPr>
          <w:trHeight w:val="243"/>
        </w:trPr>
        <w:tc>
          <w:tcPr>
            <w:tcW w:w="59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14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D5DCE4"/>
          </w:tcPr>
          <w:p>
            <w:pPr>
              <w:spacing w:after="0"/>
              <w:rPr>
                <w:sz w:val="21"/>
                <w:szCs w:val="21"/>
                <w:color w:val="auto"/>
              </w:rPr>
            </w:pPr>
          </w:p>
        </w:tc>
        <w:tc>
          <w:tcPr>
            <w:tcW w:w="26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(442)</w:t>
            </w:r>
          </w:p>
        </w:tc>
        <w:tc>
          <w:tcPr>
            <w:tcW w:w="80" w:type="dxa"/>
            <w:vAlign w:val="bottom"/>
            <w:shd w:val="clear" w:color="auto" w:fill="D5DCE4"/>
          </w:tcPr>
          <w:p>
            <w:pPr>
              <w:spacing w:after="0"/>
              <w:rPr>
                <w:sz w:val="21"/>
                <w:szCs w:val="21"/>
                <w:color w:val="auto"/>
              </w:rPr>
            </w:pPr>
          </w:p>
        </w:tc>
        <w:tc>
          <w:tcPr>
            <w:tcW w:w="2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4,702</w:t>
            </w:r>
          </w:p>
        </w:tc>
        <w:tc>
          <w:tcPr>
            <w:tcW w:w="80" w:type="dxa"/>
            <w:vAlign w:val="bottom"/>
            <w:shd w:val="clear" w:color="auto" w:fill="D5DCE4"/>
          </w:tcPr>
          <w:p>
            <w:pPr>
              <w:spacing w:after="0"/>
              <w:rPr>
                <w:sz w:val="21"/>
                <w:szCs w:val="21"/>
                <w:color w:val="auto"/>
              </w:rPr>
            </w:pPr>
          </w:p>
        </w:tc>
        <w:tc>
          <w:tcPr>
            <w:tcW w:w="28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(6,279)</w:t>
            </w:r>
          </w:p>
        </w:tc>
      </w:tr>
      <w:tr>
        <w:trPr>
          <w:trHeight w:val="236"/>
        </w:trPr>
        <w:tc>
          <w:tcPr>
            <w:tcW w:w="598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148,666</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129,513</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576,159</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499,813</w:t>
            </w:r>
          </w:p>
        </w:tc>
      </w:tr>
      <w:tr>
        <w:trPr>
          <w:trHeight w:val="21"/>
        </w:trPr>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left="340" w:right="460" w:hanging="251"/>
        <w:spacing w:after="0" w:line="234" w:lineRule="auto"/>
        <w:tabs>
          <w:tab w:leader="none" w:pos="33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340" w:right="100" w:hanging="251"/>
        <w:spacing w:after="0" w:line="234" w:lineRule="auto"/>
        <w:tabs>
          <w:tab w:leader="none" w:pos="33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jc w:val="both"/>
        <w:ind w:left="340" w:right="240" w:hanging="251"/>
        <w:spacing w:after="0" w:line="234" w:lineRule="auto"/>
        <w:tabs>
          <w:tab w:leader="none" w:pos="33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Beginning on August 30, 2021, this adjustment also includes the non-cash Former CFO Accelerated Stock-Based Compensation Expense, and related payroll taxes, which totaled $1.7 million during the year ended December 31, 2021.</w:t>
      </w:r>
    </w:p>
    <w:p>
      <w:pPr>
        <w:spacing w:after="0" w:line="1" w:lineRule="exact"/>
        <w:rPr>
          <w:rFonts w:ascii="Arial" w:cs="Arial" w:eastAsia="Arial" w:hAnsi="Arial"/>
          <w:sz w:val="12"/>
          <w:szCs w:val="12"/>
          <w:color w:val="auto"/>
        </w:rPr>
      </w:pPr>
    </w:p>
    <w:p>
      <w:pPr>
        <w:ind w:left="340" w:right="260" w:hanging="251"/>
        <w:spacing w:after="0" w:line="247" w:lineRule="auto"/>
        <w:tabs>
          <w:tab w:leader="none" w:pos="33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25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Year Ended December 31, 2021</w:t>
            </w:r>
          </w:p>
        </w:tc>
      </w:tr>
      <w:tr>
        <w:trPr>
          <w:trHeight w:val="233"/>
        </w:trPr>
        <w:tc>
          <w:tcPr>
            <w:tcW w:w="8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86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42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w w:val="89"/>
              </w:rPr>
              <w:t>$</w:t>
            </w:r>
          </w:p>
        </w:tc>
        <w:tc>
          <w:tcPr>
            <w:tcW w:w="2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578,021</w:t>
            </w:r>
          </w:p>
        </w:tc>
      </w:tr>
      <w:tr>
        <w:trPr>
          <w:trHeight w:val="233"/>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4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(34,470)</w:t>
            </w:r>
          </w:p>
        </w:tc>
      </w:tr>
      <w:tr>
        <w:trPr>
          <w:trHeight w:val="246"/>
        </w:trPr>
        <w:tc>
          <w:tcPr>
            <w:tcW w:w="86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420" w:type="dxa"/>
            <w:vAlign w:val="bottom"/>
            <w:tcBorders>
              <w:bottom w:val="single" w:sz="8" w:color="auto"/>
            </w:tcBorders>
            <w:shd w:val="clear" w:color="auto" w:fill="D5DCE4"/>
          </w:tcPr>
          <w:p>
            <w:pPr>
              <w:spacing w:after="0"/>
              <w:rPr>
                <w:sz w:val="21"/>
                <w:szCs w:val="21"/>
                <w:color w:val="auto"/>
              </w:rPr>
            </w:pPr>
          </w:p>
        </w:tc>
        <w:tc>
          <w:tcPr>
            <w:tcW w:w="2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(16,878)</w:t>
            </w:r>
          </w:p>
        </w:tc>
      </w:tr>
      <w:tr>
        <w:trPr>
          <w:trHeight w:val="243"/>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526,673</w:t>
            </w:r>
          </w:p>
        </w:tc>
      </w:tr>
      <w:tr>
        <w:trPr>
          <w:trHeight w:val="21"/>
        </w:trPr>
        <w:tc>
          <w:tcPr>
            <w:tcW w:w="8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70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Quarter Ended December 31,</w:t>
            </w:r>
          </w:p>
        </w:tc>
        <w:tc>
          <w:tcPr>
            <w:tcW w:w="320" w:type="dxa"/>
            <w:vAlign w:val="bottom"/>
          </w:tcPr>
          <w:p>
            <w:pPr>
              <w:spacing w:after="0"/>
              <w:rPr>
                <w:sz w:val="18"/>
                <w:szCs w:val="18"/>
                <w:color w:val="auto"/>
              </w:rPr>
            </w:pPr>
          </w:p>
        </w:tc>
        <w:tc>
          <w:tcPr>
            <w:tcW w:w="27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56"/>
        </w:trPr>
        <w:tc>
          <w:tcPr>
            <w:tcW w:w="20" w:type="dxa"/>
            <w:vAlign w:val="bottom"/>
            <w:tcBorders>
              <w:bottom w:val="single" w:sz="8" w:color="auto"/>
            </w:tcBorders>
          </w:tcPr>
          <w:p>
            <w:pPr>
              <w:spacing w:after="0"/>
              <w:rPr>
                <w:sz w:val="22"/>
                <w:szCs w:val="22"/>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96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4120" w:type="dxa"/>
            <w:vAlign w:val="bottom"/>
            <w:tcBorders>
              <w:bottom w:val="single" w:sz="8" w:color="D5DCE4"/>
            </w:tcBorders>
            <w:gridSpan w:val="3"/>
            <w:shd w:val="clear" w:color="auto" w:fill="D5DCE4"/>
          </w:tcPr>
          <w:p>
            <w:pPr>
              <w:spacing w:after="0"/>
              <w:rPr>
                <w:sz w:val="20"/>
                <w:szCs w:val="20"/>
                <w:color w:val="auto"/>
              </w:rPr>
            </w:pPr>
          </w:p>
        </w:tc>
        <w:tc>
          <w:tcPr>
            <w:tcW w:w="280" w:type="dxa"/>
            <w:vAlign w:val="bottom"/>
            <w:tcBorders>
              <w:bottom w:val="single" w:sz="8" w:color="D5DCE4"/>
            </w:tcBorders>
            <w:shd w:val="clear" w:color="auto" w:fill="D5DCE4"/>
          </w:tcPr>
          <w:p>
            <w:pPr>
              <w:spacing w:after="0"/>
              <w:rPr>
                <w:sz w:val="20"/>
                <w:szCs w:val="20"/>
                <w:color w:val="auto"/>
              </w:rPr>
            </w:pPr>
          </w:p>
        </w:tc>
        <w:tc>
          <w:tcPr>
            <w:tcW w:w="122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20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320" w:type="dxa"/>
            <w:vAlign w:val="bottom"/>
            <w:tcBorders>
              <w:bottom w:val="single" w:sz="8" w:color="D5DCE4"/>
            </w:tcBorders>
            <w:shd w:val="clear" w:color="auto" w:fill="D5DCE4"/>
          </w:tcPr>
          <w:p>
            <w:pPr>
              <w:spacing w:after="0"/>
              <w:rPr>
                <w:sz w:val="20"/>
                <w:szCs w:val="20"/>
                <w:color w:val="auto"/>
              </w:rPr>
            </w:pPr>
          </w:p>
        </w:tc>
        <w:tc>
          <w:tcPr>
            <w:tcW w:w="118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480" w:type="dxa"/>
            <w:vAlign w:val="bottom"/>
            <w:tcBorders>
              <w:bottom w:val="single" w:sz="8" w:color="D5DCE4"/>
            </w:tcBorders>
            <w:shd w:val="clear" w:color="auto" w:fill="D5DCE4"/>
          </w:tcPr>
          <w:p>
            <w:pPr>
              <w:spacing w:after="0"/>
              <w:rPr>
                <w:sz w:val="20"/>
                <w:szCs w:val="20"/>
                <w:color w:val="auto"/>
              </w:rPr>
            </w:pPr>
          </w:p>
        </w:tc>
        <w:tc>
          <w:tcPr>
            <w:tcW w:w="1040" w:type="dxa"/>
            <w:vAlign w:val="bottom"/>
            <w:tcBorders>
              <w:bottom w:val="single" w:sz="8" w:color="D5DCE4"/>
            </w:tcBorders>
            <w:shd w:val="clear" w:color="auto" w:fill="D5DCE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48,890</w:t>
            </w:r>
          </w:p>
        </w:tc>
        <w:tc>
          <w:tcPr>
            <w:tcW w:w="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55,060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226,828</w:t>
            </w:r>
          </w:p>
        </w:tc>
        <w:tc>
          <w:tcPr>
            <w:tcW w:w="8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166,296</w:t>
            </w:r>
          </w:p>
        </w:tc>
        <w:tc>
          <w:tcPr>
            <w:tcW w:w="0" w:type="dxa"/>
            <w:vAlign w:val="bottom"/>
          </w:tcPr>
          <w:p>
            <w:pPr>
              <w:spacing w:after="0"/>
              <w:rPr>
                <w:sz w:val="1"/>
                <w:szCs w:val="1"/>
                <w:color w:val="auto"/>
              </w:rPr>
            </w:pPr>
          </w:p>
        </w:tc>
      </w:tr>
      <w:tr>
        <w:trPr>
          <w:trHeight w:val="266"/>
        </w:trPr>
        <w:tc>
          <w:tcPr>
            <w:tcW w:w="20" w:type="dxa"/>
            <w:vAlign w:val="bottom"/>
            <w:shd w:val="clear" w:color="auto" w:fill="D5DCE4"/>
          </w:tcPr>
          <w:p>
            <w:pPr>
              <w:spacing w:after="0"/>
              <w:rPr>
                <w:sz w:val="23"/>
                <w:szCs w:val="23"/>
                <w:color w:val="auto"/>
              </w:rPr>
            </w:pPr>
          </w:p>
        </w:tc>
        <w:tc>
          <w:tcPr>
            <w:tcW w:w="820" w:type="dxa"/>
            <w:vAlign w:val="bottom"/>
            <w:shd w:val="clear" w:color="auto" w:fill="D5DCE4"/>
          </w:tcPr>
          <w:p>
            <w:pPr>
              <w:spacing w:after="0"/>
              <w:rPr>
                <w:sz w:val="23"/>
                <w:szCs w:val="23"/>
                <w:color w:val="auto"/>
              </w:rPr>
            </w:pPr>
          </w:p>
        </w:tc>
        <w:tc>
          <w:tcPr>
            <w:tcW w:w="160" w:type="dxa"/>
            <w:vAlign w:val="bottom"/>
            <w:shd w:val="clear" w:color="auto" w:fill="D5DCE4"/>
          </w:tcPr>
          <w:p>
            <w:pPr>
              <w:spacing w:after="0"/>
              <w:rPr>
                <w:sz w:val="23"/>
                <w:szCs w:val="23"/>
                <w:color w:val="auto"/>
              </w:rPr>
            </w:pPr>
          </w:p>
        </w:tc>
        <w:tc>
          <w:tcPr>
            <w:tcW w:w="38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280" w:type="dxa"/>
            <w:vAlign w:val="bottom"/>
            <w:shd w:val="clear" w:color="auto" w:fill="D5DCE4"/>
          </w:tcPr>
          <w:p>
            <w:pPr>
              <w:spacing w:after="0"/>
              <w:rPr>
                <w:sz w:val="23"/>
                <w:szCs w:val="23"/>
                <w:color w:val="auto"/>
              </w:rPr>
            </w:pPr>
          </w:p>
        </w:tc>
        <w:tc>
          <w:tcPr>
            <w:tcW w:w="122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20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320" w:type="dxa"/>
            <w:vAlign w:val="bottom"/>
            <w:shd w:val="clear" w:color="auto" w:fill="D5DCE4"/>
          </w:tcPr>
          <w:p>
            <w:pPr>
              <w:spacing w:after="0"/>
              <w:rPr>
                <w:sz w:val="23"/>
                <w:szCs w:val="23"/>
                <w:color w:val="auto"/>
              </w:rPr>
            </w:pPr>
          </w:p>
        </w:tc>
        <w:tc>
          <w:tcPr>
            <w:tcW w:w="118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80" w:type="dxa"/>
            <w:vAlign w:val="bottom"/>
            <w:shd w:val="clear" w:color="auto" w:fill="D5DCE4"/>
          </w:tcPr>
          <w:p>
            <w:pPr>
              <w:spacing w:after="0"/>
              <w:rPr>
                <w:sz w:val="23"/>
                <w:szCs w:val="23"/>
                <w:color w:val="auto"/>
              </w:rPr>
            </w:pPr>
          </w:p>
        </w:tc>
        <w:tc>
          <w:tcPr>
            <w:tcW w:w="1040" w:type="dxa"/>
            <w:vAlign w:val="bottom"/>
            <w:shd w:val="clear" w:color="auto" w:fill="D5DCE4"/>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D5DCE4"/>
          </w:tcPr>
          <w:p>
            <w:pPr>
              <w:spacing w:after="0"/>
              <w:rPr>
                <w:sz w:val="15"/>
                <w:szCs w:val="15"/>
                <w:color w:val="auto"/>
              </w:rPr>
            </w:pPr>
          </w:p>
        </w:tc>
        <w:tc>
          <w:tcPr>
            <w:tcW w:w="4940" w:type="dxa"/>
            <w:vAlign w:val="bottom"/>
            <w:gridSpan w:val="4"/>
            <w:shd w:val="clear" w:color="auto" w:fill="D5DCE4"/>
          </w:tcPr>
          <w:p>
            <w:pPr>
              <w:spacing w:after="0" w:line="178"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shd w:val="clear" w:color="auto" w:fill="D5DCE4"/>
          </w:tcPr>
          <w:p>
            <w:pPr>
              <w:spacing w:after="0"/>
              <w:rPr>
                <w:sz w:val="15"/>
                <w:szCs w:val="15"/>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202,576,021</w:t>
            </w:r>
          </w:p>
        </w:tc>
        <w:tc>
          <w:tcPr>
            <w:tcW w:w="80" w:type="dxa"/>
            <w:vAlign w:val="bottom"/>
            <w:shd w:val="clear" w:color="auto" w:fill="D5DCE4"/>
          </w:tcPr>
          <w:p>
            <w:pPr>
              <w:spacing w:after="0"/>
              <w:rPr>
                <w:sz w:val="15"/>
                <w:szCs w:val="15"/>
                <w:color w:val="auto"/>
              </w:rPr>
            </w:pPr>
          </w:p>
        </w:tc>
        <w:tc>
          <w:tcPr>
            <w:tcW w:w="320" w:type="dxa"/>
            <w:vAlign w:val="bottom"/>
            <w:shd w:val="clear" w:color="auto" w:fill="D5DCE4"/>
          </w:tcPr>
          <w:p>
            <w:pPr>
              <w:spacing w:after="0"/>
              <w:rPr>
                <w:sz w:val="15"/>
                <w:szCs w:val="15"/>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189,795,356</w:t>
            </w:r>
          </w:p>
        </w:tc>
        <w:tc>
          <w:tcPr>
            <w:tcW w:w="80" w:type="dxa"/>
            <w:vAlign w:val="bottom"/>
            <w:shd w:val="clear" w:color="auto" w:fill="D5DCE4"/>
          </w:tcPr>
          <w:p>
            <w:pPr>
              <w:spacing w:after="0"/>
              <w:rPr>
                <w:sz w:val="15"/>
                <w:szCs w:val="15"/>
                <w:color w:val="auto"/>
              </w:rPr>
            </w:pPr>
          </w:p>
        </w:tc>
        <w:tc>
          <w:tcPr>
            <w:tcW w:w="320" w:type="dxa"/>
            <w:vAlign w:val="bottom"/>
            <w:shd w:val="clear" w:color="auto" w:fill="D5DCE4"/>
          </w:tcPr>
          <w:p>
            <w:pPr>
              <w:spacing w:after="0"/>
              <w:rPr>
                <w:sz w:val="15"/>
                <w:szCs w:val="15"/>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201,419,081</w:t>
            </w:r>
          </w:p>
        </w:tc>
        <w:tc>
          <w:tcPr>
            <w:tcW w:w="80" w:type="dxa"/>
            <w:vAlign w:val="bottom"/>
            <w:shd w:val="clear" w:color="auto" w:fill="D5DCE4"/>
          </w:tcPr>
          <w:p>
            <w:pPr>
              <w:spacing w:after="0"/>
              <w:rPr>
                <w:sz w:val="15"/>
                <w:szCs w:val="15"/>
                <w:color w:val="auto"/>
              </w:rPr>
            </w:pPr>
          </w:p>
        </w:tc>
        <w:tc>
          <w:tcPr>
            <w:tcW w:w="480" w:type="dxa"/>
            <w:vAlign w:val="bottom"/>
            <w:shd w:val="clear" w:color="auto" w:fill="D5DCE4"/>
          </w:tcPr>
          <w:p>
            <w:pPr>
              <w:spacing w:after="0"/>
              <w:rPr>
                <w:sz w:val="15"/>
                <w:szCs w:val="15"/>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180,409,462</w:t>
            </w:r>
          </w:p>
        </w:tc>
        <w:tc>
          <w:tcPr>
            <w:tcW w:w="0" w:type="dxa"/>
            <w:vAlign w:val="bottom"/>
          </w:tcPr>
          <w:p>
            <w:pPr>
              <w:spacing w:after="0"/>
              <w:rPr>
                <w:sz w:val="1"/>
                <w:szCs w:val="1"/>
                <w:color w:val="auto"/>
              </w:rPr>
            </w:pPr>
          </w:p>
        </w:tc>
      </w:tr>
      <w:tr>
        <w:trPr>
          <w:trHeight w:val="201"/>
        </w:trPr>
        <w:tc>
          <w:tcPr>
            <w:tcW w:w="20" w:type="dxa"/>
            <w:vAlign w:val="bottom"/>
            <w:shd w:val="clear" w:color="auto" w:fill="D5DCE4"/>
          </w:tcPr>
          <w:p>
            <w:pPr>
              <w:spacing w:after="0"/>
              <w:rPr>
                <w:sz w:val="17"/>
                <w:szCs w:val="17"/>
                <w:color w:val="auto"/>
              </w:rPr>
            </w:pPr>
          </w:p>
        </w:tc>
        <w:tc>
          <w:tcPr>
            <w:tcW w:w="494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outstanding - Basic</w:t>
            </w:r>
          </w:p>
        </w:tc>
        <w:tc>
          <w:tcPr>
            <w:tcW w:w="280" w:type="dxa"/>
            <w:vAlign w:val="bottom"/>
            <w:shd w:val="clear" w:color="auto" w:fill="D5DCE4"/>
          </w:tcPr>
          <w:p>
            <w:pPr>
              <w:spacing w:after="0"/>
              <w:rPr>
                <w:sz w:val="17"/>
                <w:szCs w:val="17"/>
                <w:color w:val="auto"/>
              </w:rPr>
            </w:pPr>
          </w:p>
        </w:tc>
        <w:tc>
          <w:tcPr>
            <w:tcW w:w="122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20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180" w:type="dxa"/>
            <w:vAlign w:val="bottom"/>
            <w:vMerge w:val="continue"/>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480" w:type="dxa"/>
            <w:vAlign w:val="bottom"/>
            <w:shd w:val="clear" w:color="auto" w:fill="D5DCE4"/>
          </w:tcPr>
          <w:p>
            <w:pPr>
              <w:spacing w:after="0"/>
              <w:rPr>
                <w:sz w:val="17"/>
                <w:szCs w:val="17"/>
                <w:color w:val="auto"/>
              </w:rPr>
            </w:pPr>
          </w:p>
        </w:tc>
        <w:tc>
          <w:tcPr>
            <w:tcW w:w="1040" w:type="dxa"/>
            <w:vAlign w:val="bottom"/>
            <w:vMerge w:val="continue"/>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gridSpan w:val="4"/>
          </w:tcPr>
          <w:p>
            <w:pPr>
              <w:ind w:left="120"/>
              <w:spacing w:after="0"/>
              <w:rPr>
                <w:sz w:val="20"/>
                <w:szCs w:val="20"/>
                <w:color w:val="auto"/>
              </w:rPr>
            </w:pPr>
            <w:r>
              <w:rPr>
                <w:rFonts w:ascii="Arial" w:cs="Arial" w:eastAsia="Arial" w:hAnsi="Arial"/>
                <w:sz w:val="16"/>
                <w:szCs w:val="16"/>
                <w:color w:val="auto"/>
              </w:rPr>
              <w:t>Dilutive effect of equity-settled PRSUs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2,270,263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2,776,023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2,067,558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2,472,801</w:t>
            </w:r>
          </w:p>
        </w:tc>
        <w:tc>
          <w:tcPr>
            <w:tcW w:w="0" w:type="dxa"/>
            <w:vAlign w:val="bottom"/>
          </w:tcPr>
          <w:p>
            <w:pPr>
              <w:spacing w:after="0"/>
              <w:rPr>
                <w:sz w:val="1"/>
                <w:szCs w:val="1"/>
                <w:color w:val="auto"/>
              </w:rPr>
            </w:pPr>
          </w:p>
        </w:tc>
      </w:tr>
      <w:tr>
        <w:trPr>
          <w:trHeight w:val="253"/>
        </w:trPr>
        <w:tc>
          <w:tcPr>
            <w:tcW w:w="20" w:type="dxa"/>
            <w:vAlign w:val="bottom"/>
            <w:shd w:val="clear" w:color="auto" w:fill="D5DCE4"/>
          </w:tcPr>
          <w:p>
            <w:pPr>
              <w:spacing w:after="0"/>
              <w:rPr>
                <w:sz w:val="21"/>
                <w:szCs w:val="21"/>
                <w:color w:val="auto"/>
              </w:rPr>
            </w:pPr>
          </w:p>
        </w:tc>
        <w:tc>
          <w:tcPr>
            <w:tcW w:w="494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280" w:type="dxa"/>
            <w:vAlign w:val="bottom"/>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3,064,477</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4,924,119</w:t>
            </w:r>
          </w:p>
        </w:tc>
        <w:tc>
          <w:tcPr>
            <w:tcW w:w="80" w:type="dxa"/>
            <w:vAlign w:val="bottom"/>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3,473,549</w:t>
            </w: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5,179,109</w:t>
            </w:r>
          </w:p>
        </w:tc>
        <w:tc>
          <w:tcPr>
            <w:tcW w:w="0" w:type="dxa"/>
            <w:vAlign w:val="bottom"/>
          </w:tcPr>
          <w:p>
            <w:pPr>
              <w:spacing w:after="0"/>
              <w:rPr>
                <w:sz w:val="1"/>
                <w:szCs w:val="1"/>
                <w:color w:val="auto"/>
              </w:rPr>
            </w:pPr>
          </w:p>
        </w:tc>
      </w:tr>
      <w:tr>
        <w:trPr>
          <w:trHeight w:val="236"/>
        </w:trPr>
        <w:tc>
          <w:tcPr>
            <w:tcW w:w="20" w:type="dxa"/>
            <w:vAlign w:val="bottom"/>
            <w:tcBorders>
              <w:bottom w:val="single" w:sz="8" w:color="D5DCE4"/>
            </w:tcBorders>
          </w:tcPr>
          <w:p>
            <w:pPr>
              <w:spacing w:after="0"/>
              <w:rPr>
                <w:sz w:val="20"/>
                <w:szCs w:val="20"/>
                <w:color w:val="auto"/>
              </w:rPr>
            </w:pPr>
          </w:p>
        </w:tc>
        <w:tc>
          <w:tcPr>
            <w:tcW w:w="4940" w:type="dxa"/>
            <w:vAlign w:val="bottom"/>
            <w:tcBorders>
              <w:bottom w:val="single" w:sz="8" w:color="D5DCE4"/>
            </w:tcBorders>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371,561</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249,799</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294,652</w:t>
            </w:r>
          </w:p>
        </w:tc>
        <w:tc>
          <w:tcPr>
            <w:tcW w:w="80" w:type="dxa"/>
            <w:vAlign w:val="bottom"/>
            <w:tcBorders>
              <w:bottom w:val="single" w:sz="8" w:color="D5DCE4"/>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161,660</w:t>
            </w:r>
          </w:p>
        </w:tc>
        <w:tc>
          <w:tcPr>
            <w:tcW w:w="0" w:type="dxa"/>
            <w:vAlign w:val="bottom"/>
          </w:tcPr>
          <w:p>
            <w:pPr>
              <w:spacing w:after="0"/>
              <w:rPr>
                <w:sz w:val="1"/>
                <w:szCs w:val="1"/>
                <w:color w:val="auto"/>
              </w:rPr>
            </w:pPr>
          </w:p>
        </w:tc>
      </w:tr>
      <w:tr>
        <w:trPr>
          <w:trHeight w:val="164"/>
        </w:trPr>
        <w:tc>
          <w:tcPr>
            <w:tcW w:w="20" w:type="dxa"/>
            <w:vAlign w:val="bottom"/>
            <w:shd w:val="clear" w:color="auto" w:fill="D5DCE4"/>
          </w:tcPr>
          <w:p>
            <w:pPr>
              <w:spacing w:after="0"/>
              <w:rPr>
                <w:sz w:val="14"/>
                <w:szCs w:val="14"/>
                <w:color w:val="auto"/>
              </w:rPr>
            </w:pPr>
          </w:p>
        </w:tc>
        <w:tc>
          <w:tcPr>
            <w:tcW w:w="4940" w:type="dxa"/>
            <w:vAlign w:val="bottom"/>
            <w:gridSpan w:val="4"/>
            <w:shd w:val="clear" w:color="auto" w:fill="D5DCE4"/>
          </w:tcPr>
          <w:p>
            <w:pPr>
              <w:spacing w:after="0" w:line="164" w:lineRule="exact"/>
              <w:rPr>
                <w:sz w:val="20"/>
                <w:szCs w:val="20"/>
                <w:color w:val="auto"/>
              </w:rPr>
            </w:pPr>
            <w:r>
              <w:rPr>
                <w:rFonts w:ascii="Arial" w:cs="Arial" w:eastAsia="Arial" w:hAnsi="Arial"/>
                <w:sz w:val="16"/>
                <w:szCs w:val="16"/>
                <w:color w:val="auto"/>
              </w:rPr>
              <w:t>Weighted average shares of Class A and Class B common stock</w:t>
            </w:r>
          </w:p>
        </w:tc>
        <w:tc>
          <w:tcPr>
            <w:tcW w:w="280" w:type="dxa"/>
            <w:vAlign w:val="bottom"/>
            <w:shd w:val="clear" w:color="auto" w:fill="D5DCE4"/>
          </w:tcPr>
          <w:p>
            <w:pPr>
              <w:spacing w:after="0"/>
              <w:rPr>
                <w:sz w:val="14"/>
                <w:szCs w:val="14"/>
                <w:color w:val="auto"/>
              </w:rPr>
            </w:pPr>
          </w:p>
        </w:tc>
        <w:tc>
          <w:tcPr>
            <w:tcW w:w="122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208,282,322</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2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197,745,297</w:t>
            </w:r>
          </w:p>
        </w:tc>
        <w:tc>
          <w:tcPr>
            <w:tcW w:w="80" w:type="dxa"/>
            <w:vAlign w:val="bottom"/>
            <w:shd w:val="clear" w:color="auto" w:fill="D5DCE4"/>
          </w:tcPr>
          <w:p>
            <w:pPr>
              <w:spacing w:after="0"/>
              <w:rPr>
                <w:sz w:val="14"/>
                <w:szCs w:val="14"/>
                <w:color w:val="auto"/>
              </w:rPr>
            </w:pPr>
          </w:p>
        </w:tc>
        <w:tc>
          <w:tcPr>
            <w:tcW w:w="320" w:type="dxa"/>
            <w:vAlign w:val="bottom"/>
            <w:shd w:val="clear" w:color="auto" w:fill="D5DCE4"/>
          </w:tcPr>
          <w:p>
            <w:pPr>
              <w:spacing w:after="0"/>
              <w:rPr>
                <w:sz w:val="14"/>
                <w:szCs w:val="14"/>
                <w:color w:val="auto"/>
              </w:rPr>
            </w:pPr>
          </w:p>
        </w:tc>
        <w:tc>
          <w:tcPr>
            <w:tcW w:w="11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207,254,840</w:t>
            </w:r>
          </w:p>
        </w:tc>
        <w:tc>
          <w:tcPr>
            <w:tcW w:w="80" w:type="dxa"/>
            <w:vAlign w:val="bottom"/>
            <w:shd w:val="clear" w:color="auto" w:fill="D5DCE4"/>
          </w:tcPr>
          <w:p>
            <w:pPr>
              <w:spacing w:after="0"/>
              <w:rPr>
                <w:sz w:val="14"/>
                <w:szCs w:val="14"/>
                <w:color w:val="auto"/>
              </w:rPr>
            </w:pPr>
          </w:p>
        </w:tc>
        <w:tc>
          <w:tcPr>
            <w:tcW w:w="480" w:type="dxa"/>
            <w:vAlign w:val="bottom"/>
            <w:shd w:val="clear" w:color="auto" w:fill="D5DCE4"/>
          </w:tcPr>
          <w:p>
            <w:pPr>
              <w:spacing w:after="0"/>
              <w:rPr>
                <w:sz w:val="14"/>
                <w:szCs w:val="14"/>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188,223,032</w:t>
            </w:r>
          </w:p>
        </w:tc>
        <w:tc>
          <w:tcPr>
            <w:tcW w:w="0" w:type="dxa"/>
            <w:vAlign w:val="bottom"/>
          </w:tcPr>
          <w:p>
            <w:pPr>
              <w:spacing w:after="0"/>
              <w:rPr>
                <w:sz w:val="1"/>
                <w:szCs w:val="1"/>
                <w:color w:val="auto"/>
              </w:rPr>
            </w:pPr>
          </w:p>
        </w:tc>
      </w:tr>
      <w:tr>
        <w:trPr>
          <w:trHeight w:val="194"/>
        </w:trPr>
        <w:tc>
          <w:tcPr>
            <w:tcW w:w="20" w:type="dxa"/>
            <w:vAlign w:val="bottom"/>
            <w:tcBorders>
              <w:bottom w:val="single" w:sz="8" w:color="D5DCE4"/>
            </w:tcBorders>
            <w:shd w:val="clear" w:color="auto" w:fill="D5DCE4"/>
          </w:tcPr>
          <w:p>
            <w:pPr>
              <w:spacing w:after="0"/>
              <w:rPr>
                <w:sz w:val="16"/>
                <w:szCs w:val="16"/>
                <w:color w:val="auto"/>
              </w:rPr>
            </w:pPr>
          </w:p>
        </w:tc>
        <w:tc>
          <w:tcPr>
            <w:tcW w:w="4940" w:type="dxa"/>
            <w:vAlign w:val="bottom"/>
            <w:tcBorders>
              <w:bottom w:val="single" w:sz="8" w:color="D5DCE4"/>
            </w:tcBorders>
            <w:gridSpan w:val="4"/>
            <w:shd w:val="clear" w:color="auto" w:fill="D5DCE4"/>
          </w:tcPr>
          <w:p>
            <w:pPr>
              <w:spacing w:after="0" w:line="174" w:lineRule="exact"/>
              <w:rPr>
                <w:sz w:val="20"/>
                <w:szCs w:val="20"/>
                <w:color w:val="auto"/>
              </w:rPr>
            </w:pPr>
            <w:r>
              <w:rPr>
                <w:rFonts w:ascii="Arial" w:cs="Arial" w:eastAsia="Arial" w:hAnsi="Arial"/>
                <w:sz w:val="16"/>
                <w:szCs w:val="16"/>
                <w:color w:val="auto"/>
              </w:rPr>
              <w:t>outstanding - Diluted</w:t>
            </w:r>
          </w:p>
        </w:tc>
        <w:tc>
          <w:tcPr>
            <w:tcW w:w="280" w:type="dxa"/>
            <w:vAlign w:val="bottom"/>
            <w:tcBorders>
              <w:bottom w:val="single" w:sz="8" w:color="auto"/>
            </w:tcBorders>
            <w:shd w:val="clear" w:color="auto" w:fill="D5DCE4"/>
          </w:tcPr>
          <w:p>
            <w:pPr>
              <w:spacing w:after="0"/>
              <w:rPr>
                <w:sz w:val="16"/>
                <w:szCs w:val="16"/>
                <w:color w:val="auto"/>
              </w:rPr>
            </w:pPr>
          </w:p>
        </w:tc>
        <w:tc>
          <w:tcPr>
            <w:tcW w:w="122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320" w:type="dxa"/>
            <w:vAlign w:val="bottom"/>
            <w:tcBorders>
              <w:bottom w:val="single" w:sz="8" w:color="auto"/>
            </w:tcBorders>
            <w:shd w:val="clear" w:color="auto" w:fill="D5DCE4"/>
          </w:tcPr>
          <w:p>
            <w:pPr>
              <w:spacing w:after="0"/>
              <w:rPr>
                <w:sz w:val="16"/>
                <w:szCs w:val="16"/>
                <w:color w:val="auto"/>
              </w:rPr>
            </w:pPr>
          </w:p>
        </w:tc>
        <w:tc>
          <w:tcPr>
            <w:tcW w:w="120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320" w:type="dxa"/>
            <w:vAlign w:val="bottom"/>
            <w:tcBorders>
              <w:bottom w:val="single" w:sz="8" w:color="auto"/>
            </w:tcBorders>
            <w:shd w:val="clear" w:color="auto" w:fill="D5DCE4"/>
          </w:tcPr>
          <w:p>
            <w:pPr>
              <w:spacing w:after="0"/>
              <w:rPr>
                <w:sz w:val="16"/>
                <w:szCs w:val="16"/>
                <w:color w:val="auto"/>
              </w:rPr>
            </w:pPr>
          </w:p>
        </w:tc>
        <w:tc>
          <w:tcPr>
            <w:tcW w:w="1180" w:type="dxa"/>
            <w:vAlign w:val="bottom"/>
            <w:tcBorders>
              <w:bottom w:val="single" w:sz="8" w:color="auto"/>
            </w:tcBorders>
            <w:vMerge w:val="continue"/>
            <w:shd w:val="clear" w:color="auto" w:fill="D5DCE4"/>
          </w:tcPr>
          <w:p>
            <w:pPr>
              <w:spacing w:after="0"/>
              <w:rPr>
                <w:sz w:val="16"/>
                <w:szCs w:val="16"/>
                <w:color w:val="auto"/>
              </w:rPr>
            </w:pPr>
          </w:p>
        </w:tc>
        <w:tc>
          <w:tcPr>
            <w:tcW w:w="80" w:type="dxa"/>
            <w:vAlign w:val="bottom"/>
            <w:tcBorders>
              <w:bottom w:val="single" w:sz="8" w:color="D5DCE4"/>
            </w:tcBorders>
            <w:shd w:val="clear" w:color="auto" w:fill="D5DCE4"/>
          </w:tcPr>
          <w:p>
            <w:pPr>
              <w:spacing w:after="0"/>
              <w:rPr>
                <w:sz w:val="16"/>
                <w:szCs w:val="16"/>
                <w:color w:val="auto"/>
              </w:rPr>
            </w:pPr>
          </w:p>
        </w:tc>
        <w:tc>
          <w:tcPr>
            <w:tcW w:w="480" w:type="dxa"/>
            <w:vAlign w:val="bottom"/>
            <w:tcBorders>
              <w:bottom w:val="single" w:sz="8" w:color="auto"/>
            </w:tcBorders>
            <w:shd w:val="clear" w:color="auto" w:fill="D5DCE4"/>
          </w:tcPr>
          <w:p>
            <w:pPr>
              <w:spacing w:after="0"/>
              <w:rPr>
                <w:sz w:val="16"/>
                <w:szCs w:val="16"/>
                <w:color w:val="auto"/>
              </w:rPr>
            </w:pPr>
          </w:p>
        </w:tc>
        <w:tc>
          <w:tcPr>
            <w:tcW w:w="1040" w:type="dxa"/>
            <w:vAlign w:val="bottom"/>
            <w:tcBorders>
              <w:bottom w:val="single" w:sz="8" w:color="auto"/>
            </w:tcBorders>
            <w:vMerge w:val="continue"/>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494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280" w:type="dxa"/>
            <w:vAlign w:val="bottom"/>
            <w:tcBorders>
              <w:bottom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0.24</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0.29</w:t>
            </w:r>
          </w:p>
        </w:tc>
        <w:tc>
          <w:tcPr>
            <w:tcW w:w="80" w:type="dxa"/>
            <w:vAlign w:val="bottom"/>
            <w:tcBorders>
              <w:bottom w:val="single" w:sz="8" w:color="D5DCE4"/>
            </w:tcBorders>
            <w:shd w:val="clear" w:color="auto" w:fill="D5DCE4"/>
          </w:tcPr>
          <w:p>
            <w:pPr>
              <w:spacing w:after="0"/>
              <w:rPr>
                <w:sz w:val="22"/>
                <w:szCs w:val="22"/>
                <w:color w:val="auto"/>
              </w:rPr>
            </w:pP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D5DCE4"/>
            </w:tcBorders>
            <w:shd w:val="clear" w:color="auto" w:fill="D5DCE4"/>
          </w:tcPr>
          <w:p>
            <w:pPr>
              <w:spacing w:after="0"/>
              <w:rPr>
                <w:sz w:val="22"/>
                <w:szCs w:val="22"/>
                <w:color w:val="auto"/>
              </w:rPr>
            </w:pP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38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D5DCE4"/>
              <w:bottom w:val="single" w:sz="8" w:color="auto"/>
            </w:tcBorders>
          </w:tcPr>
          <w:p>
            <w:pPr>
              <w:spacing w:after="0" w:line="20" w:lineRule="exact"/>
              <w:rPr>
                <w:sz w:val="1"/>
                <w:szCs w:val="1"/>
                <w:color w:val="auto"/>
              </w:rPr>
            </w:pPr>
          </w:p>
        </w:tc>
        <w:tc>
          <w:tcPr>
            <w:tcW w:w="12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20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040" w:type="dxa"/>
            <w:vAlign w:val="bottom"/>
            <w:tcBorders>
              <w:top w:val="single" w:sz="8" w:color="D5DC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0.28</w:t>
            </w:r>
          </w:p>
        </w:tc>
        <w:tc>
          <w:tcPr>
            <w:tcW w:w="8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2140" w:type="dxa"/>
            <w:vAlign w:val="bottom"/>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204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8"/>
                <w:szCs w:val="18"/>
                <w:color w:val="auto"/>
              </w:rPr>
            </w:pPr>
          </w:p>
        </w:tc>
        <w:tc>
          <w:tcPr>
            <w:tcW w:w="18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Year Ended</w:t>
            </w:r>
          </w:p>
        </w:tc>
      </w:tr>
      <w:tr>
        <w:trPr>
          <w:trHeight w:val="256"/>
        </w:trPr>
        <w:tc>
          <w:tcPr>
            <w:tcW w:w="2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December 31, 2020</w:t>
            </w:r>
          </w:p>
        </w:tc>
      </w:tr>
      <w:tr>
        <w:trPr>
          <w:trHeight w:val="236"/>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Variable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r>
      <w:tr>
        <w:trPr>
          <w:trHeight w:val="274"/>
        </w:trPr>
        <w:tc>
          <w:tcPr>
            <w:tcW w:w="2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5"/>
          </w:tcPr>
          <w:p>
            <w:pPr>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3"/>
        </w:trPr>
        <w:tc>
          <w:tcPr>
            <w:tcW w:w="25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88,090</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58,438</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69,045</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52,654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338,395</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224,483</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270,826</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205,501</w:t>
            </w:r>
          </w:p>
        </w:tc>
      </w:tr>
      <w:tr>
        <w:trPr>
          <w:trHeight w:val="233"/>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66,915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53,205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266,367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26,070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189,789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22,765</w:t>
            </w:r>
          </w:p>
        </w:tc>
      </w:tr>
      <w:tr>
        <w:trPr>
          <w:trHeight w:val="253"/>
        </w:trPr>
        <w:tc>
          <w:tcPr>
            <w:tcW w:w="25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15,752</w:t>
            </w: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2,609</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12,202</w:t>
            </w:r>
          </w:p>
        </w:tc>
        <w:tc>
          <w:tcPr>
            <w:tcW w:w="200" w:type="dxa"/>
            <w:vAlign w:val="bottom"/>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2,809</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60,579</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10,497</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51,536</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10,173</w:t>
            </w:r>
          </w:p>
        </w:tc>
      </w:tr>
      <w:tr>
        <w:trPr>
          <w:trHeight w:val="233"/>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6,336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27,884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16,312</w:t>
            </w:r>
          </w:p>
        </w:tc>
      </w:tr>
      <w:tr>
        <w:trPr>
          <w:trHeight w:val="253"/>
        </w:trPr>
        <w:tc>
          <w:tcPr>
            <w:tcW w:w="25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100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21,648</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102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20,864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82,142</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0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76,521</w:t>
            </w:r>
          </w:p>
        </w:tc>
      </w:tr>
      <w:tr>
        <w:trPr>
          <w:trHeight w:val="236"/>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22,928</w:t>
            </w:r>
          </w:p>
        </w:tc>
      </w:tr>
      <w:tr>
        <w:trPr>
          <w:trHeight w:val="268"/>
        </w:trPr>
        <w:tc>
          <w:tcPr>
            <w:tcW w:w="258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177,488</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99,395</w:t>
            </w:r>
          </w:p>
        </w:tc>
        <w:tc>
          <w:tcPr>
            <w:tcW w:w="12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140,788</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92,288</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693,225</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383,222</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538,459</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1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354,200</w:t>
            </w:r>
          </w:p>
        </w:tc>
      </w:tr>
      <w:tr>
        <w:trPr>
          <w:trHeight w:val="20"/>
        </w:trPr>
        <w:tc>
          <w:tcPr>
            <w:tcW w:w="23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60" w:type="dxa"/>
            <w:vAlign w:val="bottom"/>
            <w:tcBorders>
              <w:top w:val="single" w:sz="8" w:color="D5DCE4"/>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2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gridSpan w:val="5"/>
          </w:tcPr>
          <w:p>
            <w:pPr>
              <w:ind w:left="460"/>
              <w:spacing w:after="0"/>
              <w:rPr>
                <w:sz w:val="20"/>
                <w:szCs w:val="20"/>
                <w:color w:val="auto"/>
              </w:rPr>
            </w:pPr>
            <w:r>
              <w:rPr>
                <w:rFonts w:ascii="Arial" w:cs="Arial" w:eastAsia="Arial" w:hAnsi="Arial"/>
                <w:sz w:val="16"/>
                <w:szCs w:val="16"/>
                <w:b w:val="1"/>
                <w:bCs w:val="1"/>
                <w:color w:val="auto"/>
              </w:rPr>
              <w:t>Quarter Ended December 31,</w:t>
            </w: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56"/>
        </w:trPr>
        <w:tc>
          <w:tcPr>
            <w:tcW w:w="4980" w:type="dxa"/>
            <w:vAlign w:val="bottom"/>
            <w:tcBorders>
              <w:bottom w:val="single" w:sz="8" w:color="D5DCE4"/>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5DCE4"/>
            </w:tcBorders>
          </w:tcPr>
          <w:p>
            <w:pPr>
              <w:spacing w:after="0"/>
              <w:rPr>
                <w:sz w:val="22"/>
                <w:szCs w:val="22"/>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1.93</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2.05</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(5.8)%</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Cash Rates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1.98</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(21.9)%</w:t>
            </w:r>
          </w:p>
        </w:tc>
      </w:tr>
      <w:tr>
        <w:trPr>
          <w:trHeight w:val="233"/>
        </w:trPr>
        <w:tc>
          <w:tcPr>
            <w:tcW w:w="4980" w:type="dxa"/>
            <w:vAlign w:val="bottom"/>
          </w:tcPr>
          <w:p>
            <w:pPr>
              <w:ind w:left="240"/>
              <w:spacing w:after="0"/>
              <w:rPr>
                <w:sz w:val="20"/>
                <w:szCs w:val="20"/>
                <w:color w:val="auto"/>
              </w:rPr>
            </w:pPr>
            <w:r>
              <w:rPr>
                <w:rFonts w:ascii="Arial" w:cs="Arial" w:eastAsia="Arial" w:hAnsi="Arial"/>
                <w:sz w:val="16"/>
                <w:szCs w:val="16"/>
                <w:color w:val="auto"/>
              </w:rPr>
              <w:t>Swaps / Swaptions Tenor (greater than 1 year)</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53"/>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0.14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0.17</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57.02</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47.52</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20.0 %</w:t>
            </w:r>
          </w:p>
        </w:tc>
      </w:tr>
      <w:tr>
        <w:trPr>
          <w:trHeight w:val="243"/>
        </w:trPr>
        <w:tc>
          <w:tcPr>
            <w:tcW w:w="47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149.49</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129.27</w:t>
            </w:r>
          </w:p>
        </w:tc>
        <w:tc>
          <w:tcPr>
            <w:tcW w:w="1420" w:type="dxa"/>
            <w:vAlign w:val="bottom"/>
          </w:tcPr>
          <w:p>
            <w:pPr>
              <w:jc w:val="right"/>
              <w:spacing w:after="0"/>
              <w:rPr>
                <w:sz w:val="20"/>
                <w:szCs w:val="20"/>
                <w:color w:val="auto"/>
              </w:rPr>
            </w:pPr>
            <w:r>
              <w:rPr>
                <w:rFonts w:ascii="Arial" w:cs="Arial" w:eastAsia="Arial" w:hAnsi="Arial"/>
                <w:sz w:val="16"/>
                <w:szCs w:val="16"/>
                <w:color w:val="auto"/>
              </w:rPr>
              <w:t>15.6 %</w:t>
            </w:r>
          </w:p>
        </w:tc>
      </w:tr>
      <w:tr>
        <w:trPr>
          <w:trHeight w:val="243"/>
        </w:trPr>
        <w:tc>
          <w:tcPr>
            <w:tcW w:w="47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8.08</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7.55</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7.0 %</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15.40</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15.38</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0.1 %</w:t>
            </w:r>
          </w:p>
        </w:tc>
      </w:tr>
      <w:tr>
        <w:trPr>
          <w:trHeight w:val="233"/>
        </w:trPr>
        <w:tc>
          <w:tcPr>
            <w:tcW w:w="4760" w:type="dxa"/>
            <w:vAlign w:val="bottom"/>
          </w:tcPr>
          <w:p>
            <w:pPr>
              <w:ind w:left="140"/>
              <w:spacing w:after="0"/>
              <w:rPr>
                <w:sz w:val="20"/>
                <w:szCs w:val="20"/>
                <w:color w:val="auto"/>
              </w:rPr>
            </w:pPr>
            <w:r>
              <w:rPr>
                <w:rFonts w:ascii="Arial" w:cs="Arial" w:eastAsia="Arial" w:hAnsi="Arial"/>
                <w:sz w:val="16"/>
                <w:szCs w:val="16"/>
                <w:color w:val="auto"/>
              </w:rPr>
              <w:t>Cash Equities</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23.84</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color w:val="auto"/>
              </w:rPr>
              <w:t>22.39</w:t>
            </w:r>
          </w:p>
        </w:tc>
        <w:tc>
          <w:tcPr>
            <w:tcW w:w="142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53"/>
        </w:trPr>
        <w:tc>
          <w:tcPr>
            <w:tcW w:w="47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Equity Derivatives</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rPr>
              <w:t>5.62</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color w:val="auto"/>
              </w:rPr>
              <w:t>6.79</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 (Cash)</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0.31</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0.31</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(0.8)%</w:t>
            </w:r>
          </w:p>
        </w:tc>
      </w:tr>
      <w:tr>
        <w:trPr>
          <w:trHeight w:val="216"/>
        </w:trPr>
        <w:tc>
          <w:tcPr>
            <w:tcW w:w="4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47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980" w:type="dxa"/>
            <w:vAlign w:val="bottom"/>
            <w:shd w:val="clear" w:color="auto" w:fill="D5DCE4"/>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2.55</w:t>
            </w:r>
          </w:p>
        </w:tc>
        <w:tc>
          <w:tcPr>
            <w:tcW w:w="840" w:type="dxa"/>
            <w:vAlign w:val="bottom"/>
            <w:shd w:val="clear" w:color="auto" w:fill="D5DCE4"/>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shd w:val="clear" w:color="auto" w:fill="D5DCE4"/>
          </w:tcPr>
          <w:p>
            <w:pPr>
              <w:jc w:val="right"/>
              <w:ind w:right="779"/>
              <w:spacing w:after="0"/>
              <w:rPr>
                <w:sz w:val="20"/>
                <w:szCs w:val="20"/>
                <w:color w:val="auto"/>
              </w:rPr>
            </w:pPr>
            <w:r>
              <w:rPr>
                <w:rFonts w:ascii="Arial" w:cs="Arial" w:eastAsia="Arial" w:hAnsi="Arial"/>
                <w:sz w:val="16"/>
                <w:szCs w:val="16"/>
                <w:b w:val="1"/>
                <w:bCs w:val="1"/>
                <w:color w:val="auto"/>
              </w:rPr>
              <w:t>2.51</w:t>
            </w:r>
          </w:p>
        </w:tc>
        <w:tc>
          <w:tcPr>
            <w:tcW w:w="14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1.4 %</w:t>
            </w:r>
          </w:p>
        </w:tc>
      </w:tr>
      <w:tr>
        <w:trPr>
          <w:trHeight w:val="294"/>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Fees per Million excluding Other Rates Derivatives </w:t>
            </w:r>
            <w:r>
              <w:rPr>
                <w:rFonts w:ascii="Arial" w:cs="Arial" w:eastAsia="Arial" w:hAnsi="Arial"/>
                <w:sz w:val="21"/>
                <w:szCs w:val="21"/>
                <w:b w:val="1"/>
                <w:bCs w:val="1"/>
                <w:color w:val="auto"/>
                <w:vertAlign w:val="superscript"/>
              </w:rPr>
              <w:t>(3)</w:t>
            </w:r>
          </w:p>
        </w:tc>
        <w:tc>
          <w:tcPr>
            <w:tcW w:w="9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3.02</w:t>
            </w:r>
          </w:p>
        </w:tc>
        <w:tc>
          <w:tcPr>
            <w:tcW w:w="8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2.70</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11.9 %</w:t>
            </w:r>
          </w:p>
        </w:tc>
      </w:tr>
    </w:tbl>
    <w:p>
      <w:pPr>
        <w:spacing w:after="0" w:line="160" w:lineRule="exact"/>
        <w:rPr>
          <w:sz w:val="20"/>
          <w:szCs w:val="20"/>
          <w:color w:val="auto"/>
        </w:rPr>
      </w:pPr>
    </w:p>
    <w:p>
      <w:pPr>
        <w:ind w:left="340" w:hanging="251"/>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ind w:left="340" w:hanging="251"/>
        <w:spacing w:after="0" w:line="234"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ind w:left="340" w:hanging="251"/>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2021 Q4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ind w:left="1020"/>
              <w:spacing w:after="0"/>
              <w:rPr>
                <w:sz w:val="20"/>
                <w:szCs w:val="20"/>
                <w:color w:val="auto"/>
              </w:rPr>
            </w:pPr>
            <w:r>
              <w:rPr>
                <w:rFonts w:ascii="Arial" w:cs="Arial" w:eastAsia="Arial" w:hAnsi="Arial"/>
                <w:sz w:val="16"/>
                <w:szCs w:val="16"/>
                <w:b w:val="1"/>
                <w:bCs w:val="1"/>
                <w:color w:val="auto"/>
              </w:rPr>
              <w:t>2020 Q4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ind w:left="60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20" w:type="dxa"/>
            <w:vAlign w:val="bottom"/>
            <w:tcBorders>
              <w:bottom w:val="single" w:sz="8" w:color="D5DCE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2"/>
                <w:szCs w:val="22"/>
                <w:color w:val="auto"/>
              </w:rPr>
            </w:pPr>
          </w:p>
        </w:tc>
        <w:tc>
          <w:tcPr>
            <w:tcW w:w="15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345,517</w:t>
            </w:r>
          </w:p>
        </w:tc>
        <w:tc>
          <w:tcPr>
            <w:tcW w:w="420" w:type="dxa"/>
            <w:vAlign w:val="bottom"/>
            <w:shd w:val="clear" w:color="auto" w:fill="D5DCE4"/>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21,489,844</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327,865</w:t>
            </w:r>
          </w:p>
        </w:tc>
        <w:tc>
          <w:tcPr>
            <w:tcW w:w="440" w:type="dxa"/>
            <w:vAlign w:val="bottom"/>
            <w:shd w:val="clear" w:color="auto" w:fill="D5DCE4"/>
          </w:tcPr>
          <w:p>
            <w:pPr>
              <w:jc w:val="center"/>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20,382,030</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5.38 %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Government Bonds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135,027</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8,371,666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91,733</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5,687,470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47.19 %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European Government Bonds</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30,999</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1,983,966</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24,942</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1,596,300</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24.29 %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Mortgages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175,504</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10,881,258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207,291</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12,852,011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Government Bonds</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3,987</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252,953</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3,899</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246,248</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383,514</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24,138,900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209,442</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13,220,482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83.11 %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Swaps/Swaptions ≥ 1Y</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200,495</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12,639,759</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142,921</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9,001,633</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40.28 %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Swaps/Swaptions &lt; 1Y</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182,152</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11,445,372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65,988</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4,185,769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176.04 %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867</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53,769</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534</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33,080</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62.54 %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0" w:type="dxa"/>
            <w:vAlign w:val="bottom"/>
            <w:tcBorders>
              <w:bottom w:val="single" w:sz="8" w:color="D5DCE4"/>
            </w:tcBorders>
          </w:tcPr>
          <w:p>
            <w:pPr>
              <w:spacing w:after="0"/>
              <w:rPr>
                <w:sz w:val="20"/>
                <w:szCs w:val="20"/>
                <w:color w:val="auto"/>
              </w:rPr>
            </w:pPr>
          </w:p>
        </w:tc>
        <w:tc>
          <w:tcPr>
            <w:tcW w:w="24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729,031</w:t>
            </w:r>
          </w:p>
        </w:tc>
        <w:tc>
          <w:tcPr>
            <w:tcW w:w="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45,628,744</w:t>
            </w:r>
          </w:p>
        </w:tc>
        <w:tc>
          <w:tcPr>
            <w:tcW w:w="100" w:type="dxa"/>
            <w:vAlign w:val="bottom"/>
            <w:tcBorders>
              <w:bottom w:val="single" w:sz="8" w:color="D5DCE4"/>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537,308</w:t>
            </w:r>
          </w:p>
        </w:tc>
        <w:tc>
          <w:tcPr>
            <w:tcW w:w="4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33,602,512</w:t>
            </w:r>
          </w:p>
        </w:tc>
        <w:tc>
          <w:tcPr>
            <w:tcW w:w="100" w:type="dxa"/>
            <w:vAlign w:val="bottom"/>
            <w:tcBorders>
              <w:bottom w:val="single" w:sz="8" w:color="D5DCE4"/>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8,846</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550,610</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8,328</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516,514</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6.21 %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High Grade</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4,855</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300,979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4,393</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272,335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10.52 %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U.S. High Yield</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978</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60,666</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604</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37,455</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61.97 %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European Credit</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1,597</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102,180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1,541</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98,623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Municipal Bonds</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183</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11,374</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199</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12,350</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Chinese Bonds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1,141</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69,587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1,501</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90,057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Other Credit Bonds</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92</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91</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5,695</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9,886</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623,015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9,587</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603,015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3.12 %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Swaps</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9,886</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623,015</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9,587</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603,015</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0" w:type="dxa"/>
            <w:vAlign w:val="bottom"/>
            <w:tcBorders>
              <w:bottom w:val="single" w:sz="8" w:color="D5DCE4"/>
            </w:tcBorders>
          </w:tcPr>
          <w:p>
            <w:pPr>
              <w:spacing w:after="0"/>
              <w:rPr>
                <w:sz w:val="20"/>
                <w:szCs w:val="20"/>
                <w:color w:val="auto"/>
              </w:rPr>
            </w:pPr>
          </w:p>
        </w:tc>
        <w:tc>
          <w:tcPr>
            <w:tcW w:w="242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18,732</w:t>
            </w:r>
          </w:p>
        </w:tc>
        <w:tc>
          <w:tcPr>
            <w:tcW w:w="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1,173,625</w:t>
            </w:r>
          </w:p>
        </w:tc>
        <w:tc>
          <w:tcPr>
            <w:tcW w:w="100" w:type="dxa"/>
            <w:vAlign w:val="bottom"/>
            <w:tcBorders>
              <w:bottom w:val="single" w:sz="8" w:color="D5DCE4"/>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17,915</w:t>
            </w:r>
          </w:p>
        </w:tc>
        <w:tc>
          <w:tcPr>
            <w:tcW w:w="4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1,119,529</w:t>
            </w:r>
          </w:p>
        </w:tc>
        <w:tc>
          <w:tcPr>
            <w:tcW w:w="100" w:type="dxa"/>
            <w:vAlign w:val="bottom"/>
            <w:tcBorders>
              <w:bottom w:val="single" w:sz="8" w:color="D5DCE4"/>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2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8,577</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548,912</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6,826</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436,848</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25.65 %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U.S. ETFs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6,136</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392,673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4,656</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297,966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31.78 %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Europe ETFs</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2,441</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156,239</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2,170</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138,882</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12.50 %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7,407</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474,029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5,568</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356,342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33.03 %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Options/Convertibles/Swaps</w:t>
            </w:r>
          </w:p>
        </w:tc>
        <w:tc>
          <w:tcPr>
            <w:tcW w:w="100" w:type="dxa"/>
            <w:vAlign w:val="bottom"/>
            <w:shd w:val="clear" w:color="auto" w:fill="D5DCE4"/>
          </w:tcPr>
          <w:p>
            <w:pPr>
              <w:spacing w:after="0"/>
              <w:rPr>
                <w:sz w:val="21"/>
                <w:szCs w:val="21"/>
                <w:color w:val="auto"/>
              </w:rPr>
            </w:pPr>
          </w:p>
        </w:tc>
        <w:tc>
          <w:tcPr>
            <w:tcW w:w="138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3,455</w:t>
            </w:r>
          </w:p>
        </w:tc>
        <w:tc>
          <w:tcPr>
            <w:tcW w:w="42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221,114</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2,639</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168,879</w:t>
            </w:r>
          </w:p>
        </w:tc>
        <w:tc>
          <w:tcPr>
            <w:tcW w:w="100" w:type="dxa"/>
            <w:vAlign w:val="bottom"/>
            <w:tcBorders>
              <w:right w:val="single" w:sz="8" w:color="D5DCE4"/>
            </w:tcBorders>
            <w:shd w:val="clear" w:color="auto" w:fill="D5DCE4"/>
          </w:tcPr>
          <w:p>
            <w:pPr>
              <w:spacing w:after="0"/>
              <w:rPr>
                <w:sz w:val="21"/>
                <w:szCs w:val="21"/>
                <w:color w:val="auto"/>
              </w:rPr>
            </w:pPr>
          </w:p>
        </w:tc>
        <w:tc>
          <w:tcPr>
            <w:tcW w:w="15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30.93 %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Futures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3,952</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252,915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2,929</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187,463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34.91 %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0" w:type="dxa"/>
            <w:vAlign w:val="bottom"/>
            <w:tcBorders>
              <w:top w:val="single" w:sz="8" w:color="D5DCE4"/>
              <w:right w:val="single" w:sz="8" w:color="D5DCE4"/>
            </w:tcBorders>
            <w:shd w:val="clear" w:color="auto" w:fill="D5DCE4"/>
          </w:tcPr>
          <w:p>
            <w:pPr>
              <w:spacing w:after="0"/>
              <w:rPr>
                <w:sz w:val="21"/>
                <w:szCs w:val="21"/>
                <w:color w:val="auto"/>
              </w:rPr>
            </w:pPr>
          </w:p>
        </w:tc>
        <w:tc>
          <w:tcPr>
            <w:tcW w:w="24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D5DCE4"/>
          </w:tcPr>
          <w:p>
            <w:pPr>
              <w:spacing w:after="0"/>
              <w:rPr>
                <w:sz w:val="21"/>
                <w:szCs w:val="21"/>
                <w:color w:val="auto"/>
              </w:rPr>
            </w:pPr>
          </w:p>
        </w:tc>
        <w:tc>
          <w:tcPr>
            <w:tcW w:w="138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15,983</w:t>
            </w:r>
          </w:p>
        </w:tc>
        <w:tc>
          <w:tcPr>
            <w:tcW w:w="420" w:type="dxa"/>
            <w:vAlign w:val="bottom"/>
            <w:tcBorders>
              <w:top w:val="single" w:sz="8" w:color="auto"/>
              <w:bottom w:val="single" w:sz="8" w:color="auto"/>
            </w:tcBorders>
            <w:shd w:val="clear" w:color="auto" w:fill="D5DCE4"/>
          </w:tcPr>
          <w:p>
            <w:pPr>
              <w:spacing w:after="0"/>
              <w:rPr>
                <w:sz w:val="21"/>
                <w:szCs w:val="21"/>
                <w:color w:val="auto"/>
              </w:rPr>
            </w:pPr>
          </w:p>
        </w:tc>
        <w:tc>
          <w:tcPr>
            <w:tcW w:w="10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1,022,941</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20" w:type="dxa"/>
            <w:vAlign w:val="bottom"/>
            <w:tcBorders>
              <w:top w:val="single" w:sz="8" w:color="auto"/>
              <w:bottom w:val="single" w:sz="8" w:color="auto"/>
            </w:tcBorders>
            <w:shd w:val="clear" w:color="auto" w:fill="D5DCE4"/>
          </w:tcPr>
          <w:p>
            <w:pPr>
              <w:spacing w:after="0"/>
              <w:rPr>
                <w:sz w:val="21"/>
                <w:szCs w:val="21"/>
                <w:color w:val="auto"/>
              </w:rPr>
            </w:pPr>
          </w:p>
        </w:tc>
        <w:tc>
          <w:tcPr>
            <w:tcW w:w="134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12,394</w:t>
            </w:r>
          </w:p>
        </w:tc>
        <w:tc>
          <w:tcPr>
            <w:tcW w:w="440" w:type="dxa"/>
            <w:vAlign w:val="bottom"/>
            <w:tcBorders>
              <w:top w:val="single" w:sz="8" w:color="auto"/>
              <w:bottom w:val="single" w:sz="8" w:color="auto"/>
            </w:tcBorders>
            <w:shd w:val="clear" w:color="auto" w:fill="D5DCE4"/>
          </w:tcPr>
          <w:p>
            <w:pPr>
              <w:spacing w:after="0"/>
              <w:rPr>
                <w:sz w:val="21"/>
                <w:szCs w:val="21"/>
                <w:color w:val="auto"/>
              </w:rPr>
            </w:pPr>
          </w:p>
        </w:tc>
        <w:tc>
          <w:tcPr>
            <w:tcW w:w="10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793,190</w:t>
            </w:r>
          </w:p>
        </w:tc>
        <w:tc>
          <w:tcPr>
            <w:tcW w:w="100" w:type="dxa"/>
            <w:vAlign w:val="bottom"/>
            <w:tcBorders>
              <w:top w:val="single" w:sz="8" w:color="D5DCE4"/>
              <w:right w:val="single" w:sz="8" w:color="D5DCE4"/>
            </w:tcBorders>
            <w:shd w:val="clear" w:color="auto" w:fill="D5DCE4"/>
          </w:tcPr>
          <w:p>
            <w:pPr>
              <w:spacing w:after="0"/>
              <w:rPr>
                <w:sz w:val="21"/>
                <w:szCs w:val="21"/>
                <w:color w:val="auto"/>
              </w:rPr>
            </w:pPr>
          </w:p>
        </w:tc>
        <w:tc>
          <w:tcPr>
            <w:tcW w:w="15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28.97 %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20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Money</w:t>
            </w:r>
          </w:p>
        </w:tc>
        <w:tc>
          <w:tcPr>
            <w:tcW w:w="2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tcPr>
          <w:p>
            <w:pPr>
              <w:spacing w:after="0"/>
              <w:rPr>
                <w:sz w:val="15"/>
                <w:szCs w:val="15"/>
                <w:color w:val="auto"/>
              </w:rPr>
            </w:pP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350,803</w:t>
            </w:r>
          </w:p>
        </w:tc>
        <w:tc>
          <w:tcPr>
            <w:tcW w:w="4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21,888,973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330,296</w:t>
            </w:r>
          </w:p>
        </w:tc>
        <w:tc>
          <w:tcPr>
            <w:tcW w:w="4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20,615,266</w:t>
            </w:r>
          </w:p>
        </w:tc>
        <w:tc>
          <w:tcPr>
            <w:tcW w:w="1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200" w:type="dxa"/>
            <w:vAlign w:val="bottom"/>
            <w:tcBorders>
              <w:right w:val="single" w:sz="8" w:color="D5DCE4"/>
            </w:tcBorders>
            <w:shd w:val="clear" w:color="auto" w:fill="D5DCE4"/>
          </w:tcPr>
          <w:p>
            <w:pPr>
              <w:spacing w:after="0"/>
              <w:rPr>
                <w:sz w:val="18"/>
                <w:szCs w:val="18"/>
                <w:color w:val="auto"/>
              </w:rPr>
            </w:pPr>
          </w:p>
        </w:tc>
        <w:tc>
          <w:tcPr>
            <w:tcW w:w="2420" w:type="dxa"/>
            <w:vAlign w:val="bottom"/>
            <w:tcBorders>
              <w:right w:val="single" w:sz="8" w:color="D5DCE4"/>
            </w:tcBorders>
            <w:gridSpan w:val="2"/>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Repurchase Agreements</w:t>
            </w:r>
          </w:p>
        </w:tc>
        <w:tc>
          <w:tcPr>
            <w:tcW w:w="100" w:type="dxa"/>
            <w:vAlign w:val="bottom"/>
            <w:shd w:val="clear" w:color="auto" w:fill="D5DCE4"/>
          </w:tcPr>
          <w:p>
            <w:pPr>
              <w:spacing w:after="0"/>
              <w:rPr>
                <w:sz w:val="18"/>
                <w:szCs w:val="18"/>
                <w:color w:val="auto"/>
              </w:rPr>
            </w:pPr>
          </w:p>
        </w:tc>
        <w:tc>
          <w:tcPr>
            <w:tcW w:w="138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336,820</w:t>
            </w:r>
          </w:p>
        </w:tc>
        <w:tc>
          <w:tcPr>
            <w:tcW w:w="420" w:type="dxa"/>
            <w:vAlign w:val="bottom"/>
            <w:shd w:val="clear" w:color="auto" w:fill="D5DCE4"/>
          </w:tcPr>
          <w:p>
            <w:pPr>
              <w:spacing w:after="0"/>
              <w:rPr>
                <w:sz w:val="18"/>
                <w:szCs w:val="18"/>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21,021,413</w:t>
            </w:r>
          </w:p>
        </w:tc>
        <w:tc>
          <w:tcPr>
            <w:tcW w:w="100" w:type="dxa"/>
            <w:vAlign w:val="bottom"/>
            <w:tcBorders>
              <w:right w:val="single" w:sz="8" w:color="D5DCE4"/>
            </w:tcBorders>
            <w:shd w:val="clear" w:color="auto" w:fill="D5DCE4"/>
          </w:tcPr>
          <w:p>
            <w:pPr>
              <w:spacing w:after="0"/>
              <w:rPr>
                <w:sz w:val="18"/>
                <w:szCs w:val="18"/>
                <w:color w:val="auto"/>
              </w:rPr>
            </w:pPr>
          </w:p>
        </w:tc>
        <w:tc>
          <w:tcPr>
            <w:tcW w:w="120" w:type="dxa"/>
            <w:vAlign w:val="bottom"/>
            <w:shd w:val="clear" w:color="auto" w:fill="D5DCE4"/>
          </w:tcPr>
          <w:p>
            <w:pPr>
              <w:spacing w:after="0"/>
              <w:rPr>
                <w:sz w:val="18"/>
                <w:szCs w:val="18"/>
                <w:color w:val="auto"/>
              </w:rPr>
            </w:pPr>
          </w:p>
        </w:tc>
        <w:tc>
          <w:tcPr>
            <w:tcW w:w="134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319,216</w:t>
            </w:r>
          </w:p>
        </w:tc>
        <w:tc>
          <w:tcPr>
            <w:tcW w:w="440" w:type="dxa"/>
            <w:vAlign w:val="bottom"/>
            <w:shd w:val="clear" w:color="auto" w:fill="D5DCE4"/>
          </w:tcPr>
          <w:p>
            <w:pPr>
              <w:spacing w:after="0"/>
              <w:rPr>
                <w:sz w:val="18"/>
                <w:szCs w:val="18"/>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19,927,191</w:t>
            </w:r>
          </w:p>
        </w:tc>
        <w:tc>
          <w:tcPr>
            <w:tcW w:w="100" w:type="dxa"/>
            <w:vAlign w:val="bottom"/>
            <w:tcBorders>
              <w:right w:val="single" w:sz="8" w:color="D5DCE4"/>
            </w:tcBorders>
            <w:shd w:val="clear" w:color="auto" w:fill="D5DCE4"/>
          </w:tcPr>
          <w:p>
            <w:pPr>
              <w:spacing w:after="0"/>
              <w:rPr>
                <w:sz w:val="18"/>
                <w:szCs w:val="18"/>
                <w:color w:val="auto"/>
              </w:rPr>
            </w:pPr>
          </w:p>
        </w:tc>
        <w:tc>
          <w:tcPr>
            <w:tcW w:w="15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5.51 %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200" w:type="dxa"/>
            <w:vAlign w:val="bottom"/>
            <w:tcBorders>
              <w:right w:val="single" w:sz="8" w:color="D5DCE4"/>
            </w:tcBorders>
            <w:shd w:val="clear" w:color="auto" w:fill="D5DCE4"/>
          </w:tcPr>
          <w:p>
            <w:pPr>
              <w:spacing w:after="0"/>
              <w:rPr>
                <w:sz w:val="10"/>
                <w:szCs w:val="10"/>
                <w:color w:val="auto"/>
              </w:rPr>
            </w:pPr>
          </w:p>
        </w:tc>
        <w:tc>
          <w:tcPr>
            <w:tcW w:w="2420" w:type="dxa"/>
            <w:vAlign w:val="bottom"/>
            <w:tcBorders>
              <w:right w:val="single" w:sz="8" w:color="D5DCE4"/>
            </w:tcBorders>
            <w:gridSpan w:val="2"/>
            <w:vMerge w:val="restart"/>
            <w:shd w:val="clear" w:color="auto" w:fill="D5DCE4"/>
          </w:tcPr>
          <w:p>
            <w:pPr>
              <w:jc w:val="right"/>
              <w:ind w:right="140"/>
              <w:spacing w:after="0"/>
              <w:rPr>
                <w:sz w:val="20"/>
                <w:szCs w:val="20"/>
                <w:color w:val="auto"/>
              </w:rPr>
            </w:pPr>
            <w:r>
              <w:rPr>
                <w:rFonts w:ascii="Arial" w:cs="Arial" w:eastAsia="Arial" w:hAnsi="Arial"/>
                <w:sz w:val="16"/>
                <w:szCs w:val="16"/>
                <w:i w:val="1"/>
                <w:iCs w:val="1"/>
                <w:color w:val="auto"/>
              </w:rPr>
              <w:t>(Repo)</w:t>
            </w:r>
          </w:p>
        </w:tc>
        <w:tc>
          <w:tcPr>
            <w:tcW w:w="100" w:type="dxa"/>
            <w:vAlign w:val="bottom"/>
            <w:shd w:val="clear" w:color="auto" w:fill="D5DCE4"/>
          </w:tcPr>
          <w:p>
            <w:pPr>
              <w:spacing w:after="0"/>
              <w:rPr>
                <w:sz w:val="10"/>
                <w:szCs w:val="10"/>
                <w:color w:val="auto"/>
              </w:rPr>
            </w:pPr>
          </w:p>
        </w:tc>
        <w:tc>
          <w:tcPr>
            <w:tcW w:w="1380" w:type="dxa"/>
            <w:vAlign w:val="bottom"/>
            <w:tcBorders>
              <w:right w:val="single" w:sz="8" w:color="D5DCE4"/>
            </w:tcBorders>
            <w:vMerge w:val="continue"/>
            <w:shd w:val="clear" w:color="auto" w:fill="D5DCE4"/>
          </w:tcPr>
          <w:p>
            <w:pPr>
              <w:spacing w:after="0"/>
              <w:rPr>
                <w:sz w:val="10"/>
                <w:szCs w:val="10"/>
                <w:color w:val="auto"/>
              </w:rPr>
            </w:pPr>
          </w:p>
        </w:tc>
        <w:tc>
          <w:tcPr>
            <w:tcW w:w="420" w:type="dxa"/>
            <w:vAlign w:val="bottom"/>
            <w:shd w:val="clear" w:color="auto" w:fill="D5DCE4"/>
          </w:tcPr>
          <w:p>
            <w:pPr>
              <w:spacing w:after="0"/>
              <w:rPr>
                <w:sz w:val="10"/>
                <w:szCs w:val="10"/>
                <w:color w:val="auto"/>
              </w:rPr>
            </w:pPr>
          </w:p>
        </w:tc>
        <w:tc>
          <w:tcPr>
            <w:tcW w:w="104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0" w:type="dxa"/>
            <w:vAlign w:val="bottom"/>
            <w:shd w:val="clear" w:color="auto" w:fill="D5DCE4"/>
          </w:tcPr>
          <w:p>
            <w:pPr>
              <w:spacing w:after="0"/>
              <w:rPr>
                <w:sz w:val="10"/>
                <w:szCs w:val="10"/>
                <w:color w:val="auto"/>
              </w:rPr>
            </w:pPr>
          </w:p>
        </w:tc>
        <w:tc>
          <w:tcPr>
            <w:tcW w:w="134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4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540" w:type="dxa"/>
            <w:vAlign w:val="bottom"/>
            <w:vMerge w:val="continue"/>
            <w:shd w:val="clear" w:color="auto" w:fill="D5DCE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200" w:type="dxa"/>
            <w:vAlign w:val="bottom"/>
            <w:tcBorders>
              <w:right w:val="single" w:sz="8" w:color="D5DCE4"/>
            </w:tcBorders>
            <w:shd w:val="clear" w:color="auto" w:fill="D5DCE4"/>
          </w:tcPr>
          <w:p>
            <w:pPr>
              <w:spacing w:after="0"/>
              <w:rPr>
                <w:sz w:val="9"/>
                <w:szCs w:val="9"/>
                <w:color w:val="auto"/>
              </w:rPr>
            </w:pPr>
          </w:p>
        </w:tc>
        <w:tc>
          <w:tcPr>
            <w:tcW w:w="2420" w:type="dxa"/>
            <w:vAlign w:val="bottom"/>
            <w:tcBorders>
              <w:right w:val="single" w:sz="8" w:color="D5DCE4"/>
            </w:tcBorders>
            <w:gridSpan w:val="2"/>
            <w:vMerge w:val="continue"/>
            <w:shd w:val="clear" w:color="auto" w:fill="D5DCE4"/>
          </w:tcPr>
          <w:p>
            <w:pPr>
              <w:spacing w:after="0"/>
              <w:rPr>
                <w:sz w:val="9"/>
                <w:szCs w:val="9"/>
                <w:color w:val="auto"/>
              </w:rPr>
            </w:pPr>
          </w:p>
        </w:tc>
        <w:tc>
          <w:tcPr>
            <w:tcW w:w="100" w:type="dxa"/>
            <w:vAlign w:val="bottom"/>
            <w:shd w:val="clear" w:color="auto" w:fill="D5DCE4"/>
          </w:tcPr>
          <w:p>
            <w:pPr>
              <w:spacing w:after="0"/>
              <w:rPr>
                <w:sz w:val="9"/>
                <w:szCs w:val="9"/>
                <w:color w:val="auto"/>
              </w:rPr>
            </w:pPr>
          </w:p>
        </w:tc>
        <w:tc>
          <w:tcPr>
            <w:tcW w:w="1380" w:type="dxa"/>
            <w:vAlign w:val="bottom"/>
            <w:tcBorders>
              <w:right w:val="single" w:sz="8" w:color="D5DCE4"/>
            </w:tcBorders>
            <w:shd w:val="clear" w:color="auto" w:fill="D5DCE4"/>
          </w:tcPr>
          <w:p>
            <w:pPr>
              <w:spacing w:after="0"/>
              <w:rPr>
                <w:sz w:val="9"/>
                <w:szCs w:val="9"/>
                <w:color w:val="auto"/>
              </w:rPr>
            </w:pPr>
          </w:p>
        </w:tc>
        <w:tc>
          <w:tcPr>
            <w:tcW w:w="420" w:type="dxa"/>
            <w:vAlign w:val="bottom"/>
            <w:shd w:val="clear" w:color="auto" w:fill="D5DCE4"/>
          </w:tcPr>
          <w:p>
            <w:pPr>
              <w:spacing w:after="0"/>
              <w:rPr>
                <w:sz w:val="9"/>
                <w:szCs w:val="9"/>
                <w:color w:val="auto"/>
              </w:rPr>
            </w:pPr>
          </w:p>
        </w:tc>
        <w:tc>
          <w:tcPr>
            <w:tcW w:w="104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20" w:type="dxa"/>
            <w:vAlign w:val="bottom"/>
            <w:shd w:val="clear" w:color="auto" w:fill="D5DCE4"/>
          </w:tcPr>
          <w:p>
            <w:pPr>
              <w:spacing w:after="0"/>
              <w:rPr>
                <w:sz w:val="9"/>
                <w:szCs w:val="9"/>
                <w:color w:val="auto"/>
              </w:rPr>
            </w:pPr>
          </w:p>
        </w:tc>
        <w:tc>
          <w:tcPr>
            <w:tcW w:w="1340" w:type="dxa"/>
            <w:vAlign w:val="bottom"/>
            <w:tcBorders>
              <w:right w:val="single" w:sz="8" w:color="D5DCE4"/>
            </w:tcBorders>
            <w:shd w:val="clear" w:color="auto" w:fill="D5DCE4"/>
          </w:tcPr>
          <w:p>
            <w:pPr>
              <w:spacing w:after="0"/>
              <w:rPr>
                <w:sz w:val="9"/>
                <w:szCs w:val="9"/>
                <w:color w:val="auto"/>
              </w:rPr>
            </w:pPr>
          </w:p>
        </w:tc>
        <w:tc>
          <w:tcPr>
            <w:tcW w:w="440" w:type="dxa"/>
            <w:vAlign w:val="bottom"/>
            <w:shd w:val="clear" w:color="auto" w:fill="D5DCE4"/>
          </w:tcPr>
          <w:p>
            <w:pPr>
              <w:spacing w:after="0"/>
              <w:rPr>
                <w:sz w:val="9"/>
                <w:szCs w:val="9"/>
                <w:color w:val="auto"/>
              </w:rPr>
            </w:pPr>
          </w:p>
        </w:tc>
        <w:tc>
          <w:tcPr>
            <w:tcW w:w="104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540" w:type="dxa"/>
            <w:vAlign w:val="bottom"/>
            <w:shd w:val="clear" w:color="auto" w:fill="D5DCE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200" w:type="dxa"/>
            <w:vAlign w:val="bottom"/>
          </w:tcPr>
          <w:p>
            <w:pPr>
              <w:spacing w:after="0"/>
              <w:rPr>
                <w:sz w:val="20"/>
                <w:szCs w:val="20"/>
                <w:color w:val="auto"/>
              </w:rPr>
            </w:pPr>
          </w:p>
        </w:tc>
        <w:tc>
          <w:tcPr>
            <w:tcW w:w="24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Other Money Markets</w:t>
            </w:r>
          </w:p>
        </w:tc>
        <w:tc>
          <w:tcPr>
            <w:tcW w:w="1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13,984</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867,560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11,080</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688,075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26.21 %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Borders>
              <w:top w:val="single" w:sz="8" w:color="D5DCE4"/>
              <w:right w:val="single" w:sz="8" w:color="D5DCE4"/>
            </w:tcBorders>
            <w:shd w:val="clear" w:color="auto" w:fill="D5DCE4"/>
          </w:tcPr>
          <w:p>
            <w:pPr>
              <w:spacing w:after="0"/>
              <w:rPr>
                <w:sz w:val="20"/>
                <w:szCs w:val="20"/>
                <w:color w:val="auto"/>
              </w:rPr>
            </w:pPr>
          </w:p>
        </w:tc>
        <w:tc>
          <w:tcPr>
            <w:tcW w:w="2420" w:type="dxa"/>
            <w:vAlign w:val="bottom"/>
            <w:tcBorders>
              <w:top w:val="single" w:sz="8" w:color="D5DCE4"/>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D5DCE4"/>
          </w:tcPr>
          <w:p>
            <w:pPr>
              <w:spacing w:after="0"/>
              <w:rPr>
                <w:sz w:val="20"/>
                <w:szCs w:val="20"/>
                <w:color w:val="auto"/>
              </w:rPr>
            </w:pPr>
          </w:p>
        </w:tc>
        <w:tc>
          <w:tcPr>
            <w:tcW w:w="1380" w:type="dxa"/>
            <w:vAlign w:val="bottom"/>
            <w:tcBorders>
              <w:top w:val="single" w:sz="8" w:color="auto"/>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350,803</w:t>
            </w:r>
          </w:p>
        </w:tc>
        <w:tc>
          <w:tcPr>
            <w:tcW w:w="420" w:type="dxa"/>
            <w:vAlign w:val="bottom"/>
            <w:tcBorders>
              <w:top w:val="single" w:sz="8" w:color="auto"/>
              <w:bottom w:val="single" w:sz="8" w:color="auto"/>
            </w:tcBorders>
            <w:shd w:val="clear" w:color="auto" w:fill="D5DCE4"/>
          </w:tcPr>
          <w:p>
            <w:pPr>
              <w:spacing w:after="0"/>
              <w:rPr>
                <w:sz w:val="20"/>
                <w:szCs w:val="20"/>
                <w:color w:val="auto"/>
              </w:rPr>
            </w:pPr>
          </w:p>
        </w:tc>
        <w:tc>
          <w:tcPr>
            <w:tcW w:w="10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21,888,973</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20" w:type="dxa"/>
            <w:vAlign w:val="bottom"/>
            <w:tcBorders>
              <w:top w:val="single" w:sz="8" w:color="auto"/>
              <w:bottom w:val="single" w:sz="8" w:color="auto"/>
            </w:tcBorders>
            <w:shd w:val="clear" w:color="auto" w:fill="D5DCE4"/>
          </w:tcPr>
          <w:p>
            <w:pPr>
              <w:spacing w:after="0"/>
              <w:rPr>
                <w:sz w:val="20"/>
                <w:szCs w:val="20"/>
                <w:color w:val="auto"/>
              </w:rPr>
            </w:pPr>
          </w:p>
        </w:tc>
        <w:tc>
          <w:tcPr>
            <w:tcW w:w="1340" w:type="dxa"/>
            <w:vAlign w:val="bottom"/>
            <w:tcBorders>
              <w:top w:val="single" w:sz="8" w:color="auto"/>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330,296</w:t>
            </w:r>
          </w:p>
        </w:tc>
        <w:tc>
          <w:tcPr>
            <w:tcW w:w="440" w:type="dxa"/>
            <w:vAlign w:val="bottom"/>
            <w:tcBorders>
              <w:top w:val="single" w:sz="8" w:color="auto"/>
              <w:bottom w:val="single" w:sz="8" w:color="auto"/>
            </w:tcBorders>
            <w:shd w:val="clear" w:color="auto" w:fill="D5DCE4"/>
          </w:tcPr>
          <w:p>
            <w:pPr>
              <w:spacing w:after="0"/>
              <w:rPr>
                <w:sz w:val="20"/>
                <w:szCs w:val="20"/>
                <w:color w:val="auto"/>
              </w:rPr>
            </w:pPr>
          </w:p>
        </w:tc>
        <w:tc>
          <w:tcPr>
            <w:tcW w:w="10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20,615,266</w:t>
            </w:r>
          </w:p>
        </w:tc>
        <w:tc>
          <w:tcPr>
            <w:tcW w:w="100" w:type="dxa"/>
            <w:vAlign w:val="bottom"/>
            <w:tcBorders>
              <w:top w:val="single" w:sz="8" w:color="D5DCE4"/>
              <w:right w:val="single" w:sz="8" w:color="D5DCE4"/>
            </w:tcBorders>
            <w:shd w:val="clear" w:color="auto" w:fill="D5DCE4"/>
          </w:tcPr>
          <w:p>
            <w:pPr>
              <w:spacing w:after="0"/>
              <w:rPr>
                <w:sz w:val="20"/>
                <w:szCs w:val="20"/>
                <w:color w:val="auto"/>
              </w:rPr>
            </w:pPr>
          </w:p>
        </w:tc>
        <w:tc>
          <w:tcPr>
            <w:tcW w:w="15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6.21 %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D5DCE4"/>
            </w:tcBorders>
          </w:tcPr>
          <w:p>
            <w:pPr>
              <w:spacing w:after="0"/>
              <w:rPr>
                <w:sz w:val="17"/>
                <w:szCs w:val="17"/>
                <w:color w:val="auto"/>
              </w:rPr>
            </w:pPr>
          </w:p>
        </w:tc>
        <w:tc>
          <w:tcPr>
            <w:tcW w:w="2300" w:type="dxa"/>
            <w:vAlign w:val="bottom"/>
            <w:tcBorders>
              <w:bottom w:val="single" w:sz="8" w:color="D5DCE4"/>
            </w:tcBorders>
          </w:tcPr>
          <w:p>
            <w:pPr>
              <w:spacing w:after="0"/>
              <w:rPr>
                <w:sz w:val="17"/>
                <w:szCs w:val="17"/>
                <w:color w:val="auto"/>
              </w:rPr>
            </w:pPr>
          </w:p>
        </w:tc>
        <w:tc>
          <w:tcPr>
            <w:tcW w:w="120" w:type="dxa"/>
            <w:vAlign w:val="bottom"/>
            <w:tcBorders>
              <w:bottom w:val="single" w:sz="8" w:color="D5DCE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right w:val="single" w:sz="8" w:color="D5DCE4"/>
            </w:tcBorders>
            <w:shd w:val="clear" w:color="auto" w:fill="D5DCE4"/>
          </w:tcPr>
          <w:p>
            <w:pPr>
              <w:spacing w:after="0"/>
              <w:rPr>
                <w:sz w:val="20"/>
                <w:szCs w:val="20"/>
                <w:color w:val="auto"/>
              </w:rPr>
            </w:pPr>
          </w:p>
        </w:tc>
        <w:tc>
          <w:tcPr>
            <w:tcW w:w="2300" w:type="dxa"/>
            <w:vAlign w:val="bottom"/>
            <w:tcBorders>
              <w:bottom w:val="single" w:sz="8" w:color="auto"/>
            </w:tcBorders>
            <w:shd w:val="clear" w:color="auto" w:fill="D5DCE4"/>
          </w:tcPr>
          <w:p>
            <w:pPr>
              <w:spacing w:after="0"/>
              <w:rPr>
                <w:sz w:val="20"/>
                <w:szCs w:val="20"/>
                <w:color w:val="auto"/>
              </w:rPr>
            </w:pPr>
          </w:p>
        </w:tc>
        <w:tc>
          <w:tcPr>
            <w:tcW w:w="120" w:type="dxa"/>
            <w:vAlign w:val="bottom"/>
            <w:tcBorders>
              <w:bottom w:val="single" w:sz="8" w:color="auto"/>
              <w:right w:val="single" w:sz="8" w:color="auto"/>
            </w:tcBorders>
            <w:shd w:val="clear" w:color="auto" w:fill="D5DCE4"/>
          </w:tcPr>
          <w:p>
            <w:pPr>
              <w:spacing w:after="0"/>
              <w:rPr>
                <w:sz w:val="20"/>
                <w:szCs w:val="20"/>
                <w:color w:val="auto"/>
              </w:rPr>
            </w:pPr>
          </w:p>
        </w:tc>
        <w:tc>
          <w:tcPr>
            <w:tcW w:w="100" w:type="dxa"/>
            <w:vAlign w:val="bottom"/>
            <w:shd w:val="clear" w:color="auto" w:fill="D5DCE4"/>
          </w:tcPr>
          <w:p>
            <w:pPr>
              <w:spacing w:after="0"/>
              <w:rPr>
                <w:sz w:val="20"/>
                <w:szCs w:val="20"/>
                <w:color w:val="auto"/>
              </w:rPr>
            </w:pPr>
          </w:p>
        </w:tc>
        <w:tc>
          <w:tcPr>
            <w:tcW w:w="1380" w:type="dxa"/>
            <w:vAlign w:val="bottom"/>
            <w:tcBorders>
              <w:right w:val="single" w:sz="8" w:color="auto"/>
            </w:tcBorders>
            <w:shd w:val="clear" w:color="auto" w:fill="D5DCE4"/>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0" w:type="dxa"/>
            <w:vAlign w:val="bottom"/>
            <w:shd w:val="clear" w:color="auto" w:fill="D5DCE4"/>
          </w:tcPr>
          <w:p>
            <w:pPr>
              <w:spacing w:after="0"/>
              <w:rPr>
                <w:sz w:val="20"/>
                <w:szCs w:val="20"/>
                <w:color w:val="auto"/>
              </w:rPr>
            </w:pPr>
          </w:p>
        </w:tc>
        <w:tc>
          <w:tcPr>
            <w:tcW w:w="1340" w:type="dxa"/>
            <w:vAlign w:val="bottom"/>
            <w:tcBorders>
              <w:right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b w:val="1"/>
                <w:bCs w:val="1"/>
                <w:color w:val="auto"/>
              </w:rPr>
              <w:t>ADV (USD mm)</w:t>
            </w:r>
          </w:p>
        </w:tc>
        <w:tc>
          <w:tcPr>
            <w:tcW w:w="1580" w:type="dxa"/>
            <w:vAlign w:val="bottom"/>
            <w:tcBorders>
              <w:right w:val="single" w:sz="8" w:color="auto"/>
            </w:tcBorders>
            <w:gridSpan w:val="3"/>
            <w:shd w:val="clear" w:color="auto" w:fill="D5DCE4"/>
          </w:tcPr>
          <w:p>
            <w:pPr>
              <w:ind w:left="40"/>
              <w:spacing w:after="0"/>
              <w:rPr>
                <w:sz w:val="20"/>
                <w:szCs w:val="20"/>
                <w:color w:val="auto"/>
              </w:rPr>
            </w:pPr>
            <w:r>
              <w:rPr>
                <w:rFonts w:ascii="Arial" w:cs="Arial" w:eastAsia="Arial" w:hAnsi="Arial"/>
                <w:sz w:val="16"/>
                <w:szCs w:val="16"/>
                <w:b w:val="1"/>
                <w:bCs w:val="1"/>
                <w:color w:val="auto"/>
              </w:rPr>
              <w:t>Volume (USD mm)</w:t>
            </w:r>
          </w:p>
        </w:tc>
        <w:tc>
          <w:tcPr>
            <w:tcW w:w="1540" w:type="dxa"/>
            <w:vAlign w:val="bottom"/>
            <w:shd w:val="clear" w:color="auto" w:fill="D5DCE4"/>
          </w:tcPr>
          <w:p>
            <w:pPr>
              <w:ind w:left="62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1,114,550</w:t>
            </w: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69,714,282</w:t>
            </w:r>
          </w:p>
        </w:tc>
        <w:tc>
          <w:tcPr>
            <w:tcW w:w="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897,913</w:t>
            </w:r>
          </w:p>
        </w:tc>
        <w:tc>
          <w:tcPr>
            <w:tcW w:w="4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56,130,497</w:t>
            </w:r>
          </w:p>
        </w:tc>
        <w:tc>
          <w:tcPr>
            <w:tcW w:w="1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24.13 %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34"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69"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2022 guidance, and future performance, the industry and markets in which we operate, our expectations, beliefs, plans, strategies, objectives, prospects and assumptions and future events are forward-looking statements.</w:t>
      </w:r>
    </w:p>
    <w:p>
      <w:pPr>
        <w:spacing w:after="0" w:line="20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BASIS OF PRESENTATION</w:t>
      </w:r>
    </w:p>
    <w:p>
      <w:pPr>
        <w:spacing w:after="0" w:line="13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29"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2022-02-03T06:15:34Z</dcterms:created>
  <dcterms:modified xsi:type="dcterms:W3CDTF">2022-02-03T06:15:34Z</dcterms:modified>
</cp:coreProperties>
</file>