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08/17/2022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3,094</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74.5069</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247,283</w:t>
            </w:r>
            <w:r>
              <w:rPr>
                <w:rFonts w:ascii="Times New Roman" w:cs="Times New Roman" w:eastAsia="Times New Roman" w:hAnsi="Times New Roman"/>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08/18/2022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17,119</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74.5804</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230,164</w:t>
            </w:r>
            <w:r>
              <w:rPr>
                <w:rFonts w:ascii="Times New Roman" w:cs="Times New Roman" w:eastAsia="Times New Roman" w:hAnsi="Times New Roman"/>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June 15, 2022.</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unvested restricted stock units ("RSUs") in respect of the issuer's Class A common stock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$74.50 to $74.58,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$74.50 to $74.72, inclusive.</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08/18/2022</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2022-08-18T20:25:01Z</dcterms:created>
  <dcterms:modified xsi:type="dcterms:W3CDTF">2022-08-18T20:25:01Z</dcterms:modified>
</cp:coreProperties>
</file>