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09/10/2021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750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87.5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82,197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2020.</w:t>
      </w:r>
    </w:p>
    <w:p>
      <w:pPr>
        <w:spacing w:after="0" w:line="50" w:lineRule="exact"/>
        <w:rPr>
          <w:rFonts w:ascii="Arial" w:cs="Arial" w:eastAsia="Arial" w:hAnsi="Arial"/>
          <w:sz w:val="13"/>
          <w:szCs w:val="13"/>
          <w:color w:val="008000"/>
        </w:rPr>
      </w:pPr>
    </w:p>
    <w:p>
      <w:pPr>
        <w:ind w:left="40" w:right="24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39,604 unvested restricted stock units ("RSUs") in respect of the issuer's Class A common stock ("Class A Common Stock") which are scheduled to vest on January 1, 2022, (ii) 6,860 unvested RSUs in respect of Class A Common Stock which are scheduled to vest in equal installments on each of March 17, 2022 and March 17, 2023, (iii) 20,580 unvested RSUs in respect of Class A Common Stock which are scheduled to vest on January 1, 2023, and (iv) 5,825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09/10/2021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2021-09-10T15:34:36Z</dcterms:created>
  <dcterms:modified xsi:type="dcterms:W3CDTF">2021-09-10T15:34:36Z</dcterms:modified>
</cp:coreProperties>
</file>