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59.jpeg" ContentType="image/jpeg"/>
  <Override PartName="/word/media/image58.jpeg" ContentType="image/jpeg"/>
  <Override PartName="/word/media/image57.jpeg" ContentType="image/jpeg"/>
  <Override PartName="/word/media/image54.jpeg" ContentType="image/jpeg"/>
  <Override PartName="/word/media/image30.gif" ContentType="image/gif"/>
  <Override PartName="/word/media/image53.jpeg" ContentType="image/jpeg"/>
  <Override PartName="/word/media/image49.jpeg" ContentType="image/jpeg"/>
  <Override PartName="/word/media/image48.jpeg" ContentType="image/jpeg"/>
  <Override PartName="/word/media/image4.jpeg" ContentType="image/jpeg"/>
  <Override PartName="/word/media/image25.jpeg" ContentType="image/jpeg"/>
  <Override PartName="/word/media/image37.jpeg" ContentType="image/jpeg"/>
  <Override PartName="/word/media/image3.jpeg" ContentType="image/jpeg"/>
  <Override PartName="/word/media/image24.jpeg" ContentType="image/jpeg"/>
  <Override PartName="/word/media/image36.jpeg" ContentType="image/jpeg"/>
  <Override PartName="/word/media/image2.jpeg" ContentType="image/jpeg"/>
  <Override PartName="/word/media/image64.gif" ContentType="image/gif"/>
  <Override PartName="/word/media/image23.jpeg" ContentType="image/jpeg"/>
  <Override PartName="/word/media/image14.jpeg" ContentType="image/jpeg"/>
  <Override PartName="/word/media/image60.jpeg" ContentType="image/jpeg"/>
  <Override PartName="/word/media/image61.gif" ContentType="image/gif"/>
  <Override PartName="/word/media/image16.gif" ContentType="image/gif"/>
  <Override PartName="/word/media/image17.jpeg" ContentType="image/jpeg"/>
  <Override PartName="/word/media/image18.jpeg" ContentType="image/jpeg"/>
  <Override PartName="/word/media/image19.jpeg" ContentType="image/jpeg"/>
  <Override PartName="/word/media/image67.jpeg" ContentType="image/jpeg"/>
  <Override PartName="/word/media/image66.jpeg" ContentType="image/jpeg"/>
  <Override PartName="/word/media/image9.jpeg" ContentType="image/jpeg"/>
  <Override PartName="/word/media/image1.jpeg" ContentType="image/jpeg"/>
  <Override PartName="/word/media/image35.jpeg" ContentType="image/jpeg"/>
  <Override PartName="/word/media/image22.jpeg" ContentType="image/jpeg"/>
  <Override PartName="/word/media/image29.gif" ContentType="image/gif"/>
  <Override PartName="/word/media/image15.jpeg" ContentType="image/jpeg"/>
  <Override PartName="/word/media/image63.gif" ContentType="image/gif"/>
  <Override PartName="/word/media/image20.jpeg" ContentType="image/jpeg"/>
  <Override PartName="/word/media/image28.jpeg" ContentType="image/jpeg"/>
  <Override PartName="/word/media/image51.jpeg" ContentType="image/jpeg"/>
  <Override PartName="/word/media/image62.gif" ContentType="image/gif"/>
  <Override PartName="/word/media/image21.jpeg" ContentType="image/jpeg"/>
  <Override PartName="/word/media/image11.gif" ContentType="image/gif"/>
  <Override PartName="/word/media/image50.jpeg" ContentType="image/jpeg"/>
  <Override PartName="/word/media/image6.jpeg" ContentType="image/jpeg"/>
  <Override PartName="/word/media/image26.jpeg" ContentType="image/jpeg"/>
  <Override PartName="/word/media/image5.jpeg" ContentType="image/jpeg"/>
  <Override PartName="/word/media/image7.gif" ContentType="image/gif"/>
  <Override PartName="/word/media/image52.jpeg" ContentType="image/jpeg"/>
  <Override PartName="/word/media/image27.jpeg" ContentType="image/jpeg"/>
  <Override PartName="/word/media/image10.jpeg" ContentType="image/jpeg"/>
  <Override PartName="/word/media/image8.jpeg" ContentType="image/jpeg"/>
  <Override PartName="/word/media/image45.gif" ContentType="image/gif"/>
  <Override PartName="/word/media/image13.jpeg" ContentType="image/jpeg"/>
  <Override PartName="/word/media/image12.jpeg" ContentType="image/jpeg"/>
  <Override PartName="/word/media/image41.gif" ContentType="image/gif"/>
  <Override PartName="/word/media/image31.gif" ContentType="image/gif"/>
  <Override PartName="/word/media/image32.jpeg" ContentType="image/jpeg"/>
  <Override PartName="/word/media/image33.jpeg" ContentType="image/jpeg"/>
  <Override PartName="/word/media/image34.gif" ContentType="image/gif"/>
  <Override PartName="/word/media/image38.jpeg" ContentType="image/jpeg"/>
  <Override PartName="/word/media/image39.gif" ContentType="image/gif"/>
  <Override PartName="/word/media/image55.jpeg" ContentType="image/jpeg"/>
  <Override PartName="/word/media/image40.gif" ContentType="image/gif"/>
  <Override PartName="/word/media/image56.jpeg" ContentType="image/jpeg"/>
  <Override PartName="/word/media/image42.gif" ContentType="image/gif"/>
  <Override PartName="/word/media/image43.gif" ContentType="image/gif"/>
  <Override PartName="/word/media/image44.gif" ContentType="image/gif"/>
  <Override PartName="/word/media/image46.jpeg" ContentType="image/jpeg"/>
  <Override PartName="/word/media/image65.gif" ContentType="image/gif"/>
  <Override PartName="/word/media/image4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UNITED</w:t>
      </w:r>
      <w:r>
        <w:rPr>
          <w:caps w:val="false"/>
          <w:smallCaps w:val="false"/>
          <w:strike w:val="false"/>
          <w:dstrike w:val="false"/>
          <w:sz w:val="36"/>
          <w:u w:val="none"/>
          <w:effect w:val="none"/>
        </w:rPr>
        <w:t xml:space="preserve"> 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STATES</w:t>
      </w:r>
      <w:r>
        <w:rPr>
          <w:caps w:val="false"/>
          <w:smallCaps w:val="false"/>
          <w:sz w:val="36"/>
        </w:rPr>
        <w:t xml:space="preserve"> </w:t>
      </w:r>
    </w:p>
    <w:p>
      <w:pPr>
        <w:pStyle w:val="TextBody"/>
        <w:bidi w:val="0"/>
        <w:spacing w:lineRule="atLeast" w:line="360" w:before="0" w:after="0"/>
        <w:jc w:val="left"/>
        <w:rPr>
          <w:sz w:val="36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36"/>
        </w:rPr>
        <w:t>SECURITIES AND EXCHANGE CO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MMISSION</w:t>
      </w:r>
      <w:r>
        <w:rPr>
          <w:caps w:val="false"/>
          <w:smallCaps w:val="false"/>
          <w:sz w:val="36"/>
        </w:rPr>
        <w:t xml:space="preserve"> 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4"/>
        </w:rPr>
        <w:t xml:space="preserve">Washington, D.C. 20549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_________________________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SCHEDULE 14A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4"/>
        </w:rPr>
        <w:t xml:space="preserve">Proxy Statement Pursuant to Section 14(a) of the  </w:t>
      </w:r>
    </w:p>
    <w:p>
      <w:pPr>
        <w:pStyle w:val="TextBody"/>
        <w:bidi w:val="0"/>
        <w:spacing w:lineRule="atLeast" w:line="24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4"/>
        </w:rPr>
        <w:t xml:space="preserve">Securities Exchange Act of 1934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_________________________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Filed by the Registrant </w:t>
      </w: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x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Filed by a Party other than the Registrant </w:t>
      </w: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Check the appropriate box: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Preliminary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>Confidential, for Use of the Commission Only (as permitted by Rule 14a-6(e)(2))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x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Definitive Proxy Statement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Definitive Additional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Soliciting Material under §240.14a-12</w:t>
      </w:r>
    </w:p>
    <w:p>
      <w:pPr>
        <w:pStyle w:val="TextBody"/>
        <w:bidi w:val="0"/>
        <w:spacing w:lineRule="atLeast" w:line="36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</w:rPr>
        <w:t>Tradeweb Markets Inc.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(Name of Registrant as Specified In Its Charter)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Payment of Filing Fee (Check all boxes that apply):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x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No fee required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Fee paid previously with preliminary materials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Wingdings" w:hAnsi="Wingdings"/>
          <w:b w:val="false"/>
          <w:i w:val="false"/>
          <w:caps w:val="false"/>
          <w:smallCaps w:val="false"/>
          <w:sz w:val="20"/>
        </w:rPr>
        <w:t>o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Fee computed on table in exhibit required by Item 25(b) per Exchange Act Rules 14a-6(i)(1) and 0-11</w:t>
      </w: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8001000" cy="1032256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1032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>NOTICE OF 2024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>ANNUAL MEETING OF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>STOCKHOLDERS AND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73C6EE"/>
          <w:sz w:val="4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73C6EE"/>
          <w:sz w:val="44"/>
          <w:u w:val="none"/>
          <w:effect w:val="none"/>
          <w:shd w:fill="auto" w:val="clear"/>
        </w:rPr>
        <w:t>PROXY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73C6EE"/>
          <w:sz w:val="4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73C6EE"/>
          <w:sz w:val="44"/>
          <w:u w:val="none"/>
          <w:effect w:val="none"/>
          <w:shd w:fill="auto" w:val="clear"/>
        </w:rPr>
        <w:t>STATEMENT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8001000" cy="103187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1031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 xml:space="preserve">As a leader in building and operating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 xml:space="preserve">electronic marketplaces for rates, credit,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 xml:space="preserve">equities and money markets,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 xml:space="preserve">Tradeweb connects over 2,500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 xml:space="preserve">institutional, wholesale and retail clients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44"/>
          <w:u w:val="none"/>
          <w:effect w:val="none"/>
          <w:shd w:fill="auto" w:val="clear"/>
        </w:rPr>
        <w:t>globally.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2"/>
          <w:u w:val="none"/>
          <w:effect w:val="none"/>
          <w:shd w:fill="auto" w:val="clear"/>
        </w:rPr>
        <w:t>ABOUT TRADEWEB</w:t>
      </w:r>
    </w:p>
    <w:p>
      <w:pPr>
        <w:pStyle w:val="TextBody"/>
        <w:bidi w:val="0"/>
        <w:spacing w:lineRule="atLeast" w:line="300" w:before="0" w:after="0"/>
        <w:jc w:val="left"/>
        <w:rPr>
          <w:sz w:val="26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FY23 Revenues</w:t>
      </w:r>
      <w:r>
        <w:rPr>
          <w:caps w:val="false"/>
          <w:smallCaps w:val="false"/>
          <w:strike w:val="false"/>
          <w:dstrike w:val="false"/>
          <w:sz w:val="26"/>
          <w:u w:val="none"/>
          <w:effect w:val="none"/>
          <w:shd w:fill="auto" w:val="clear"/>
        </w:rPr>
        <w:t xml:space="preserve">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  <w:t>$1.3B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(+12.6%</w:t>
      </w:r>
      <w:r>
        <w:rPr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YoY, +12.2%</w:t>
      </w:r>
      <w:r>
        <w:rPr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 xml:space="preserve">CC*) </w:t>
      </w:r>
    </w:p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 xml:space="preserve">FY23 Adjusted EBITDA Margin** 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  <w:t>52.4%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(+49</w:t>
      </w:r>
      <w:r>
        <w:rPr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bps YoY)</w:t>
      </w:r>
    </w:p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FY23 Adjusted Net Income**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  <w:t>$535.5M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(+19.0%</w:t>
      </w:r>
      <w:r>
        <w:rPr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YoY)</w:t>
      </w:r>
    </w:p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FY23 Free Cash Flow**</w:t>
      </w:r>
    </w:p>
    <w:p>
      <w:pPr>
        <w:pStyle w:val="TextBody"/>
        <w:bidi w:val="0"/>
        <w:spacing w:lineRule="atLeast" w:line="4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A9CA38"/>
          <w:sz w:val="44"/>
          <w:u w:val="none"/>
          <w:effect w:val="none"/>
          <w:shd w:fill="auto" w:val="clear"/>
        </w:rPr>
        <w:t>$684.3M</w:t>
      </w:r>
    </w:p>
    <w:p>
      <w:pPr>
        <w:pStyle w:val="TextBody"/>
        <w:bidi w:val="0"/>
        <w:spacing w:lineRule="atLeast" w:line="16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(+19.5%</w:t>
      </w:r>
      <w:r>
        <w:rPr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6"/>
          <w:u w:val="none"/>
          <w:effect w:val="none"/>
          <w:shd w:fill="auto" w:val="clear"/>
        </w:rPr>
        <w:t>YoY)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 xml:space="preserve">*      "CC" means constant currency. Growth information presented on a "constant currency" basis is a non-GAAP financial measure and reflects growth for the period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>excluding the impact of foreign exchange currency fluctuations.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 xml:space="preserve">**    Revenue growth on a constant currency basis, adjusted EBITDA margin, adjusted net income and free cash flow are non-GAAP financial measures used to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 xml:space="preserve">supplement information in our financial results. A reconciliation of these non-GAAP financial measures may be found in our Form 8-K filed with the U.S. Securities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>and Exchange Commission on February 6, 2024</w:t>
      </w:r>
      <w:r>
        <w:rPr>
          <w:caps w:val="false"/>
          <w:smallCaps w:val="false"/>
          <w:strike w:val="false"/>
          <w:dstrike w:val="false"/>
          <w:color w:val="FFFFFF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 xml:space="preserve">and our Annual Report on Form 10-K for the year ended December 31, 2023, filed with the U.S. Securities 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14"/>
          <w:u w:val="none"/>
          <w:effect w:val="none"/>
          <w:shd w:fill="auto" w:val="clear"/>
        </w:rPr>
        <w:t>Exchange Commission on February 9, 2024.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8001000" cy="429006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429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3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3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34"/>
          <w:u w:val="none"/>
          <w:effect w:val="none"/>
          <w:shd w:fill="auto" w:val="clear"/>
        </w:rPr>
        <w:t>Dear Stockholder,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You are cordially invited to attend the Annual Meeting of Stockholders of Tradeweb </w:t>
      </w:r>
    </w:p>
    <w:p>
      <w:pPr>
        <w:pStyle w:val="TextBody"/>
        <w:bidi w:val="0"/>
        <w:spacing w:lineRule="atLeast" w:line="220" w:before="0" w:after="0"/>
        <w:jc w:val="left"/>
        <w:rPr>
          <w:sz w:val="24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Markets Inc., which will be held virtually 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  <w:t>9 a.m., Eastern Time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  <w:t>on Friday,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  <w:t>May 10,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, </w:t>
      </w:r>
    </w:p>
    <w:p>
      <w:pPr>
        <w:pStyle w:val="TextBody"/>
        <w:bidi w:val="0"/>
        <w:spacing w:lineRule="atLeast" w:line="220" w:before="0" w:after="0"/>
        <w:jc w:val="left"/>
        <w:rPr>
          <w:sz w:val="24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at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u w:val="single"/>
          <w:shd w:fill="auto" w:val="clear"/>
        </w:rPr>
        <w:t>www.virtualshareholdermeeting.com/TW2024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>.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The attached Notice of the Annual Meeting of Stockholders and Proxy Statement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>describes the formal business that we will transact at the virtual Annual Meeting.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We are furnishing our proxy materials over the Internet in accordance with the rules of </w:t>
      </w:r>
    </w:p>
    <w:p>
      <w:pPr>
        <w:pStyle w:val="TextBody"/>
        <w:bidi w:val="0"/>
        <w:spacing w:lineRule="atLeast" w:line="220" w:before="0" w:after="0"/>
        <w:jc w:val="left"/>
        <w:rPr>
          <w:sz w:val="24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>the U.S. Securities and Exchange Commission 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  <w:t>"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SEC"). Accordingly, we are sending a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Notice of Internet Availability of Proxy Materials (the "Notice"), rather than a full paper set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of the proxy materials, unless you previously requested to receive printed copies. The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Notice contains details regarding the date, time and location of the meeting and the business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to be conducted, as well as instructions on how to access our proxy materials on the Internet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>and for voting over the Internet.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Whether or not you plan to virtually attend the Annual Meeting, please vote your shares </w:t>
      </w:r>
    </w:p>
    <w:p>
      <w:pPr>
        <w:pStyle w:val="TextBody"/>
        <w:bidi w:val="0"/>
        <w:spacing w:lineRule="atLeast" w:line="220" w:before="0" w:after="0"/>
        <w:jc w:val="left"/>
        <w:rPr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promptly by following the voting instructions that you have received. </w:t>
      </w:r>
      <w:r>
        <w:rPr>
          <w:rFonts w:ascii="Times New Roman" w:hAnsi="Times New Roman"/>
          <w:b/>
          <w:i w:val="false"/>
          <w:caps w:val="false"/>
          <w:smallCaps w:val="false"/>
          <w:sz w:val="22"/>
          <w:shd w:fill="auto" w:val="clear"/>
        </w:rPr>
        <w:t xml:space="preserve">Your vote is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2"/>
          <w:shd w:fill="auto" w:val="clear"/>
        </w:rPr>
        <w:t xml:space="preserve">important regardless of the number of shares you own. Voting by proxy will not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2"/>
          <w:shd w:fill="auto" w:val="clear"/>
        </w:rPr>
        <w:t xml:space="preserve">prevent you from voting virtually at the Annual Meeting, but will assure that your </w:t>
      </w:r>
    </w:p>
    <w:p>
      <w:pPr>
        <w:pStyle w:val="TextBody"/>
        <w:bidi w:val="0"/>
        <w:spacing w:lineRule="atLeast" w:line="220" w:before="0" w:after="0"/>
        <w:jc w:val="left"/>
        <w:rPr>
          <w:shd w:fill="auto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2"/>
          <w:shd w:fill="auto" w:val="clear"/>
        </w:rPr>
        <w:t>vote is counted if you cannot virtually attend.</w:t>
      </w:r>
      <w:r>
        <w:rPr>
          <w:caps w:val="false"/>
          <w:smallCaps w:val="false"/>
          <w:shd w:fill="auto" w:val="clear"/>
        </w:rPr>
        <w:t xml:space="preserve"> </w:t>
      </w:r>
    </w:p>
    <w:p>
      <w:pPr>
        <w:pStyle w:val="TextBody"/>
        <w:bidi w:val="0"/>
        <w:spacing w:lineRule="atLeast" w:line="220" w:before="0" w:after="0"/>
        <w:jc w:val="left"/>
        <w:rPr>
          <w:sz w:val="24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>O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  <w:t>n behalf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of the Board of Directors and the employees of Tradeweb Markets Inc., we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thank you for your continued support and look forward to seeing you at the virtual Annual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2"/>
          <w:shd w:fill="auto" w:val="clear"/>
        </w:rPr>
        <w:t xml:space="preserve">Meeting. </w:t>
      </w:r>
    </w:p>
    <w:p>
      <w:pPr>
        <w:pStyle w:val="TextBody"/>
        <w:bidi w:val="0"/>
        <w:spacing w:lineRule="atLeast" w:line="22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2"/>
          <w:u w:val="none"/>
          <w:effect w:val="none"/>
          <w:shd w:fill="auto" w:val="clear"/>
        </w:rPr>
        <w:t>Sincerely yours,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BILLY HULT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>Chief Executive Officer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March 28, 2024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1409700" cy="419100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sz w:val="40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Notice of 2024</w:t>
      </w:r>
      <w:r>
        <w:rPr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Virtual Annual Meeting of Stockholders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To Our Stockholders: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We are pleased to invite you to attend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Annual Meeting of Stockholders (the "Annual Meeting") of Tradeweb Markets Inc.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("Tradeweb" or the "Company") that will be held virtually 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 a.m., Eastern Time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Friday,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10,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, at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u w:val="single"/>
        </w:rPr>
        <w:t>www.virtualshareholdermeeting.com/TW2024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for the following purposes: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1.To elect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four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nominees for director named in the attached Proxy Statement as Class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II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directors, each to serve on the Board of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Directors for a three-year term until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Annual Meeting of Stockholders or their respective successors are elected and qualified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(Proposal 1);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2.To ratify the appointment of Deloitte &amp; Touche LLP ("Deloitte") as our independent registered public accounting firm for the fiscal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year ending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December 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(Proposal 2);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3.To approve, on an advisory basis, the compensation of our named executive officers (Proposal 3);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4.To determine, on an advisory basis, the frequency of future advisory votes on the compensation of our named executive officers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(Proposal 4); and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5.To transact such other business as may properly come before the Annual Meeting or any adjournment or postponement thereof.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The Board of Directors unanimously recommends that you vote (i) "FOR ALL" of the director nominees named in the attached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Proxy Statement, (ii) "FOR" the ratification of the appointment of Deloitte as our independent registered public accounting firm, (iii) "FOR"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the approval, on an advisory basis, of the compensation paid to our named executive officers and (iv) "1 YEAR" for the frequency of future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advisory votes on the compensation of our named executive officers.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The Board of Directors has fixed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13,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as the record date for determining stockholders entitled to receive notice of, and to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vote at, the virtual Annual Meeting or any adjournment or postponement thereof. Only stockholders of record at the close of business on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that date will be entitled to notice of, and to vote at, the Annual Meeting. Holders of outstanding shares of Class A common stock, Class B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common stock,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Class C common stock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and Class D common stock vote together as a single class on all matters on which stockholders are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entitled to vote generally (except as may be required by law). Each share of Class A common stock and Class C common stock entitles its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holder to one vote on all matters presented to the Company’s stockholders generally. Each share of Class B common stock and Class 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common stock entitles its holder to ten votes on all matters presented to the Company’s stockholders generally.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The Board of Directors has again determined to hold the Annual Meeting virtually. We believe that this is the right choice 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Company as it provides expanded stockholder access regardless of the size of the Annual Meeting or resources available to stockholders,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improves communication and allows participants to attend the Annual Meeting conveniently from any location at no additional cost. The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Company has endeavored to provide stockholders attending the Annual Meeting with the same rights and opportunities to participate as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they would at an in-person meeting.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You are cordially invited to virtually attend the Annual Meeting, conducted virtually via live audio webcast at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u w:val="single"/>
        </w:rPr>
        <w:t>www.virtualshareholdermeeting.com/TW2024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, to vote on the proposals described in this Proxy Statement, view the list of registered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stockholders on the Annual Meeting website and submit questions during the meeting. Your vote is important. Regardless of whether or not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you participate in the Annual Meeting, we hope that you vote as soon as possible. You may vote online or by phone, or, if you received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paper copies of the proxy materials by mail, you may also vote by mail by following the instructions on the proxy card or voting instruction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card. Voting online or by phone, written proxy or voting instruction card ensures your representation at the Annual Meeting regardless of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whether you attend online. For additional details, see "Voting and Attendance at the Annual Meeting" below. This Proxy Statement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provides detailed information about the Annual Meeting. We e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ncourage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you to read this Proxy Statement carefully and in its entirety. 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 xml:space="preserve">By Order of the Board of Directors,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885825" cy="323850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Douglas Friedman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/>
          <w:sz w:val="18"/>
        </w:rPr>
      </w:pPr>
      <w:r>
        <w:rPr>
          <w:rFonts w:ascii="Times New Roman" w:hAnsi="Times New Roman"/>
          <w:b w:val="false"/>
          <w:i/>
          <w:sz w:val="18"/>
        </w:rPr>
        <w:t>General Counsel and Secretary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1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</w:rPr>
        <w:t>New York, New York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28, 2024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109"/>
        <w:gridCol w:w="109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  <w:bdr w:val="single" w:sz="8" w:space="1" w:color="000000"/>
          <w:shd w:fill="auto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  <w:bdr w:val="single" w:sz="8" w:space="1" w:color="000000"/>
          <w:shd w:fill="auto" w:val="clear"/>
        </w:rPr>
        <w:t>IMPORTANT NOTICE REGARDING THE AVAILABILITY OF PROXY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  <w:bdr w:val="single" w:sz="8" w:space="1" w:color="000000"/>
          <w:shd w:fill="auto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  <w:bdr w:val="single" w:sz="8" w:space="1" w:color="000000"/>
          <w:shd w:fill="auto" w:val="clear"/>
        </w:rPr>
        <w:t>MATERIALS FOR THE ANNUAL MEETING OF STOCKHOLDERS TO BE</w:t>
      </w:r>
    </w:p>
    <w:p>
      <w:pPr>
        <w:pStyle w:val="TextBody"/>
        <w:bidi w:val="0"/>
        <w:spacing w:lineRule="atLeast" w:line="18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  <w:bdr w:val="single" w:sz="8" w:space="1" w:color="000000"/>
          <w:shd w:fill="auto" w:val="clear"/>
        </w:rPr>
      </w:pP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  <w:bdr w:val="single" w:sz="8" w:space="1" w:color="000000"/>
          <w:shd w:fill="auto" w:val="clear"/>
        </w:rPr>
        <w:t>HELD ON MAY 10, 2024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  <w:bdr w:val="single" w:sz="8" w:space="1" w:color="000000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bdr w:val="single" w:sz="8" w:space="1" w:color="000000"/>
          <w:shd w:fill="auto" w:val="clear"/>
        </w:rPr>
        <w:t xml:space="preserve">The Notice, the Proxy Statement and the Company’s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bdr w:val="single" w:sz="8" w:space="1" w:color="000000"/>
          <w:shd w:fill="auto" w:val="clear"/>
        </w:rPr>
        <w:t>2023</w:t>
      </w:r>
      <w:r>
        <w:rPr>
          <w:caps w:val="false"/>
          <w:smallCaps w:val="false"/>
          <w:sz w:val="24"/>
          <w:bdr w:val="single" w:sz="8" w:space="1" w:color="000000"/>
          <w:shd w:fill="auto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bdr w:val="single" w:sz="8" w:space="1" w:color="000000"/>
          <w:shd w:fill="auto" w:val="clear"/>
        </w:rPr>
        <w:t>Annual</w:t>
      </w:r>
    </w:p>
    <w:p>
      <w:pPr>
        <w:pStyle w:val="TextBody"/>
        <w:bidi w:val="0"/>
        <w:spacing w:lineRule="atLeast" w:line="180" w:before="0" w:after="0"/>
        <w:jc w:val="left"/>
        <w:rPr>
          <w:bdr w:val="single" w:sz="8" w:space="1" w:color="000000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bdr w:val="single" w:sz="8" w:space="1" w:color="000000"/>
          <w:shd w:fill="auto" w:val="clear"/>
        </w:rPr>
        <w:t xml:space="preserve">Report are available at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u w:val="single"/>
          <w:bdr w:val="single" w:sz="8" w:space="1" w:color="000000"/>
          <w:shd w:fill="auto" w:val="clear"/>
        </w:rPr>
        <w:t>www.proxyvote.com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8"/>
          <w:bdr w:val="single" w:sz="8" w:space="1" w:color="000000"/>
          <w:shd w:fill="auto" w:val="clear"/>
        </w:rPr>
        <w:t>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8001000" cy="103219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1032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25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1"/>
        <w:gridCol w:w="109"/>
        <w:gridCol w:w="256"/>
      </w:tblGrid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2024 PROXY SUMMARY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3</w:t>
            </w:r>
          </w:p>
        </w:tc>
      </w:tr>
    </w:tbl>
    <w:p>
      <w:pPr>
        <w:pStyle w:val="TextBody"/>
        <w:bidi w:val="0"/>
        <w:spacing w:lineRule="atLeast" w:line="3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  <w:t xml:space="preserve">This summary highlights information contained elsewhere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  <w:t xml:space="preserve">in this Proxy Statement. This summary does not contain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  <w:t xml:space="preserve">all the information you should consider in voting your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  <w:t xml:space="preserve">shares. Please read the complete Proxy Statement and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  <w:t xml:space="preserve">our Annual Report to Stockholders for the fiscal year </w:t>
      </w:r>
    </w:p>
    <w:p>
      <w:pPr>
        <w:pStyle w:val="TextBody"/>
        <w:bidi w:val="0"/>
        <w:spacing w:lineRule="atLeast" w:line="3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FFFFFF"/>
          <w:sz w:val="30"/>
          <w:u w:val="none"/>
          <w:effect w:val="none"/>
          <w:shd w:fill="auto" w:val="clear"/>
        </w:rPr>
        <w:t>ended December 31, 2023 carefully before voting.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2"/>
          <w:u w:val="none"/>
          <w:effect w:val="none"/>
          <w:shd w:fill="auto" w:val="clear"/>
        </w:rPr>
        <w:t>PROXY SUMMARY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>MEETING INFORMATION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</w:p>
    <w:tbl>
      <w:tblPr>
        <w:tblW w:w="52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96"/>
        <w:gridCol w:w="3871"/>
      </w:tblGrid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Date: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Friday, May 10, 2024</w:t>
            </w:r>
          </w:p>
        </w:tc>
      </w:tr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Time: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9 a.m., Eastern Time</w:t>
            </w:r>
          </w:p>
        </w:tc>
      </w:tr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Virtual Meeting: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color w:val="000000"/>
                <w:sz w:val="18"/>
                <w:u w:val="single"/>
              </w:rPr>
              <w:t>www.virtualshareholdermeeting.com/TW2024</w:t>
            </w:r>
          </w:p>
        </w:tc>
      </w:tr>
      <w:tr>
        <w:trPr/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Record Date:</w:t>
            </w:r>
          </w:p>
        </w:tc>
        <w:tc>
          <w:tcPr>
            <w:tcW w:w="38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March 13, 2024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HOW TO VOTE </w:t>
      </w:r>
    </w:p>
    <w:tbl>
      <w:tblPr>
        <w:tblW w:w="15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109"/>
        <w:gridCol w:w="120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Proxy Summary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  <w:t xml:space="preserve">We first began sending our stockholders the Notice and made our proxy materials available on or about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auto" w:val="clear"/>
        </w:rPr>
        <w:t xml:space="preserve">March 28,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auto" w:val="clear"/>
        </w:rPr>
        <w:t>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  <w:t xml:space="preserve">.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1605" cy="12700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60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  <w:shd w:fill="auto" w:val="clear"/>
        </w:rPr>
        <w:t>PROPOSALS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Proposal 1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Election of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Directors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To elect the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four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director nominees named in this Proxy Statement as Class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II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directors of the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Company, each to serve for a three-year term until the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2027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Annual Meeting or their respective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>successors are elected and qualified.</w:t>
      </w:r>
    </w:p>
    <w:p>
      <w:pPr>
        <w:pStyle w:val="TextBody"/>
        <w:bidi w:val="0"/>
        <w:spacing w:lineRule="atLeast" w:line="200" w:before="0" w:after="0"/>
        <w:jc w:val="left"/>
        <w:rPr>
          <w:shd w:fill="auto" w:val="clear"/>
        </w:rPr>
      </w:pPr>
      <w:r>
        <w:rPr>
          <w:rFonts w:ascii="Wingdings" w:hAnsi="Wingdings"/>
          <w:b w:val="false"/>
          <w:i/>
          <w:sz w:val="20"/>
          <w:shd w:fill="auto" w:val="clear"/>
        </w:rPr>
        <w:t>ü</w:t>
      </w:r>
      <w:r>
        <w:rPr>
          <w:shd w:fill="auto" w:val="clear"/>
        </w:rPr>
        <w:t xml:space="preserve"> </w:t>
      </w:r>
      <w:r>
        <w:rPr>
          <w:rFonts w:ascii="Arial" w:hAnsi="Arial"/>
          <w:b w:val="false"/>
          <w:i/>
          <w:sz w:val="18"/>
          <w:shd w:fill="auto" w:val="clear"/>
        </w:rPr>
        <w:t>Our Board unanimously recommends that you vote "FOR ALL" of the director nominees.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Proposal 2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Auditor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Ratification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To ratify the appointment of Deloitte &amp; Touche LLP as the Company’s independent registered public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accounting firm for the fiscal year ending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auto" w:val="clear"/>
        </w:rPr>
        <w:t>December 31, 2024</w:t>
      </w: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hd w:fill="auto" w:val="clear"/>
        </w:rPr>
      </w:pPr>
      <w:r>
        <w:rPr>
          <w:rFonts w:ascii="Wingdings" w:hAnsi="Wingdings"/>
          <w:b w:val="false"/>
          <w:i/>
          <w:sz w:val="20"/>
          <w:shd w:fill="auto" w:val="clear"/>
        </w:rPr>
        <w:t>ü</w:t>
      </w:r>
      <w:r>
        <w:rPr>
          <w:shd w:fill="auto" w:val="clear"/>
        </w:rPr>
        <w:t xml:space="preserve"> </w:t>
      </w:r>
      <w:r>
        <w:rPr>
          <w:rFonts w:ascii="Arial" w:hAnsi="Arial"/>
          <w:b w:val="false"/>
          <w:i/>
          <w:sz w:val="18"/>
          <w:shd w:fill="auto" w:val="clear"/>
        </w:rPr>
        <w:t xml:space="preserve">Our Board unanimously recommends that you vote "FOR" ratification of the appointment of Deloitte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/>
          <w:sz w:val="18"/>
          <w:shd w:fill="auto" w:val="clear"/>
        </w:rPr>
        <w:t xml:space="preserve">&amp; Touche LLP as our independent registered public accounting firm for fiscal </w:t>
      </w:r>
      <w:r>
        <w:rPr>
          <w:rFonts w:ascii="Arial" w:hAnsi="Arial"/>
          <w:b w:val="false"/>
          <w:i/>
          <w:strike w:val="false"/>
          <w:dstrike w:val="false"/>
          <w:sz w:val="18"/>
          <w:u w:val="none"/>
          <w:effect w:val="none"/>
          <w:shd w:fill="auto" w:val="clear"/>
        </w:rPr>
        <w:t>2024</w:t>
      </w:r>
      <w:r>
        <w:rPr>
          <w:rFonts w:ascii="Arial" w:hAnsi="Arial"/>
          <w:b w:val="false"/>
          <w:i/>
          <w:sz w:val="18"/>
          <w:shd w:fill="auto" w:val="clear"/>
        </w:rPr>
        <w:t>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  <w:t>INTERNET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To vote before the meeting, visit</w:t>
      </w:r>
    </w:p>
    <w:p>
      <w:pPr>
        <w:pStyle w:val="TextBody"/>
        <w:bidi w:val="0"/>
        <w:spacing w:lineRule="atLeast" w:line="200" w:before="0" w:after="0"/>
        <w:jc w:val="left"/>
        <w:rPr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u w:val="single"/>
          <w:shd w:fill="auto" w:val="clear"/>
        </w:rPr>
        <w:t>www.proxyvote.com</w:t>
      </w: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To vote at the meeting, visit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z w:val="20"/>
          <w:u w:val="singl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z w:val="20"/>
          <w:u w:val="single"/>
          <w:shd w:fill="auto" w:val="clear"/>
        </w:rPr>
        <w:t>www.virtualshareholdermeeting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z w:val="20"/>
          <w:u w:val="single"/>
          <w:shd w:fill="auto" w:val="clear"/>
        </w:rPr>
        <w:t>.com/TW2024</w:t>
      </w: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. You will need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the control number printed 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your notice, proxy card or 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instruction form.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  <w:t>TELEPHONE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If you received a paper copy of the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proxy materials, dial toll-free</w:t>
      </w:r>
    </w:p>
    <w:p>
      <w:pPr>
        <w:pStyle w:val="TextBody"/>
        <w:bidi w:val="0"/>
        <w:spacing w:lineRule="atLeast" w:line="200" w:before="0" w:after="0"/>
        <w:jc w:val="left"/>
        <w:rPr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z w:val="20"/>
          <w:shd w:fill="auto" w:val="clear"/>
        </w:rPr>
        <w:t>800-690-6903</w:t>
      </w:r>
      <w:r>
        <w:rPr>
          <w:caps w:val="false"/>
          <w:smallCaps w:val="fals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or the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telephone number on your 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instruction form. You will need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the control number printed 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your notice, proxy card or 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instruction form.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  <w:t>MAIL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If you received a paper copy of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the proxy materials, send your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completed and signed proxy card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or voting instruction form using the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20"/>
          <w:shd w:fill="auto" w:val="clear"/>
        </w:rPr>
        <w:t>enclosed postage-paid envelope.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85800" cy="47625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66700" cy="504825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438150" cy="30480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Proposal 3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Advisory Vote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on Executive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To approve, on an advisory basis, the compensation of our named executive officers. </w:t>
      </w:r>
    </w:p>
    <w:p>
      <w:pPr>
        <w:pStyle w:val="TextBody"/>
        <w:bidi w:val="0"/>
        <w:spacing w:lineRule="atLeast" w:line="200" w:before="0" w:after="0"/>
        <w:jc w:val="left"/>
        <w:rPr>
          <w:shd w:fill="auto" w:val="clear"/>
        </w:rPr>
      </w:pPr>
      <w:r>
        <w:rPr>
          <w:rFonts w:ascii="Wingdings" w:hAnsi="Wingdings"/>
          <w:b w:val="false"/>
          <w:i/>
          <w:sz w:val="20"/>
          <w:shd w:fill="auto" w:val="clear"/>
        </w:rPr>
        <w:t>ü</w:t>
      </w:r>
      <w:r>
        <w:rPr>
          <w:shd w:fill="auto" w:val="clear"/>
        </w:rPr>
        <w:t xml:space="preserve"> </w:t>
      </w:r>
      <w:r>
        <w:rPr>
          <w:rFonts w:ascii="Arial" w:hAnsi="Arial"/>
          <w:b w:val="false"/>
          <w:i/>
          <w:sz w:val="18"/>
          <w:shd w:fill="auto" w:val="clear"/>
        </w:rPr>
        <w:t xml:space="preserve">Our Board unanimously recommends that you vote, on an advisory basis, "FOR" the compensation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/>
          <w:sz w:val="18"/>
          <w:shd w:fill="auto" w:val="clear"/>
        </w:rPr>
      </w:pPr>
      <w:r>
        <w:rPr>
          <w:rFonts w:ascii="Arial" w:hAnsi="Arial"/>
          <w:b w:val="false"/>
          <w:i/>
          <w:sz w:val="18"/>
          <w:shd w:fill="auto" w:val="clear"/>
        </w:rPr>
        <w:t>of our named executive officers as set forth in this Proxy Statement.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1605" cy="12700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60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Proposal 4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Frequency of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Advisory Vote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 xml:space="preserve">on Executive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Compensation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To determine, on an advisory basis, the frequency of future advisory votes on the compensation of our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8"/>
          <w:shd w:fill="auto" w:val="clear"/>
        </w:rPr>
        <w:t xml:space="preserve">named executive officers.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  <w:shd w:fill="auto" w:val="clear"/>
        </w:rPr>
      </w:pPr>
      <w:r>
        <w:rPr>
          <w:rFonts w:ascii="Wingdings" w:hAnsi="Wingdings"/>
          <w:b w:val="false"/>
          <w:i/>
          <w:sz w:val="20"/>
          <w:shd w:fill="auto" w:val="clear"/>
        </w:rPr>
        <w:t>ü</w:t>
      </w:r>
      <w:r>
        <w:rPr>
          <w:sz w:val="24"/>
          <w:shd w:fill="auto" w:val="clear"/>
        </w:rPr>
        <w:t xml:space="preserve"> </w:t>
      </w:r>
      <w:r>
        <w:rPr>
          <w:rFonts w:ascii="Arial" w:hAnsi="Arial"/>
          <w:b w:val="false"/>
          <w:i/>
          <w:sz w:val="18"/>
          <w:shd w:fill="auto" w:val="clear"/>
        </w:rPr>
        <w:t xml:space="preserve">Our Board unanimously recommends that you vote, on an advisory basis, "1 </w:t>
      </w:r>
      <w:r>
        <w:rPr>
          <w:rFonts w:ascii="Arial" w:hAnsi="Arial"/>
          <w:b w:val="false"/>
          <w:i/>
          <w:strike w:val="false"/>
          <w:dstrike w:val="false"/>
          <w:sz w:val="18"/>
          <w:u w:val="none"/>
          <w:effect w:val="none"/>
          <w:shd w:fill="auto" w:val="clear"/>
        </w:rPr>
        <w:t>YEAR"</w:t>
      </w:r>
      <w:r>
        <w:rPr>
          <w:sz w:val="24"/>
          <w:shd w:fill="auto" w:val="clear"/>
        </w:rPr>
        <w:t xml:space="preserve"> </w:t>
      </w:r>
      <w:r>
        <w:rPr>
          <w:rFonts w:ascii="Arial" w:hAnsi="Arial"/>
          <w:b w:val="false"/>
          <w:i/>
          <w:sz w:val="18"/>
          <w:shd w:fill="auto" w:val="clear"/>
        </w:rPr>
        <w:t xml:space="preserve">for the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 w:val="false"/>
          <w:i/>
          <w:sz w:val="18"/>
          <w:shd w:fill="auto" w:val="clear"/>
        </w:rPr>
      </w:pPr>
      <w:r>
        <w:rPr>
          <w:rFonts w:ascii="Arial" w:hAnsi="Arial"/>
          <w:b w:val="false"/>
          <w:i/>
          <w:sz w:val="18"/>
          <w:shd w:fill="auto" w:val="clear"/>
        </w:rPr>
        <w:t>frequency of future advisory votes on the compensation of our named executive officers.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7000" cy="203327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7000" cy="203327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  <w:t xml:space="preserve">Your vote is important. You may vote your shares in advance of the Annual Meeting via the Internet, by telephone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  <w:t xml:space="preserve">by mail or during the meeting by attending and voting electronically. If you vote via the Internet, by telephone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shd w:fill="auto" w:val="clear"/>
        </w:rPr>
        <w:t xml:space="preserve">plan to vote electronically during the Annual Meeting, you do not need to mail in a proxy card.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Our Board of Directors</w:t>
      </w:r>
    </w:p>
    <w:tbl>
      <w:tblPr>
        <w:tblW w:w="87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1"/>
        <w:gridCol w:w="766"/>
        <w:gridCol w:w="631"/>
        <w:gridCol w:w="1846"/>
        <w:gridCol w:w="871"/>
        <w:gridCol w:w="796"/>
        <w:gridCol w:w="1006"/>
        <w:gridCol w:w="1006"/>
        <w:gridCol w:w="1036"/>
      </w:tblGrid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Committee Membership</w:t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</w:t>
            </w:r>
          </w:p>
        </w:tc>
        <w:tc>
          <w:tcPr>
            <w:tcW w:w="6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Since</w:t>
            </w:r>
          </w:p>
        </w:tc>
        <w:tc>
          <w:tcPr>
            <w:tcW w:w="18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Principal Occupation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Independent</w:t>
            </w:r>
          </w:p>
        </w:tc>
        <w:tc>
          <w:tcPr>
            <w:tcW w:w="79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Audit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Committee</w:t>
            </w:r>
          </w:p>
        </w:tc>
        <w:tc>
          <w:tcPr>
            <w:tcW w:w="10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Committee</w:t>
            </w:r>
          </w:p>
        </w:tc>
        <w:tc>
          <w:tcPr>
            <w:tcW w:w="10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Nominating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and Corporate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Governance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Committee</w:t>
            </w:r>
          </w:p>
        </w:tc>
        <w:tc>
          <w:tcPr>
            <w:tcW w:w="103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Other Current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Public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Company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Boards</w:t>
            </w:r>
          </w:p>
        </w:tc>
      </w:tr>
      <w:tr>
        <w:trPr/>
        <w:tc>
          <w:tcPr>
            <w:tcW w:w="82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2856"/>
            </w:tcBorders>
            <w:shd w:fill="D6E4F3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2856"/>
              <w:right w:val="single" w:sz="6" w:space="0" w:color="FFFFFF"/>
            </w:tcBorders>
            <w:shd w:fill="D6E4F3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8" w:space="0" w:color="002856"/>
              <w:left w:val="single" w:sz="6" w:space="0" w:color="FFFFFF"/>
            </w:tcBorders>
            <w:shd w:fill="D6E4F3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Jacques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Aigrain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2022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Director,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Clearwater Analytics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Chairman, Lyondell Basell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Industries N.V. 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65760" cy="295910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29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</w:t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Balbir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Bakhshi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2021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Chief Risk Officer,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London Stock Exchange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Group plc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Steven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Berns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2020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Former Chief Financial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Officer &amp; Chief Operating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Officer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75260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7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Troy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Dixon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Founder and Chief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Investment Officer,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Hollis Park Partners LP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Scott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Ganeles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2019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Senior Partner,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WestCap Group, LLC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Billy Hult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2019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Chief Executive Officer,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Tradeweb Markets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2" name="Image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Catherine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Johnson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Group General Counsel,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London Stock Exchange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Group plc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3" name="Image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Paula B.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Madoff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2019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Advisor,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The Goldman Sachs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Group Inc.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75260"/>
                  <wp:effectExtent l="0" t="0" r="0" b="0"/>
                  <wp:docPr id="24" name="Image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7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</w:t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Lisa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Opoku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Former Chief Operating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Officer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Thomas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Pluta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2019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President,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Tradeweb Markets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Murray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Roos</w:t>
            </w:r>
          </w:p>
        </w:tc>
        <w:tc>
          <w:tcPr>
            <w:tcW w:w="63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2021</w:t>
            </w:r>
          </w:p>
        </w:tc>
        <w:tc>
          <w:tcPr>
            <w:tcW w:w="184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Group Director, Capital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Markets, London Stock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Exchange Group plc</w:t>
            </w:r>
          </w:p>
        </w:tc>
        <w:tc>
          <w:tcPr>
            <w:tcW w:w="871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6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6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6" w:space="0" w:color="002856"/>
              <w:right w:val="single" w:sz="8" w:space="0" w:color="FFFFFF"/>
            </w:tcBorders>
            <w:shd w:fill="CCEEF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  <w:right w:val="single" w:sz="8" w:space="0" w:color="FFFFFF"/>
            </w:tcBorders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top w:val="single" w:sz="6" w:space="0" w:color="002856"/>
              <w:left w:val="single" w:sz="8" w:space="0" w:color="FFFFFF"/>
            </w:tcBorders>
            <w:shd w:fill="CCEEF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6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57200"/>
                  <wp:effectExtent l="0" t="0" r="0" b="0"/>
                  <wp:docPr id="28" name="Image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Rana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Yared</w:t>
            </w:r>
          </w:p>
        </w:tc>
        <w:tc>
          <w:tcPr>
            <w:tcW w:w="6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2022</w:t>
            </w:r>
          </w:p>
        </w:tc>
        <w:tc>
          <w:tcPr>
            <w:tcW w:w="18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General Partner,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Balderton Capital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96" w:type="dxa"/>
            <w:tcBorders>
              <w:bottom w:val="single" w:sz="8" w:space="0" w:color="002856"/>
              <w:right w:val="single" w:sz="8" w:space="0" w:color="FFFFFF"/>
            </w:tcBorders>
            <w:shd w:fill="CCEEF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8" w:space="0" w:color="002856"/>
              <w:right w:val="single" w:sz="8" w:space="0" w:color="FFFFFF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8" w:space="0" w:color="FFFFFF"/>
              <w:bottom w:val="single" w:sz="8" w:space="0" w:color="002856"/>
            </w:tcBorders>
            <w:shd w:fill="CCEEF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>
          <w:caps w:val="false"/>
          <w:smallCaps w:val="false"/>
        </w:rPr>
        <w:t>   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  <w:shd w:fill="FFFFFF" w:val="clear"/>
        </w:rPr>
        <w:t>Denotes Chairperson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52400" cy="152400"/>
            <wp:effectExtent l="0" t="0" r="0" b="0"/>
            <wp:docPr id="29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5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1"/>
        <w:gridCol w:w="109"/>
        <w:gridCol w:w="256"/>
      </w:tblGrid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5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Proxy Summary</w:t>
      </w: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Our Board of Directors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BOARD SKILLS AND QUALIFICATIONS</w:t>
      </w:r>
    </w:p>
    <w:tbl>
      <w:tblPr>
        <w:tblW w:w="15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6"/>
        <w:gridCol w:w="109"/>
        <w:gridCol w:w="1201"/>
      </w:tblGrid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Proxy Summary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CAPITAL MARKETS/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FIXED INCOME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34010" cy="325120"/>
            <wp:effectExtent l="0" t="0" r="0" b="0"/>
            <wp:docPr id="30" name="Image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30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32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ELECTRONIC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TRADING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44805" cy="311150"/>
            <wp:effectExtent l="0" t="0" r="0" b="0"/>
            <wp:docPr id="31" name="Image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31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32" name="Image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32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33" name="Image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33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CORPORATE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GOVERNANCE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34" name="Image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34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42265" cy="325755"/>
            <wp:effectExtent l="0" t="0" r="0" b="0"/>
            <wp:docPr id="35" name="Image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35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RISK MANAGEMENT/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INFORMATION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TECHNOLOGY &amp; SYSTEMS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36" name="Image3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36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44805" cy="344805"/>
            <wp:effectExtent l="0" t="0" r="0" b="0"/>
            <wp:docPr id="37" name="Image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37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 xml:space="preserve">12 of 12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auto" w:val="clear"/>
        </w:rPr>
        <w:t>directors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auto" w:val="clear"/>
        </w:rPr>
        <w:t>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of 12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8 of 12 directors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auto" w:val="clear"/>
        </w:rPr>
        <w:t>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of 12 directors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91605" cy="127000"/>
            <wp:effectExtent l="0" t="0" r="0" b="0"/>
            <wp:docPr id="38" name="Image3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8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60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LEGAL &amp;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REGULATORY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39" name="Image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39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40" name="Image4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0" descr="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of 12 directors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auto" w:val="clear"/>
        </w:rPr>
        <w:t>9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of 12 directors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GLOBAL LEADERSHIP/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HUMAN CAPITAL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41" name="Image4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41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12 of 12 directors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FINANCIAL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EXPERTISE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899410" cy="438150"/>
            <wp:effectExtent l="0" t="0" r="0" b="0"/>
            <wp:docPr id="42" name="Image4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2" descr="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41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auto" w:val="clear"/>
        </w:rPr>
        <w:t>9</w:t>
      </w:r>
      <w:r>
        <w:rPr>
          <w:caps w:val="false"/>
          <w:smallCaps w:val="false"/>
          <w:sz w:val="24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  <w:shd w:fill="auto" w:val="clear"/>
        </w:rPr>
        <w:t>of 12 directors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MERGERS &amp;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18"/>
          <w:u w:val="none"/>
          <w:effect w:val="none"/>
          <w:shd w:fill="auto" w:val="clear"/>
        </w:rPr>
        <w:t>ACQUISITIONS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63525" cy="267970"/>
            <wp:effectExtent l="0" t="0" r="0" b="0"/>
            <wp:docPr id="43" name="Image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43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18135" cy="287020"/>
            <wp:effectExtent l="0" t="0" r="0" b="0"/>
            <wp:docPr id="44" name="Image4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4" descr="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05435" cy="297815"/>
            <wp:effectExtent l="0" t="0" r="0" b="0"/>
            <wp:docPr id="45" name="Image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45" descr="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02260" cy="294640"/>
            <wp:effectExtent l="0" t="0" r="0" b="0"/>
            <wp:docPr id="46" name="Image4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46" descr="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29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20" w:before="0" w:after="0"/>
        <w:jc w:val="left"/>
        <w:rPr>
          <w:sz w:val="24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  <w:t>BOARD INDEPENDENCE, AGE,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  <w:shd w:fill="auto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  <w:shd w:fill="auto" w:val="clear"/>
        </w:rPr>
        <w:t>DIVERSITY AND TENURE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918460" cy="1746250"/>
            <wp:effectExtent l="0" t="0" r="0" b="0"/>
            <wp:docPr id="47" name="Image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47" descr="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174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  <w:t>58%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INDEPENDENT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918460" cy="1743075"/>
            <wp:effectExtent l="0" t="0" r="0" b="0"/>
            <wp:docPr id="48" name="Image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8" descr="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40" w:before="0" w:after="0"/>
        <w:jc w:val="left"/>
        <w:rPr>
          <w:sz w:val="24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  <w:t>54.7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AVERAGE AGE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918460" cy="1743075"/>
            <wp:effectExtent l="0" t="0" r="0" b="0"/>
            <wp:docPr id="49" name="Image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49" descr="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AVERAGE</w:t>
      </w:r>
    </w:p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  <w:t>3.1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YEARS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1444625" cy="1743075"/>
            <wp:effectExtent l="0" t="0" r="0" b="0"/>
            <wp:docPr id="50" name="Image5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0" descr="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462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  <w:t>33%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FEMALE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1447800" cy="1743075"/>
            <wp:effectExtent l="0" t="0" r="0" b="0"/>
            <wp:docPr id="51" name="Image5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51" descr="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  <w:shd w:fill="auto" w:val="clear"/>
        </w:rPr>
        <w:t>25%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DIVERSE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20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552"/>
          <w:sz w:val="20"/>
          <w:u w:val="none"/>
          <w:effect w:val="none"/>
          <w:shd w:fill="auto" w:val="clear"/>
        </w:rPr>
        <w:t>DIVERSITY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14"/>
          <w:u w:val="none"/>
          <w:effect w:val="none"/>
          <w:shd w:fill="auto" w:val="clear"/>
        </w:rPr>
        <w:t>Gender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14"/>
          <w:u w:val="none"/>
          <w:effect w:val="none"/>
          <w:shd w:fill="auto" w:val="clear"/>
        </w:rPr>
        <w:t>Race/Ethnicity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Non-independent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Independent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56+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&lt;50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51-55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3+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0-3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Diverse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Other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Female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Male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0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0"/>
          <w:u w:val="none"/>
          <w:effect w:val="none"/>
          <w:shd w:fill="auto" w:val="clear"/>
        </w:rPr>
        <w:t>INDEPENDENCE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0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0"/>
          <w:u w:val="none"/>
          <w:effect w:val="none"/>
          <w:shd w:fill="auto" w:val="clear"/>
        </w:rPr>
        <w:t>AGE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0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0"/>
          <w:u w:val="none"/>
          <w:effect w:val="none"/>
          <w:shd w:fill="auto" w:val="clear"/>
        </w:rPr>
        <w:t>TENURE</w:t>
      </w:r>
    </w:p>
    <w:p>
      <w:pPr>
        <w:pStyle w:val="TextBody"/>
        <w:bidi w:val="0"/>
        <w:spacing w:lineRule="atLeast" w:line="400" w:before="0" w:after="0"/>
        <w:jc w:val="left"/>
        <w:rPr>
          <w:sz w:val="40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Executive</w:t>
      </w:r>
      <w:r>
        <w:rPr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Compensation Program Highlights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  <w:t>PHILOSOPHY AND OBJECTIVES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9"/>
        <w:gridCol w:w="109"/>
        <w:gridCol w:w="7777"/>
      </w:tblGrid>
      <w:tr>
        <w:trPr/>
        <w:tc>
          <w:tcPr>
            <w:tcW w:w="2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9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 xml:space="preserve">Maintain a pay-for-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performance culture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7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Annual pay opportunities emphasize variable performance-based compensation with metrics aligned to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Company’s financial results, stock price and business strategy, promoting a high degree of performance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orientation in our executive compensation program.</w:t>
            </w:r>
          </w:p>
        </w:tc>
      </w:tr>
      <w:tr>
        <w:trPr/>
        <w:tc>
          <w:tcPr>
            <w:tcW w:w="231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 xml:space="preserve">Foster long-term alignment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with stockholders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7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Outstanding equity awards in the form of annual time-vesting restricted stock units, performance-based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restricted stock units and performance stock units directly tie pay outcomes to value creation, aligning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executive and stockholder interest.</w:t>
            </w:r>
          </w:p>
        </w:tc>
      </w:tr>
      <w:tr>
        <w:trPr/>
        <w:tc>
          <w:tcPr>
            <w:tcW w:w="231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Attraction and retention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Our executive compensation program provides overall target compensation that is intended to attract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retain high-caliber talent. In addition, our long-term incentive awards are granted on varying vesting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schedules, continually ensuring that a portion of previously granted equity remains unvested.</w:t>
            </w:r>
          </w:p>
        </w:tc>
      </w:tr>
      <w:tr>
        <w:trPr/>
        <w:tc>
          <w:tcPr>
            <w:tcW w:w="2319" w:type="dxa"/>
            <w:tcBorders>
              <w:top w:val="single" w:sz="8" w:space="0" w:color="000000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Reflect internal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considerations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7" w:type="dxa"/>
            <w:tcBorders>
              <w:top w:val="single" w:sz="8" w:space="0" w:color="000000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Compensation decisions are made in the context of individual factors and pay equity, fostering growth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motivation through a flexible compensation design.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  <w:t>KEY ELEMENTS OF OUR FISCAL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  <w:t>YEAR 2023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  <w:t>COMPENSATION PROGRAM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73"/>
        <w:gridCol w:w="5132"/>
      </w:tblGrid>
      <w:tr>
        <w:trPr/>
        <w:tc>
          <w:tcPr>
            <w:tcW w:w="50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73" w:type="dxa"/>
            <w:tcBorders>
              <w:top w:val="single" w:sz="8" w:space="0" w:color="002856"/>
            </w:tcBorders>
            <w:shd w:fill="007EB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What We Do</w:t>
            </w:r>
          </w:p>
        </w:tc>
        <w:tc>
          <w:tcPr>
            <w:tcW w:w="5132" w:type="dxa"/>
            <w:tcBorders>
              <w:top w:val="single" w:sz="8" w:space="0" w:color="002856"/>
            </w:tcBorders>
            <w:shd w:fill="00285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What We Don’t Do</w:t>
            </w:r>
          </w:p>
        </w:tc>
      </w:tr>
      <w:tr>
        <w:trPr/>
        <w:tc>
          <w:tcPr>
            <w:tcW w:w="507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Pay-for-performance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Approximately 94% of our executive target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compensation is at-risk variable compensation. 76% of target annual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equity grants and cash bonuses made to the NEOs in March 2023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were tied directly to company performance.</w:t>
            </w:r>
          </w:p>
        </w:tc>
        <w:tc>
          <w:tcPr>
            <w:tcW w:w="5132" w:type="dxa"/>
            <w:tcBorders>
              <w:bottom w:val="single" w:sz="8" w:space="0" w:color="002857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Hedging/pledging of Company stock.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We prohibit our officers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directors from hedging, margining, pledging, short-selling or publicly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trading options in our stock.</w:t>
            </w:r>
          </w:p>
        </w:tc>
      </w:tr>
      <w:tr>
        <w:trPr/>
        <w:tc>
          <w:tcPr>
            <w:tcW w:w="5073" w:type="dxa"/>
            <w:tcBorders>
              <w:top w:val="single" w:sz="8" w:space="0" w:color="000000"/>
              <w:bottom w:val="single" w:sz="8" w:space="0" w:color="002857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Encourage long-term outlook.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In 2023, the CEO received an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annual grant and all other NEOs received a one-time grant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performance-vesting stock units ("PSUs") that are earned based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achievement of total shareholder return ("TSR") targets over a three-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year performance period. In 2024, the Compensation Committee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determined to grant PSUs to all NEOs on an annual basis as part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their overall equity mix. In addition, in 2024, the performance-based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restricted stock units ("PRSUs") were restructured to vest based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achievement of three-year compound annual growth rate ("CAGR")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targets for revenue and Adjusted EBITDA. Please see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"Compensation Discussion and Analysis—Fiscal 2024 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Decisions" below for more information.</w:t>
            </w:r>
          </w:p>
        </w:tc>
        <w:tc>
          <w:tcPr>
            <w:tcW w:w="5132" w:type="dxa"/>
            <w:tcBorders>
              <w:top w:val="single" w:sz="8" w:space="0" w:color="002857"/>
              <w:bottom w:val="single" w:sz="8" w:space="0" w:color="002857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Excise tax gross-ups.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We do not pay excise tax gross-ups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change-in-control payments.</w:t>
            </w:r>
          </w:p>
        </w:tc>
      </w:tr>
      <w:tr>
        <w:trPr/>
        <w:tc>
          <w:tcPr>
            <w:tcW w:w="5073" w:type="dxa"/>
            <w:tcBorders>
              <w:top w:val="single" w:sz="8" w:space="0" w:color="002857"/>
              <w:bottom w:val="single" w:sz="8" w:space="0" w:color="002857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Rigorous performance goals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The Company establishes rigorous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performance goals related to its incentive-based 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plans.</w:t>
            </w:r>
          </w:p>
        </w:tc>
        <w:tc>
          <w:tcPr>
            <w:tcW w:w="5132" w:type="dxa"/>
            <w:tcBorders>
              <w:top w:val="single" w:sz="8" w:space="0" w:color="002857"/>
              <w:bottom w:val="single" w:sz="8" w:space="0" w:color="002857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Repricing or exchange of underwater options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Under our omnibus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equity plan, we specifically prohibit share repricing 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stockholder approval.</w:t>
            </w:r>
          </w:p>
        </w:tc>
      </w:tr>
      <w:tr>
        <w:trPr/>
        <w:tc>
          <w:tcPr>
            <w:tcW w:w="5073" w:type="dxa"/>
            <w:tcBorders>
              <w:top w:val="single" w:sz="8" w:space="0" w:color="002857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Clawback policy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In accordance with Exchange Act Rule 10D-1, we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maintain a robust clawback policy that requires the clawback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incentive compensation from executive officers in the event of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material misstatement of the financials. In addition,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Compensation Committee has discretion to clawback, from both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executive officers and other employees, other incentive-based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compensation, including time-based short-term or long-term equity or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other incentive awards.</w:t>
            </w:r>
          </w:p>
        </w:tc>
        <w:tc>
          <w:tcPr>
            <w:tcW w:w="5132" w:type="dxa"/>
            <w:tcBorders>
              <w:top w:val="single" w:sz="8" w:space="0" w:color="002857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Dividend equivalents on unearned equity awards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Dividend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equivalent rights accrued on equity awards are not paid until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underlying award itself vests and becomes payable.</w:t>
            </w:r>
          </w:p>
        </w:tc>
      </w:tr>
    </w:tbl>
    <w:tbl>
      <w:tblPr>
        <w:tblW w:w="15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1"/>
        <w:gridCol w:w="109"/>
        <w:gridCol w:w="256"/>
      </w:tblGrid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7</w:t>
            </w:r>
          </w:p>
        </w:tc>
      </w:tr>
    </w:tbl>
    <w:p>
      <w:pPr>
        <w:pStyle w:val="TextBody"/>
        <w:bidi w:val="0"/>
        <w:spacing w:lineRule="atLeast" w:line="2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FFFFFF"/>
          <w:sz w:val="26"/>
          <w:u w:val="none"/>
          <w:effect w:val="none"/>
          <w:shd w:fill="auto" w:val="clear"/>
        </w:rPr>
        <w:t>Proxy Summary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797810" cy="2127250"/>
            <wp:effectExtent l="0" t="0" r="0" b="0"/>
            <wp:docPr id="52" name="Image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52" descr="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94%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AT-RISK PAY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030220" cy="2106295"/>
            <wp:effectExtent l="0" t="0" r="0" b="0"/>
            <wp:docPr id="53" name="Image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53" descr="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210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22"/>
          <w:u w:val="none"/>
          <w:effect w:val="none"/>
          <w:shd w:fill="auto" w:val="clear"/>
        </w:rPr>
        <w:t>94%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14"/>
          <w:u w:val="none"/>
          <w:effect w:val="none"/>
          <w:shd w:fill="auto" w:val="clear"/>
        </w:rPr>
        <w:t>AT-RISK PAY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Table of Contents</w:t>
      </w:r>
    </w:p>
    <w:tbl>
      <w:tblPr>
        <w:tblW w:w="49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448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3</w:t>
            </w:r>
          </w:p>
        </w:tc>
        <w:tc>
          <w:tcPr>
            <w:tcW w:w="109" w:type="dxa"/>
            <w:tcBorders>
              <w:top w:val="single" w:sz="8" w:space="0" w:color="002857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>
              <w:top w:val="single" w:sz="8" w:space="0" w:color="002857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84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Proxy Summary</w:t>
              </w:r>
            </w:hyperlink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2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9</w:t>
              </w:r>
            </w:hyperlink>
          </w:p>
        </w:tc>
        <w:tc>
          <w:tcPr>
            <w:tcW w:w="109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2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General Information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9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Forward-Looking Statements and References to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Websites 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9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2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Outstanding Securities and Quorum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31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31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Internet Availability of Proxy Materials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3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3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Proxy Voting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3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3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Voting Standard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11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Voting and Attendance at the Annual Meeting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12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Revocation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6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13</w:t>
              </w:r>
            </w:hyperlink>
          </w:p>
        </w:tc>
        <w:tc>
          <w:tcPr>
            <w:tcW w:w="109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6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Proposal 1: Election of Directors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13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Biographical and Related Information of Director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4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Nominees and Continuing Directors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13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Nominees for Director Whose Terms Would Expire at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the 2027 Annual Meeting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Directors Whose Terms Expire at the 2025 Annual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Meeting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18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Directors Whose Terms Expire at the 2026 Annual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5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Meeting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1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20</w:t>
              </w:r>
            </w:hyperlink>
          </w:p>
        </w:tc>
        <w:tc>
          <w:tcPr>
            <w:tcW w:w="109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1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Corporate Governance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Controlled Company Exemption and Director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Independence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6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Key Governance Practices 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20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Board Leadership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21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Stockholder Engagement 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6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22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6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Communications with Directors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22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7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Director Nominations and Diversity 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8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23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8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Board Qualifications and Diversity Matrix 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8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8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Risk Oversight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8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8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Corporate Governance Documents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1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25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1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Board Meetings and Committees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Audit Committee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26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Compensation Committee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27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Nominating and Corporate Governance Committee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27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Compensation Committee Interlocks and Insider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Participation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6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27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6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Code of Business Conduct and Ethics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28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Environmental, Social and Governance Matters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1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28</w:t>
              </w:r>
            </w:hyperlink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1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Diversity, Equity and Inclusion </w:t>
              </w:r>
            </w:hyperlink>
          </w:p>
        </w:tc>
      </w:tr>
    </w:tbl>
    <w:tbl>
      <w:tblPr>
        <w:tblW w:w="50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109"/>
        <w:gridCol w:w="463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15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30</w:t>
              </w:r>
            </w:hyperlink>
          </w:p>
        </w:tc>
        <w:tc>
          <w:tcPr>
            <w:tcW w:w="109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15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Proposal 2</w:t>
              </w:r>
            </w:hyperlink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 xml:space="preserve">: Ratification of Appointment of Deloitte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as Independent Registered Public Accounting Firm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18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31</w:t>
              </w:r>
            </w:hyperlink>
          </w:p>
        </w:tc>
        <w:tc>
          <w:tcPr>
            <w:tcW w:w="109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18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Independent Registered Public Accounting Firm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21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32</w:t>
              </w:r>
            </w:hyperlink>
          </w:p>
        </w:tc>
        <w:tc>
          <w:tcPr>
            <w:tcW w:w="109" w:type="dxa"/>
            <w:tcBorders>
              <w:top w:val="single" w:sz="8" w:space="0" w:color="002857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7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21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Audit Committee Report</w:t>
              </w:r>
            </w:hyperlink>
          </w:p>
        </w:tc>
      </w:tr>
      <w:tr>
        <w:trPr/>
        <w:tc>
          <w:tcPr>
            <w:tcW w:w="3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33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0000"/>
              <w:bottom w:val="single" w:sz="8" w:space="0" w:color="002857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95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Proposal 3: Advisory Vote on Executive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995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Compensation</w:t>
              </w:r>
            </w:hyperlink>
          </w:p>
        </w:tc>
      </w:tr>
      <w:tr>
        <w:trPr/>
        <w:tc>
          <w:tcPr>
            <w:tcW w:w="33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34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05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Proposal 4: Advisory Vote on the Frequency of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005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Advisory Votes on Executive Compensation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24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35</w:t>
              </w:r>
            </w:hyperlink>
          </w:p>
        </w:tc>
        <w:tc>
          <w:tcPr>
            <w:tcW w:w="109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24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 xml:space="preserve">Security Ownership of Certain Beneficial Owners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24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and Management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37</w:t>
            </w:r>
          </w:p>
        </w:tc>
        <w:tc>
          <w:tcPr>
            <w:tcW w:w="109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27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Executive</w:t>
              </w:r>
            </w:hyperlink>
            <w:r>
              <w:rPr>
                <w:caps w:val="false"/>
                <w:smallCaps w:val="false"/>
                <w:strike w:val="false"/>
                <w:dstrike w:val="false"/>
                <w:color w:val="002552"/>
                <w:u w:val="none"/>
                <w:effect w:val="none"/>
              </w:rPr>
              <w:t xml:space="preserve"> 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Officers of the Company</w:t>
            </w:r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0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38</w:t>
              </w:r>
            </w:hyperlink>
          </w:p>
        </w:tc>
        <w:tc>
          <w:tcPr>
            <w:tcW w:w="109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0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Executive Compensation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38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Compensation Discussion and Analysis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6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552"/>
                  <w:sz w:val="18"/>
                  <w:u w:val="single"/>
                  <w:effect w:val="none"/>
                </w:rPr>
                <w:t>48</w:t>
              </w:r>
            </w:hyperlink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6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Compensation Committee Report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49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39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Summary Compensation Table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4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Grants of Plan-Based Awards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4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Narrative Disclosure to Summary Compensation Table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4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and Grants of Plan-Based Awards Table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4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Outstanding Equity Awards at Fiscal Year-End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51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Options Exercised and Stock Vested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5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Potential Payments upon Termination or Change in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54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Control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57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Pay Ratio Disclosure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58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60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Pay Versus Performance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62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63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Director Compensation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64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66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Securities Authorized for Issuance Under Equity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66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Compensation Plans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65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69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Certain Relationships and Related Person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69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Transactions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65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7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Policies and Procedures for Related Person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72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Transactions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65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75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Transactions with Refinitiv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65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7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Related Person Transactions Entered into in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78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Connection with the IPO</w:t>
              </w:r>
            </w:hyperlink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70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81">
              <w:r>
                <w:rPr>
                  <w:rStyle w:val="InternetLink"/>
                  <w:rFonts w:ascii="Arial" w:hAnsi="Arial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Indemnification Agreements</w:t>
              </w:r>
            </w:hyperlink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71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84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Expenses of Solicitation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7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0000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71</w:t>
            </w:r>
          </w:p>
        </w:tc>
        <w:tc>
          <w:tcPr>
            <w:tcW w:w="109" w:type="dxa"/>
            <w:tcBorders>
              <w:top w:val="single" w:sz="8" w:space="0" w:color="002857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7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87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Other Matters</w:t>
              </w:r>
            </w:hyperlink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552"/>
                <w:sz w:val="18"/>
                <w:u w:val="none"/>
                <w:effect w:val="none"/>
              </w:rPr>
              <w:t>71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90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Proposals of Stockholders</w:t>
              </w:r>
            </w:hyperlink>
          </w:p>
        </w:tc>
      </w:tr>
      <w:tr>
        <w:trPr/>
        <w:tc>
          <w:tcPr>
            <w:tcW w:w="3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72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93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 xml:space="preserve">Householding; Availability of Annual Report on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d0c1cd12e3ab4e278f2f44b531e6626d_193">
              <w:r>
                <w:rPr>
                  <w:rStyle w:val="InternetLink"/>
                  <w:rFonts w:ascii="Arial" w:hAnsi="Arial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2856"/>
                  <w:sz w:val="18"/>
                  <w:u w:val="single"/>
                  <w:effect w:val="none"/>
                </w:rPr>
                <w:t>Form 10-K and Proxy Statement</w:t>
              </w:r>
            </w:hyperlink>
          </w:p>
        </w:tc>
      </w:tr>
      <w:tr>
        <w:trPr/>
        <w:tc>
          <w:tcPr>
            <w:tcW w:w="331" w:type="dxa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45" w:type="dxa"/>
            <w:gridSpan w:val="2"/>
            <w:tcBorders>
              <w:top w:val="single" w:sz="8" w:space="0" w:color="00285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5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1"/>
        <w:gridCol w:w="109"/>
        <w:gridCol w:w="256"/>
      </w:tblGrid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8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General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enclosed proxy is solicited by the Board of Directors (the "Board") of Tradeweb Markets Inc. ("Tradeweb" or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"Company") for use at the Annual Meeting of Stockholders (the "Annual Meeting") to be held virtually 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9 a.m., Eastern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Time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Friday,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May 10,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at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u w:val="single"/>
        </w:rPr>
        <w:t>www.virtualshareholdermeeting.com/TW2024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at any adjournment or postponement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thereof. Our principal offices are located at 1177 Avenue of the Americas, New York, New York 10036. This Proxy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Statement is first being made available to our stockholders on or about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28,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Numerical figures included in this Proxy Statement have been subject to rounding adjustments. Accordingly, numerical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figures shown as totals in various tables may not be arithmetic aggregations of the figures that precede them.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FORWARD-LOOKING STATEMENTS AND REFERENCES TO WEBSITES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This document includes forward-looking statements within the meaning of Section 27A of the Securities Act of 1933,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amended, and Section 21E of the Securities Exchange Act of 1934, as amended, concerning expectations, beliefs, plans,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objectives, goals, strategies, future events or performance and underlying assumptions and other statements that are other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statements of historical fact, including statements regarding our social, environmental and other sustainability plans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priorities. Although we believe that the expectations and assumptions reflected in these statements are reasonable, there can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no assurance that these expectations will prove to be correct. Forward-looking statements are subject to many risks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uncertainties, including the risk factors that we identify in our SEC filings, and actual results may differ materially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results discussed in such forward-looking statements. We undertake no duty to update publicly any forward-looking statement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we may make, whether as a result of new information, future events or otherwise, except as may be required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applicable law, regulation or other competent legal authority. In addition, our environmental, social and governance plans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priorities are aspirational and may change. Statements regarding our plans and priorities are not guarantees or promises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they will be met, and the inclusion of information in our Corporate Sustainability Reports (as discussed below), or identifying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it as material for purposes of such report or assessing our environmental, social and governance initiatives, should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construed as a characterization of the materiality or financial impact of that information with respect to us or for purposes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of our SEC filings. Information contained on our website, or any website that is linked to or otherwise referenced herein,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is not incorporated into, or a part of, this Proxy Statement, and any such website references throughout this Proxy Statement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are provided for convenience only.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OUTSTANDING SECURITIES AND QUORUM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Only holders of record of our Class A common stock, Class B common stock, Class C common stock and Class 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common stock (each such designation having par value $0.00001 per share) at the close of business 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13,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record date) will be entitled to notice of, and to vote at, the Annual Meeting.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On that date, we had 115,925,380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Class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 common stock outstanding and entitled to vote, 96,933,192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Class B common stock outstanding and entitled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vote, 18,000,000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Class C common stock outstanding and entitled to vote and 5,077,973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Class D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 outstanding and entitled to vote.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Holders of outstanding shares of Class A common stock, Class B common stock, Class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 common stock and Class D common stock vote together as a single class on all matters on which stockholders are entitled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vote generally (except as may be required by law).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share of Class A common stock and Class C common stock entitles its holder to one vote on all matters presented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the Company’s stockholders generally. Each share of Class B common stock and Class D common stock entitles its 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ten votes on all matters presented to the Company’s stockholders generally. The holders of Class C common stock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Class D common stock have no economic interests in the Company (w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here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"economic interests" means the right to receive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dividends or distributions, whether cash or stock, in connection with common stock). These attributes are summarized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 following table:</w:t>
      </w:r>
    </w:p>
    <w:tbl>
      <w:tblPr>
        <w:tblW w:w="438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41"/>
        <w:gridCol w:w="841"/>
        <w:gridCol w:w="556"/>
        <w:gridCol w:w="946"/>
      </w:tblGrid>
      <w:tr>
        <w:trPr/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Class of Common Stock</w:t>
            </w:r>
          </w:p>
        </w:tc>
        <w:tc>
          <w:tcPr>
            <w:tcW w:w="84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Par Value</w:t>
            </w:r>
          </w:p>
        </w:tc>
        <w:tc>
          <w:tcPr>
            <w:tcW w:w="55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Votes</w:t>
            </w:r>
          </w:p>
        </w:tc>
        <w:tc>
          <w:tcPr>
            <w:tcW w:w="9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Economic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Rights</w:t>
            </w:r>
          </w:p>
        </w:tc>
      </w:tr>
      <w:tr>
        <w:trPr/>
        <w:tc>
          <w:tcPr>
            <w:tcW w:w="204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Class A common stock</w:t>
            </w:r>
          </w:p>
        </w:tc>
        <w:tc>
          <w:tcPr>
            <w:tcW w:w="84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$0.00001</w:t>
            </w:r>
          </w:p>
        </w:tc>
        <w:tc>
          <w:tcPr>
            <w:tcW w:w="55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94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Yes</w:t>
            </w:r>
          </w:p>
        </w:tc>
      </w:tr>
      <w:tr>
        <w:trPr/>
        <w:tc>
          <w:tcPr>
            <w:tcW w:w="2041" w:type="dxa"/>
            <w:tcBorders>
              <w:top w:val="single" w:sz="8" w:space="0" w:color="002856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Class B common stock</w:t>
            </w:r>
          </w:p>
        </w:tc>
        <w:tc>
          <w:tcPr>
            <w:tcW w:w="841" w:type="dxa"/>
            <w:tcBorders>
              <w:top w:val="single" w:sz="8" w:space="0" w:color="002856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$0.00001</w:t>
            </w:r>
          </w:p>
        </w:tc>
        <w:tc>
          <w:tcPr>
            <w:tcW w:w="556" w:type="dxa"/>
            <w:tcBorders>
              <w:top w:val="single" w:sz="8" w:space="0" w:color="002856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</w:t>
            </w:r>
          </w:p>
        </w:tc>
        <w:tc>
          <w:tcPr>
            <w:tcW w:w="946" w:type="dxa"/>
            <w:tcBorders>
              <w:top w:val="single" w:sz="8" w:space="0" w:color="002856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Yes</w:t>
            </w:r>
          </w:p>
        </w:tc>
      </w:tr>
      <w:tr>
        <w:trPr/>
        <w:tc>
          <w:tcPr>
            <w:tcW w:w="2041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Class C common stock</w:t>
            </w:r>
          </w:p>
        </w:tc>
        <w:tc>
          <w:tcPr>
            <w:tcW w:w="841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$0.00001</w:t>
            </w:r>
          </w:p>
        </w:tc>
        <w:tc>
          <w:tcPr>
            <w:tcW w:w="556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946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No</w:t>
            </w:r>
          </w:p>
        </w:tc>
      </w:tr>
      <w:tr>
        <w:trPr/>
        <w:tc>
          <w:tcPr>
            <w:tcW w:w="2041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Class D common stock</w:t>
            </w:r>
          </w:p>
        </w:tc>
        <w:tc>
          <w:tcPr>
            <w:tcW w:w="841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$0.00001</w:t>
            </w:r>
          </w:p>
        </w:tc>
        <w:tc>
          <w:tcPr>
            <w:tcW w:w="556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</w:t>
            </w:r>
          </w:p>
        </w:tc>
        <w:tc>
          <w:tcPr>
            <w:tcW w:w="946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No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All of the shares of our outstanding Class B common stock and Class C common stock are currently held by an indirect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subsidiary (the "Refinitiv Direct Owner") of Refinitiv Parent Limited ("Refinitiv"). On January 29, 2021, the London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Exchange Group plc ("LSEG") acquired the Refinitiv business. Following the consummation of such transaction, LSEG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2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226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54" name="Image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became the controlling stockholder of Refinitiv, and Refinitiv continues to be the controlling stockholder of Tradeweb,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holding approximately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89.9%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the combined voting power of our Class A common stock, Class B common stock, Class 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common stock and Class D common stock as of the record date. LSEG has advised us that it intends to vote all such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the election of each of the nominees to the Board named herein, the ratification of the appointment of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registered public accounting firm, the approval, on an advisory basis, of the compensation paid to our named executive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officers,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approval of a one-year frequency for future advisory votes on the compensation of our named executive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officers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majority of the voting power of the issued and outstanding Class A common stock, Class B common stock, Class 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common stock and Class D common stock entitled to vote at the Annual Meeting, present virtually or represented by proxy,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constitutes a quorum for the transaction of business at the Annual Meeting. Abstentions and broker non-votes (as discussed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below) will be included in determining the presence of a quorum at the Annual Meeting.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INTERNET AVAILABILITY OF PROXY MATERIALS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are furnishing proxy materials to some of our stockholders via the Internet by mailing the Notice instead of mailing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printed copies of those materials. The Notice directs stockholders to a website where they can access our proxy materials,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this Proxy Statement and our combined Annual Report to Stockholders and Annual Report on Form 10-K for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fiscal year 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(the "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Report") and view instructions on how to vote via the Internet or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telephone. If you received a Notice and would prefer to receive a paper copy of our proxy materials, please follow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instructions included in the Notice. If you elect to receive our future proxy materials electronically, you will receive access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those materials via email unless and until you elect otherwise.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PROXY 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 that are properly voted via the Internet or by telephone or for which proxy cards are properly executed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returned will be voted at the Annual Meeting in accordance with the directions given or, in the absence of directions,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voted in accordance with the Board’s recommendations as follows: "FOR ALL" of the director nominees named in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Statement, "FOR" the ratification of the appointment of our independent registered public accounting firm, "FOR"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approval, on an advisory basis, of the compensation paid to our named executive officers, and "1 YEAR" for the frequency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future advisory votes on the compensation of our named executive officers. It is not expected that any additional matters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brought before the Annual Meeting, but if other matters are properly presented, the persons named as proxies in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card or their substitutes will vote in their discretion on such matters.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manner in which your shares may be voted depends on how your shares are held. If you own shares of record,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meaning that your shares are represented by certificates or book entries in your name so that you appear as a stockholder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records of Equiniti Trust Company, LLC, our stock transfer agent, you may vote by proxy, meaning you authorize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individuals named in the proxy card to vote your shares. You may provide this authorization by voting via the Internet,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telephone or (if you have received paper copies of our proxy materials) by returning a proxy card. In these circumstances, if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 do not vote by proxy or virtually at the Annual Meeting, your shares will not be voted. If you own shares in street name,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meaning that your shares are held by a bank, brokerage firm or other nominee, you may instruct that institution on how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vote your shares. You may provide these instructions by voting via the Internet, by telephone, or (if you have received paper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copies of our proxy materials) by returning a voting instruction form received from that institution. In these circumstances, if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 do not provide voting instructions, we expect that the institution may nevertheless vote your shares on your behalf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respect to the ratification of the appointment of Deloitte as our independent registered public accounting firm for the fiscal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 ending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but cannot vote your shares on any other matters being considered at the 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 encourage you to provide voting instructions to your bank, brokerage firm or other nominee.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VOTING STANDARD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respect to the election of directors (Proposal 1), a nominee for director will be elected to the Board by a plurality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the votes cast in respect of the shares of common stock present virtually or represented by proxy at the Annual Meeting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entitled to vote on the election of directors. A plurality vote requirement means that the four director nominees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greatest number of votes cast "FOR" such nominees are elected as directors. You may vote "FOR ALL", "WITHHOLD ALL"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"FOR ALL EXCEPT" a director nominee. Votes that are withheld are not considered votes cast for the foregoing purpose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will have no effect on the outcome of the election. Similarly, broker non-votes are not considered votes cast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foregoing purpose, and will have no effect on the outcome of the election.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respect to the ratification of the appointment of Deloitte as our independent registered public accounting firm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fiscal year ending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(Proposal 2), the affirmative vote of a majority of the voting power of common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Slate Regular" w:hAnsi="Slate Regular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Slate Regular" w:hAnsi="Slate Regular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General Information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55" name="Image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 present virtually or represented by proxy and entitled to vote on the matter is required to approve the matter.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respect to Proposal 2 you may vote "FOR", "AGAINST" or "ABSTAIN". For this matter, abstentions are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at the Annual Meeting and entitled to vote and will have the effect of a vote "AGAINST" the matter. We do not expect broker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non-votes with respect to this Proposal since brokers are expected to be able to exercise their discretion to vote uninstructed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 on this Proposal.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respect to the approval, on an advisory basis, of the compensation of our named executive officers (Proposal 3),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affirmative vote of a majority of the voting power of common stock present virtually or represented by proxy and entitled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vote on the matter is required to approve the matter. With respect to Proposal 3 you may vote "FOR", "AGAINST"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"ABSTAIN". For this matter, abstentions are counted as present at the Annual Meeting and entitled to vote and will have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effect of a vote "AGAINST" the matter. Broker non-votes, if any, will have no effect on the outcome of voting on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Proposal.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respect to the advisory vote on the frequency of future advisory votes on the compensation of our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officers (Proposal 4), your vote may be cast for "1 YEAR", "2 YEAR", "3 YEAR" frequency or "ABSTAIN".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respect to this Proposal 4, the affirmative vote of a majority of the voting power of common stock present virtually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represented by proxy and entitled to vote on the matter is required to approve the matter. For this matter, abstentions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counted as present at the Annual Meeting and entitled to vote and will have the effect of a vote "AGAINST" the matter.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Broker non-votes, if any, will have no effect on the outcome of voting on this Proposal. A vote to "ABSTAIN" will have no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effect on the vote. The choice receiving the most votes cast by stockholders present virtually or represented by proxy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entitled to vote on the matter will be deemed to be the frequency preferred by the stockholders. Because this proposal has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multiple options, it is possible that none of the options receives a majority of the affirmative vote of a majority of the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power of common stock present virtually or represented by proxy and entitled to vote on the matter. In that case, we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consider the option selected by a plurality of the votes cast to be deemed to be the frequency preferred by the 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Brokers holding shares must vote according to specific instructions they receive from the beneficial owners of those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shares. If brokers do not receive specific instructions, brokers may in some cases vote the shares in their discretion, but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permitted to vote on certain proposals (and may elect not to vote) on any of the proposals unless you provide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instructions. Voting your shares will help to ensure that your interests are represented at the meeting. We urge you to direct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your broker, bank or other nominee regarding how to vote your shares on all proposals to ensure that your vote is counted. If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 do not provide voting instructions and the broker is able to vote your shares on at least one matter and elects to vote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 on such matter(s), it will result in a "broker non-vote" for the matters on which the broker does not vote.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Voting via the Internet or by telephone helps save money by reducing postage and proxy tabulation costs.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038"/>
        <w:gridCol w:w="109"/>
        <w:gridCol w:w="5058"/>
      </w:tblGrid>
      <w:tr>
        <w:trPr/>
        <w:tc>
          <w:tcPr>
            <w:tcW w:w="5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38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58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038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  <w:t>VOTE BY INTERNET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  <w:t>Shares Held of Record: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" w:hAnsi="Times New Roman"/>
                <w:b w:val="false"/>
                <w:i/>
                <w:sz w:val="20"/>
                <w:u w:val="single"/>
                <w:shd w:fill="EDEDED" w:val="clear"/>
              </w:rPr>
            </w:pPr>
            <w:r>
              <w:rPr>
                <w:rFonts w:ascii="Times New Roman" w:hAnsi="Times New Roman"/>
                <w:b w:val="false"/>
                <w:i/>
                <w:sz w:val="20"/>
                <w:u w:val="single"/>
                <w:shd w:fill="EDEDED" w:val="clear"/>
              </w:rPr>
              <w:t>www.proxyvote.com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  <w:t>Shares Held in Street Name: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" w:hAnsi="Times New Roman"/>
                <w:b w:val="false"/>
                <w:i/>
                <w:sz w:val="20"/>
                <w:u w:val="single"/>
                <w:shd w:fill="EDEDED" w:val="clear"/>
              </w:rPr>
            </w:pPr>
            <w:r>
              <w:rPr>
                <w:rFonts w:ascii="Times New Roman" w:hAnsi="Times New Roman"/>
                <w:b w:val="false"/>
                <w:i/>
                <w:sz w:val="20"/>
                <w:u w:val="single"/>
                <w:shd w:fill="EDEDED" w:val="clear"/>
              </w:rPr>
              <w:t>www.proxyvote.com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  <w:t>24 hours a day / 7 days a week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  <w:shd w:fill="EDEDED" w:val="clear"/>
              </w:rPr>
              <w:t>INSTRUCTIONS: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  <w:shd w:fill="EDEDED" w:val="clear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  <w:shd w:fill="EDEDED" w:val="clear"/>
              </w:rPr>
              <w:t>•   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  <w:t>Read this Proxy Statement.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  <w:shd w:fill="EDEDED" w:val="clear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  <w:shd w:fill="EDEDED" w:val="clear"/>
              </w:rPr>
              <w:t>•   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  <w:t>Go to the website listed above.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  <w:shd w:fill="EDEDED" w:val="clear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  <w:shd w:fill="EDEDED" w:val="clear"/>
              </w:rPr>
              <w:t>•   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  <w:t xml:space="preserve">Have your Notice, proxy card or voting instruction form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  <w:shd w:fill="EDEDED" w:val="clear"/>
              </w:rPr>
              <w:t>in hand and follow the instructions.</w:t>
            </w:r>
          </w:p>
        </w:tc>
        <w:tc>
          <w:tcPr>
            <w:tcW w:w="109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58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VOTE BY TELEPHONE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Shares Held of Record: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  <w:t>800-690-6903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Shares Held in Street Name: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Times New Roman" w:hAnsi="Times New Roman"/>
                <w:b w:val="false"/>
                <w:i/>
                <w:sz w:val="20"/>
              </w:rPr>
            </w:pPr>
            <w:r>
              <w:rPr>
                <w:rFonts w:ascii="Times New Roman" w:hAnsi="Times New Roman"/>
                <w:b w:val="false"/>
                <w:i/>
                <w:sz w:val="20"/>
              </w:rPr>
              <w:t>See Voting Instruction Form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  <w:t>24 hours a day / 7 days a week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INSTRUCTIONS: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•   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  <w:t>Read this Proxy Statement.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•   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  <w:t>Call the applicable number noted above.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•   </w:t>
            </w: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  <w:t xml:space="preserve">Have your Notice, proxy card or voting instruction form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sz w:val="20"/>
              </w:rPr>
              <w:t>in hand and follow the instructions.</w:t>
            </w:r>
            <w:r>
              <w:rPr>
                <w:caps w:val="false"/>
                <w:smallCaps w:val="false"/>
              </w:rPr>
              <w:t xml:space="preserve"> </w:t>
            </w:r>
          </w:p>
        </w:tc>
      </w:tr>
      <w:tr>
        <w:trPr/>
        <w:tc>
          <w:tcPr>
            <w:tcW w:w="5038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58" w:type="dxa"/>
            <w:tcBorders/>
            <w:shd w:fill="EDED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We encourage you to register to receive all future stockholder communications electronically, instead of in print.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z w:val="20"/>
        </w:rPr>
        <w:t xml:space="preserve">This means that, after you register, access to the </w:t>
      </w:r>
      <w:r>
        <w:rPr>
          <w:rFonts w:ascii="Times New Roman" w:hAnsi="Times New Roman"/>
          <w:b/>
          <w:i/>
          <w:strike w:val="false"/>
          <w:dstrike w:val="false"/>
          <w:sz w:val="20"/>
          <w:u w:val="none"/>
          <w:effect w:val="none"/>
        </w:rPr>
        <w:t>2023</w:t>
      </w:r>
      <w:r>
        <w:rPr>
          <w:sz w:val="24"/>
        </w:rPr>
        <w:t xml:space="preserve"> </w:t>
      </w:r>
      <w:r>
        <w:rPr>
          <w:rFonts w:ascii="Times New Roman" w:hAnsi="Times New Roman"/>
          <w:b/>
          <w:i/>
          <w:sz w:val="20"/>
        </w:rPr>
        <w:t xml:space="preserve">Annual Report, Proxy Statement and other correspondence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z w:val="20"/>
        </w:rPr>
      </w:pPr>
      <w:r>
        <w:rPr>
          <w:rFonts w:ascii="Times New Roman" w:hAnsi="Times New Roman"/>
          <w:b/>
          <w:i/>
          <w:sz w:val="20"/>
        </w:rPr>
        <w:t xml:space="preserve">delivered to you via email.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VOTING AND ATTENDANCE AT THE ANNUAL MEETING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attend the Annual Meeting, vote or submit questions during the Annual Meeting or view the list of registered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during the Annual Meeting, stockholders of record will be required to visit the meeting website listed above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log in using their 16-digit control number included on their proxy card or Notice. Beneficial owners should review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materials and their voting instruction form or Notice for how to vote in advance of, and how to participate in,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Meeting. Specifically, if you are a beneficial owner and your voting instruction form or the Notice does not indicate that you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may vote the shares through the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u w:val="single"/>
        </w:rPr>
        <w:t>www.proxyvote.com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website, you should contact your bank, broker or other nominee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Slate Regular" w:hAnsi="Slate Regular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Slate Regular" w:hAnsi="Slate Regular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General Information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56" name="Image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(preferably at least 5 days before the Annual Meeting) and obtain a "legal proxy" (which will contain a 16-digit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number that will allow you to attend, participate in or vote at the Annual Meeting).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encourage you to vote your shares in advance of the Annual Meeting by one of the methods described above, even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if you plan to virtually attend the Annual Meeting. If you have already voted prior to the Annual Meeting, you may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nevertheless change or revoke your vote at the Annual Meeting as described below. Only stockholders as of the record date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13,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) are entitled to virtually attend the Annual Meeting. Each stockholder may appoint only one proxyholder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representative to virtually attend on the stockholder’s behalf. On the day of the Annual Meeting, if you experience technical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difficulties either during the check-in process or during the Annual Meeting, please call the technical support number that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posted on the virtual meeting platform log-in page. Stockholders may submit questions during the Annual Meeting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 website. More information regarding the question and answer process, including the number and types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questions permitted and how questions will be recognized and answered will be available in the meeting rules of conduct,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which will be posted on the Annual Meeting website.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REVOCATION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If you own common stock of record, you may revoke your proxy or change your voting instructions at any time before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your shares are voted at the Annual Meeting by delivering to the Secretary of the Company a written notice of revocation or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duly executed proxy (via the Internet or telephone or by returning a proxy card) bearing a later date or by virtually attending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Annual Meeting and voting. A stockholder owning common stock in street name may revoke or change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instructions by contacting the bank, brokerage firm or other nominee holding the shares or by obtaining a legal proxy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such institution and voting virtually at the Annual Meeting.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Slate Regular" w:hAnsi="Slate Regular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Slate Regular" w:hAnsi="Slate Regular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General Information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57" name="Image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 currently has twelve seats, divided into three classes: Class I, Class II and Class III. Each class consists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one-third of the total number of directors: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Our Class I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directors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Troy Dixon, Scott Ganeles, Catherine Johnson and Murray Roos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their terms will expire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Class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II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 are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Jacques Aigrain, Balbir Bakhshi, Paula Madoff and Thomas Pluta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their terms will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expire 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this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Class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III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 are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Steven Berns, William (“Billy”) Hult, Lisa Opoku and Rana Yared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their terms will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expire 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proposes that each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Jacques Aigrain, Balbir Bakhshi, Paula Madoff and Thomas Pluta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elected as Class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II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 for new terms of three years each. Each nominee for director will, if elected, continue in office until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 and until the director’s successor has been duly elected and qualified or until the earlier of the director’s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death, resignation, retirement, disqualification or removal. The proxy holders named on the proxy card intend to vote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proxy (if you are a stockholder of record) for the election of each of these nominees, unless you indicate on the proxy card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your vote should be cast against any of the nominees. Under SEC rules, proxies cannot be voted for a greater number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persons than the number of nominees named. Accordingly, proxies cannot be voted for greater than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four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II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seats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open for election.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nominee has consented to be named as a nominee in this Proxy Statement and to serve if elected. If any nominee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is not able to serve, proxies will be voted in favor of the other nominees and may be voted for a substitute nominee, unless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chooses to reduce the number of directors serving on the Board.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All of our current directors and director nominees were designated to serve on the Board by Refinitiv, our controlling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stockholder, pursuant to Refinitiv’s director designation right as set forth in Section 2.1 of the Stockholders Agreement (as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defined below) and the Board believes all of the nominees are qualified to serve on the Board and that their election is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best interests of our stockholders. See "Certain Relationships and Related Person Transactions—Related Person Transactions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Entered Into in Connection With the IPO—Stockholders Agreement" for additional information. Once designated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Refinitiv, the Nominating and Corporate Governance Committee evaluates the director nominee pursuant to our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Qualification Standards set forth in our Corporate Governance Guidelines and then recommends the director nominee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approval by the full Board. Please see "Corporate Governance — Director Nominations and Diversity" for further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information.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The Board of Directors recommends a vote "FOR ALL" of the director nominees.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BIOGRAPHICAL AND RELATED INFORMATION OF DIRECTOR NOMINEES AND CONTINUING </w:t>
      </w: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principal occupations and certain other information about our director nominees and our continuing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(including the skills and qualifications that led to the conclusion that they should serve as directors) are set forth below.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age shown below for each director is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May 10,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which is the date of the Annual Meeting.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NOMINEES FOR DIRECTOR WHOSE TERMS WOULD EXPIRE AT THE 2027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ANNUAL MEETING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has nominated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four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II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 nominees to be elected at the Annual Meeting to serve for three-year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terms ending with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 of Stockholders and until a successor is duly elected and qualified or until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earlier of the director’s death, resignation, or removal. Each nominee has agreed to serve if elected and is currently a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of the Company.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58" name="Image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mentioned above: </w:t>
      </w:r>
    </w:p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58"/>
        <w:gridCol w:w="3100"/>
        <w:gridCol w:w="258"/>
        <w:gridCol w:w="3246"/>
      </w:tblGrid>
      <w:tr>
        <w:trPr/>
        <w:tc>
          <w:tcPr>
            <w:tcW w:w="36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59" name="Image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365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60" name="Image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Jacques Aigrain | Independent</w:t>
            </w:r>
          </w:p>
        </w:tc>
      </w:tr>
      <w:tr>
        <w:trPr/>
        <w:tc>
          <w:tcPr>
            <w:tcW w:w="36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0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69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August 2022</w:t>
            </w:r>
          </w:p>
        </w:tc>
      </w:tr>
      <w:tr>
        <w:trPr/>
        <w:tc>
          <w:tcPr>
            <w:tcW w:w="36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0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Compensation Committee (Chair),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Committee</w:t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Clearwater Analytics,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LyondellBasell Industries N.V.</w:t>
            </w:r>
          </w:p>
        </w:tc>
      </w:tr>
      <w:tr>
        <w:trPr/>
        <w:tc>
          <w:tcPr>
            <w:tcW w:w="365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Significant investment, financial and leadership expertise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Aigrain has served as Chairperson of the Board since July 2023 and Chair of the Compensation Committee since August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2022. Mr. Aigrain served as an advisor at Warburg Pincus LLC, a global private equity firm, from 2014 to December 2020. 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previously spent nine years at Swiss Re, where he served as CEO from 2006 to 2009. Prior to Swiss Re, he spent 20 years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global leadership roles at JP Morgan Chase &amp; Co. in New York, London and Paris. Mr. Aigrain currently serves as chairman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the board of LyondellBasell Industries N.V. and a director of Clearwater Analytics. He previously held board positions at WPP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plc, LSEG, LCH Clearnet Group Ltd, Lufthansa AG, Resolution Ltd, Swiss International Airlines AG and the Qatar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Authority. He holds a doctorate in economics from Université Paris-Sorbonne and a master’s in economics from Université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Paris Dauphine – PSL.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Aigrain is qualified to serve on our Board due to his wide-ranging experience in global financial services, both as an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executive and a board member. </w:t>
            </w:r>
          </w:p>
        </w:tc>
      </w:tr>
      <w:tr>
        <w:trPr/>
        <w:tc>
          <w:tcPr>
            <w:tcW w:w="36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61" name="Image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62" name="Image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Balbir Bakhshi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54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July 2021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Key Experience and Qualifications: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Extensive background in leadership, operations and risk management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Mr. Bakhshi has served as the Chief Risk Officer and as a member of the Executive Committee of LSEG, a United Kingdom-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based financial infrastructure company and our indirect controlling stockholder, since January 2021. Prior to joining LSEG, Mr.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Bakhshi was Group Head of Non-Financial Risk Management at Deutsche Bank, a multinational investment bank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financial services company, from January 2017 to December 2020 and served on the Supervisory Board of Deutsche Bank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Luxembourg S.A. as the Chair of its Risk Committee. Prior to this, Mr. Bakhshi was Global Head of Operational Risk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Management at Credit Suisse and previously held a variety of senior roles at Credit Suisse including UK Investment Banking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Chief Risk Officer and Head of Market Risk. Mr. Bakhshi is also a board member of London Clearing House Limited. Mr.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Bakhshi received a B.A. from the University of Westminster and an MSc from Brunel University.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Bakhshi is qualified to serve on our Board due to his deep knowledge of risk management. 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Proposal 1: Election of Directors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14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21"/>
        <w:gridCol w:w="3017"/>
        <w:gridCol w:w="284"/>
        <w:gridCol w:w="2940"/>
      </w:tblGrid>
      <w:tr>
        <w:trPr/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0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65" name="Image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1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Paula Madoff | Independent</w:t>
            </w:r>
          </w:p>
        </w:tc>
      </w:tr>
      <w:tr>
        <w:trPr/>
        <w:tc>
          <w:tcPr>
            <w:tcW w:w="40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56</w:t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2019</w:t>
            </w:r>
          </w:p>
        </w:tc>
      </w:tr>
      <w:tr>
        <w:trPr/>
        <w:tc>
          <w:tcPr>
            <w:tcW w:w="40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Audit Committee, Compensation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Committee, Nominating and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Corporate Governance Committee (Chair)</w:t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Great-West Lifeco Inc., KKR Real Estate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Finance Trust Inc., Power Corporation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Canada</w:t>
            </w:r>
          </w:p>
        </w:tc>
      </w:tr>
      <w:tr>
        <w:trPr/>
        <w:tc>
          <w:tcPr>
            <w:tcW w:w="40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Deep bench of knowledge and experience leading Goldman Sachs’ interest rate products and mortgages businesses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2856"/>
                <w:u w:val="none"/>
                <w:effect w:val="non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Significant service on boards and board committees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Madoff has served as Tradeweb’s Lead Independent Director since February 2022 and Chair of the Nominating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Corporate Governance Committee since May 2023. Ms. Madoff is an Advisor to The Goldman Sachs Group (“Goldman”),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multinational investment bank and financial services company. She has worked at Goldman for 30 years in a variety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leadership roles and was most recently a Partner leading the Interest Rate Products and Mortgages businesses until 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retirement from that role in August 2017. Before joining Goldman, Ms. Madoff worked in Mergers and Acquisitions 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Wasserstein Perella &amp; Co. and in Corporate Finance at Bankers Trust. Ms. Madoff serves as a non-executive director on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boards of Great-West Lifeco Inc., KKR Real Estate Finance Trust Inc., Power Corporation of Canada, Santander Holdings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USA Inc. and Santander Bank N.A., and Beacon. She previously served on the board of ICE Benchmark Administration,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where she was also Chair of the ICE LIBOR Oversight Committee, assisting the global financial market transition to new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reference rates, and Motive Capital Corp I and II.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Madoff is a David Rockefeller Fellow, an Executive Committee member and Vice President of the Harvard Business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School Alumni Board and a member of the Harvard Kennedy School Women and Public Policy Women’s Leadership Board.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Ms. Madoff received a B.A. degree in Economics,</w:t>
            </w:r>
            <w:r>
              <w:rPr/>
              <w:t xml:space="preserve"> </w:t>
            </w:r>
            <w:r>
              <w:rPr>
                <w:rFonts w:ascii="Arial" w:hAnsi="Arial"/>
                <w:b w:val="false"/>
                <w:i/>
                <w:sz w:val="18"/>
              </w:rPr>
              <w:t>cum laude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, from Lafayette College and an M.B.A. from Harvard Business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School.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Madoff is qualified to serve on our Board due to her extensive experience in the financial services industry, as well as her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significant experience in board service.</w:t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66" name="Image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67" name="Image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Thomas Pluta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57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2019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Key Experience and Qualifications: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Significant trading and management experience and deep knowledge of our industry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Operational expertise in our business that he has developed as our President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Pluta has served as our President since January 2023 and served as our President-elect from October 2022 to December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2022. Prior to the series of reorganization transactions that were completed on April 4, 2019 in connection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Company’s initial public offering, which closed on April 8, 2019 (the "IPO"), whereby Tradeweb Markets LLC ("TWM LLC")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became the principal operating subsidiary of the Company (the “Reorganization Transactions”), Mr. Pluta served on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former board of managers of TWM LLC beginning in December 2017. Mr. Pluta served as Global Head of the Linear Rates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Trading business at J.P. Morgan, a multinational financial services company, from July 2019 to October 2022. Prior to that, Mr.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Pluta was Co-Head of Global Rates Trading from April 2015 to July 2019 and Global Head of Short Term Interest 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Trading from January 2014 to April 2015 at J.P. Morgan. In addition to his 26-year career at J.P. Morgan managing trading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teams across the Global Rates, Emerging Markets and Foreign Exchange businesses, Mr. Pluta served as the Corporate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Investment Bank lead for the firm-wide LIBOR Transition Program. He received a B.A. in Economics from Yale University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an M.B.A. in General Management from the Harvard Business School.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Pluta is qualified to serve on our Board due to his extensive experience in our industry and deep knowledge of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business that he has developed in his role as President.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Proposal 1: Election of Direct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ors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68" name="Image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  <w:t>DIRECTORS WHOSE TERMS EXPIRE AT THE 2025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0"/>
          <w:u w:val="none"/>
          <w:effect w:val="none"/>
        </w:rPr>
        <w:t>ANNUAL MEETING</w:t>
      </w:r>
    </w:p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69" name="Image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70" name="Image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Steven Berns | Independent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59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April 2020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Audit Committee (Chair)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2856"/>
                <w:u w:val="none"/>
                <w:effect w:val="non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Extensive financial knowledge and expertise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Berns served as the Chief Operating Officer and Chief Financial Officer of TripleLift, an advertising technology company,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from May 2020 to December 2022, and previously served as Chief Financial Officer of GTT Communications, Inc.,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multinational telecommunications and internet service provider ("GTT Communications"), from April 2020 to December 2020.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GTT Communications filed for voluntary reorganization under Chapter 11 of the U.S. Bankruptcy Code in October 2021,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approximately 10 months after Mr. Berns resigned. Prior to GTT Communications, Mr. Berns served as Chief Financial Officer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of Shutterstock, Inc. ("Shutterstock"), a provider of stock photography, stock footage, stock music and editing tools, from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September 2015 to June 2019 and as Chief Operating Officer and Co-Chief Operating Officer of Shutterstock from March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2017 to March 2019 and March 2019 to June 2019, respectively. Prior to joining Shutterstock, Mr. Berns served as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Vice President and Chief Financial Officer of Tribune Media Company from 2013 to 2015, and Executive Vice President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Chief Financial Officer of Revlon, Inc. ("Revlon") from 2009 to 2013. Prior to that, Mr. Berns served as the Chief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Officer of TWM LLC, the Company’s predecessor, and President, Chief Financial Officer and Director of MDC Partners, Inc.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He previously held several senior financial positions at the Interpublic Group of Companies, Inc. and Revlon. Mr. Berns has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previously served as a board member of Forum Merger Corp., Forum Merger II Corp., Forum Merger III Corp., Forum Merger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IV Corp., LivePerson, Inc. and Shutterstock. Mr. Berns received a B.S. in Business and Economics from Lehigh University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and an Executive MBA in Finance from New York University, Stern School of Business.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Berns is qualified to serve on our Board due to his extensive experience holding key executive roles at many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companies, as well as his deep financial knowledge. 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71" name="Image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72" name="Image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Billy Hult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54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2019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Key Experience and Qualifications: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Deep leadership, management and industry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Operational expertise in our business that he has developed during his tenure at Tradeweb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Hult has served as our Chief Executive Officer since January 2023. He served as CEO-elect from February 2022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December 2022 and as President since our formation until February 2022. Mr. Hult has served as TWM LLC’s President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since September 2008 and, prior to the Reorganization Transactions, served on the former board of managers of TWM LLC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beginning in September 2008. Mr. Hult has played a pivotal role in Tradeweb’s evolution as a leading global operator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electronic marketplaces for rates, credit, equities and money markets. He has led the development of numerous innovations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connecting liquidity providers and investors across retail, wholesale and institutional markets. Mr. Hult joined Tradeweb in July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2000 as a product manager and led the creation of its to-be-announced mortgage trading marketplace. In 2005, Mr. Hult went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on to serve as the head of U.S. products overseeing the firm’s expansion into new asset classes and, in 2009, oversaw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launch of Dealerweb, its first electronic trading platform for wholesale market participants. Mr. Hult has also been instrumental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in numerous acquisitions by Tradeweb, including Hilliard Farber in 2008, Rafferty Capital Markets in 2011, J.J. Kenny Drake in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2011, Nasdaq’s former eSpeed platform for electronic bond trading in 2021, Yieldbroker in 2023 and r8fin in 2024. Prior 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joining Tradeweb, Mr. Hult held a variety of trading positions at Société Générale from 1997 to 2000. He received a B.A. from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Denison University.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Hult is qualified to serve on our Board due to his extensive experience in our industry and deep knowledge of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business that he has developed in his over 20 year tenure at Tradeweb. 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Proposal 1: Election of Directors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16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73" name="Image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74" name="Image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75" name="Image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Lisa Opoku | Independent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52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2024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Extensive business experience across a range of financial markets and geographies and deep knowledge of the financial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services industry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Opoku was employed at Goldman Sachs, a multinational investment bank and financial services company, for 20 years,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serving as Global Head of The Goldman Sachs Partner Family Office in the Asset and Wealth Management Division from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February 2022 to October 2023, the Chief Operating Officer of the Engineering Division from May 2015 to February 2022,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Chief Operating Officer of the Asia Pacific Securities Division from June 2009 to May 2015 and the Chief Operating Officer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FICC Bank Loan Trading and Syndications Division from February 2003 to June 2009. She was named a Partner in 2012.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Prior to joining Goldman Sachs in 2003, Ms. Opoku was elected a partner at Richards Spears Kibbe &amp; Orbe LLP. Ms. Opoku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currently serves on the board of directors of The University of Minnesota. She received a Bachelor of Arts degree, </w:t>
            </w:r>
            <w:r>
              <w:rPr>
                <w:rFonts w:ascii="Arial" w:hAnsi="Arial"/>
                <w:b w:val="false"/>
                <w:i/>
                <w:sz w:val="18"/>
              </w:rPr>
              <w:t xml:space="preserve">summa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8"/>
              </w:rPr>
              <w:t>cum laude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, from the University of Minnesota and a Juris Doctor from Harvard Law School. 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Opoku is qualified to serve on our Board due to her extensive experience across a range of financial markets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geographies and deep knowledge of the financial services industry.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76" name="Image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77" name="Image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Rana Yared | Independent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40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August 2022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Audit Committee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Key Experience and Qualifications: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Extensive financial and investment experience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Former member of the board of managers of TWM LLC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Yared has served as a General Partner at Balderton Capital, a leading venture capital investor focused on European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founders with global ambitions from seed to exit, since August 2020. Prior to the Reorganization Transactions, Ms. Yared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served on the former board of managers of TWM LLC from 2014 to 2019. Ms. Yared previously served as a Partner in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Principal Strategic Investments Group and later in GS Growth at Goldman Sachs, a multinational investment bank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financial services company, from 2006 to August 2020. Ms. Yared currently holds board positions at Wabash College, Ramp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and Coro.net. She formerly served on the Penn Fund Board and the boards of NAV, Vestwell and SwapClear. She holds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Bachelor of Science from the Wharton School and a Bachelor of Arts in International Relations, both from the University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Pennsylvania, as well as a Master of Science from the London School of Economics.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Yared is qualified to serve on our Board due to her knowledge of our business, having previously worked with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executive management team as a Board member for five years, and because of her exceptional experience helping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companies to scale.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Proposal 1: Election of Direct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ors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78" name="Image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DIRECTORS WHOSE TERMS EXPIRE AT THE 2026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ANNUAL MEETING</w:t>
      </w:r>
    </w:p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79" name="Image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80" name="Image8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8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Troy Dixon | Independent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52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2023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Nominating and 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Committee 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Extensive business and management experience and thorough knowledge of our industry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Dixon is the Founder and Chief Investment Officer of Hollis Park Partners LP, an alternative asset manager that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specializes in structured products, a position he has held since 2013. Mr. Dixon has nearly 30 years of industry experience,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including leading residential mortgage-backed securities trading at Deutsche Bank from 2006 to 2013 and UBS Inc. from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2002 to 2006. Mr. Dixon serves as an independent board member and head of the Audit Committee of Lafayette Square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Business Development Corporation. He also serves on the boards of Boys Hope Girls Hope and New Height Youth Inc. 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received a Bachelor of Arts degree from College of the Holy Cross.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Dixon is qualified to serve on our Board due to his deep knowledge of the trading industry. 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052"/>
        <w:gridCol w:w="3434"/>
        <w:gridCol w:w="286"/>
        <w:gridCol w:w="2490"/>
      </w:tblGrid>
      <w:tr>
        <w:trPr/>
        <w:tc>
          <w:tcPr>
            <w:tcW w:w="40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81" name="Image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05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82" name="Image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0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Scott Ganeles | Independent</w:t>
            </w:r>
          </w:p>
        </w:tc>
      </w:tr>
      <w:tr>
        <w:trPr/>
        <w:tc>
          <w:tcPr>
            <w:tcW w:w="405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3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59</w:t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2019</w:t>
            </w:r>
          </w:p>
        </w:tc>
      </w:tr>
      <w:tr>
        <w:trPr/>
        <w:tc>
          <w:tcPr>
            <w:tcW w:w="405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5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34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Audit Committee,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Compensation Committee</w:t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05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4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Key Experience and Qualifications: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Extensive business and management experience and thorough knowledge of our industry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Ganeles has served as a Senior Partner of WestCap Group, LLC, a growth equity firm that invests in growth-stage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technology businesses in the financial technology, real estate technology and healthcare technology industries, as well as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asset-light marketplace platforms, since April 2019. Prior to that, Mr. Ganeles was the Chief Executive Officer of i-Deal from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December 2000 until it merged with Hemscott in 2006 to form Ipreo Holdings LLC ("Ipreo"). Mr. Ganeles became Chief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Executive Officer of Ipreo after the merger and continued as Chief Executive Officer until August 2018. Prior to Ipreo, Mr.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Ganeles was President and Co-Founder of the Carson Group from June 1990 to September 2000. Mr. Ganeles received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B.A. in Political Science from Brown University.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Ganeles is qualified to serve on our Board due to his extensive management, M&amp;A and industry experience. </w:t>
            </w:r>
          </w:p>
        </w:tc>
      </w:tr>
      <w:tr>
        <w:trPr/>
        <w:tc>
          <w:tcPr>
            <w:tcW w:w="40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Proposal 1: Election of Directors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18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83" name="Image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84" name="Image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85" name="Image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 xml:space="preserve">Catherine Johnson 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55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May 2023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Extensive international business, financial services, mergers and acquisitions and legal experience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Ms. Johnson has served as the Group General Counsel of LSEG, a United Kingdom-based financial infrastructure company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and our indirect controlling stockholder, since 2015. Ms. Johnson manages an international team of lawyers and compliance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professionals and advises the LSEG board and other senior executives of LSEG on all aspects of the LSEG business. Prior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to serving as Group General Counsel, Ms. Johnson held positions of increasing responsibility at LSEG beginning in 1996.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She is a member of LSEG’s Executive Committee and the Chair of FTSE International Limited, an FCA regulated entity in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United Kingdom. Ms. Johnson holds a law and economics degree from Kings College, Cambridge, and qualified at Herbert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Smith in 1993 in its corporate division.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Ms. Johnson is qualified to serve on our Board due to her deep legal, regulatory and corporate governance experience.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4"/>
        <w:gridCol w:w="3161"/>
        <w:gridCol w:w="298"/>
        <w:gridCol w:w="2589"/>
      </w:tblGrid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23660" cy="20320"/>
                  <wp:effectExtent l="0" t="0" r="0" b="0"/>
                  <wp:docPr id="86" name="Image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3660" cy="2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21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87" name="Image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48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2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7DB6"/>
                <w:sz w:val="22"/>
                <w:u w:val="none"/>
                <w:effect w:val="none"/>
              </w:rPr>
              <w:t>Murray Roos</w:t>
            </w:r>
            <w:r>
              <w:rPr>
                <w:caps w:val="false"/>
                <w:smallCaps w:val="false"/>
              </w:rPr>
              <w:t xml:space="preserve"> 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Age: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48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Director Since: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March 2021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Tradeweb Committees: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 xml:space="preserve">Other current public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company boards: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None</w:t>
            </w:r>
          </w:p>
        </w:tc>
      </w:tr>
      <w:tr>
        <w:trPr/>
        <w:tc>
          <w:tcPr>
            <w:tcW w:w="421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62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8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002856"/>
                <w:u w:val="none"/>
                <w:effect w:val="non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Global leadership experience across sales, trading and origination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Mr. Roos has served as Group Director, Capital Markets and as a member of the Executive Committee of LSEG, a United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Kingdom-based financial infrastructure company and our indirect controlling stockholder, since April 2020. Prior to joining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LSEG, Mr. Roos held several senior positions at Citigroup, a multinational investment bank and financial services corporation,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from April 2015 to March 2020, including Global Co-Head of Equities, and previously led Citigroup’s Multi-Asset Structuring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Group. Prior to that, Mr. Roos held various management and trading positions at Deutsche Bank and was previously a trader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 xml:space="preserve">at UBS. Mr. Roos received a BSc from the University of Cape Town.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8"/>
              </w:rPr>
              <w:t>Mr. Roos is qualified to serve on our Board due to his deep experience in our industry.</w:t>
            </w:r>
          </w:p>
        </w:tc>
      </w:tr>
      <w:tr>
        <w:trPr/>
        <w:tc>
          <w:tcPr>
            <w:tcW w:w="42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Proposal 1: Election of Direct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ors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88" name="Image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19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Corporate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CONTROLLED COMPANY EXEMPTION AND DIRECTOR INDEPENDENCE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Board has affirmatively determined that each of Mr. Aigrain, Mr. Berns, Mr. Dixon, Mr. Ganeles, Ms. Madoff, Ms.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Opoku and Ms. Yared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is independent under the rules of the Nasdaq Global Select Market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(“Nasdaq”) and SEC, including,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respect to members of each of the Audit Committee and Compensation Committee, those applicable to such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service.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making its independence determinations with respect to our directors, the Board considered that Mr. Dixon is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founder, managing partner and Chief Investment Officer of Hollis Park Partners, LP, a client of the Company, that had paid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 minimis fees to the Company for ordinary course services from the Company during fiscal 2023 on terms that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substantially equivalent to those prevailing at the time for comparable transactions with other similarly situated customers.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transaction did not exceed 1% of the Company’s gross consolidated revenues or that of Hollis Park Partners, LP.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this review, the Board concluded that this transaction does not interfere with the ability of Mr. Dixon to exercise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independent judgment in carrying out his Board responsibilities.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Refinitiv Direct Owner and an indirect subsidiary of Refinitiv that, prior to the Reorganization Transactions, owned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membership interests of TWM LLC and that continues to own common membership interests of TWM LLC ("LLC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Interests") after the completion of the IPO and Reorganization Transactions (the "Refinitiv LLC Owner," and together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Refinitiv Direct Owner, the "Refinitiv Owners"), who are parties to the Stockholders Agreement, hold Class B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stock, Class C common stock and Class D common stock collectively representing a majority of the combined voting power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our total outstanding common stock. As a result, we are a "controlled company" within the meaning of the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governance standards of Nasdaq. Under these corporate governance standards, a company of which more than 50%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voting power is held by an individual, a group or another company is a “controlled company” and may elect not to comply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certain corporate governance requirements, including the requirement that a majority of its board consist of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directors, the requirement that director nominations be made, or recommended to the full board, by its independent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by a nominations committee that is composed entirely of independent directors and the requirement that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committee be composed entirely of independent directors.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currently do not rely on the exemptions available to us as a controlled company. Currently, our Board consists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majority of independent directors and all of our Board committees are comprised entirely of independent directors with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independent Chairs. If at any time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do elect to rely on the exemptions and then subsequently cease to be a controlled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company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we will take all action necessary to comply with applicable SEC rules and regulations and Nasdaq rules,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permitted “phase-in” periods under the Nasdaq rules.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KEY GOVERNANCE PRACTICES</w:t>
      </w:r>
    </w:p>
    <w:p>
      <w:pPr>
        <w:pStyle w:val="TextBody"/>
        <w:bidi w:val="0"/>
        <w:spacing w:lineRule="atLeast" w:line="22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Majority independent Board.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Independent Board Chairperson.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Strong Lead Independent Director role.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Fully independent Board committees with independent Chairs.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Regular executive sessions where independent directors meet without management present.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Board and Committee evaluation process.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 overboarding policy.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Inclusion and interview of gender and ethnically diverse candidates in any pool of candidates from which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 nominees are chosen and Board Diversity Policy.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disclosure of consolidated EEO-1 report in our Corporate Sustainability Report.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Robust whistleblowing procedures and strict non-retaliation policy.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oversight of environmental, social and governance ("ESG") initiatives and key risk matters.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 stockholder rights plan.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Active stockholder engagement.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Proactive Board and Committee refreshment with focus on the optimal mix of skills, experience and backgrounds.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BOARD LEADERSHIP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directs and oversees the management of the business and affairs of the Company in a manner consistent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best interests of the Company. The Board’s responsibility is one of oversight, and in performing its oversight role, the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89" name="Image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serves as the ultimate decision-making body of the Company, except for those matters reserved to or shared with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Corporate Governance Guidelines provide that the Board selects its chairperson ("Chairperson")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Chief Executive Officer in the manner it considers to be in the best interests of the Company. Therefore,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does not have a policy on whether the roles of Chairperson and Chief Executive Officer should be separate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combined and, if it is to be separate, whether the Chairperson should be selected from the independent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Lee Olesky, our former Chief Executive Officer, served as Chairperson until his retirement from the Board in June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2023. Effective as of July 2023, Jacques Aigrain was elected by the Board as independent Chairperson to succeed Mr. Olesky.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Ms. Madoff has served as our Lead Independent Director since February 2022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currently believes that separating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roles of the Chairperson and the Chief Executive Officer is in the best interests of the Company and its stockholders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represents the most effective leadership structure for the Company. The Board believes that strong independent leadership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essential for the Board to effectively perform its functions and to help promote independent oversight of management.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Corporate Governance Guidelines provide that the Chairperson presides over executive session and, in consultation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management, sets the agenda for Board meetings, among other duties. Our Corporate Governance Guidelines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 that the Board may elect one of the independent directors as the lead independent director, who has clearly defined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responsibilities that include presiding at meetings of the Board at which the Chairperson is not present, including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sessions of the independent and non-management (if different) directors; collaborating with the Chief Executive Officer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Chairperson regarding the information sent to the Board; coordinating with the Chairperson and the Chief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Officer regarding the agenda and schedule for the meetings of the Board to provide that there is sufficient time for discussion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all agenda items; serving as liaison between the Chief Executive Officer and the Chairperson and the independent directors;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being available for consultation and communication with major stockholders upon request; and having the authority to call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sessions of the independent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and the Nominating and Corporate Governance Committee periodically review the Board’s leadership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structure and its appropriateness given the needs of the Board and the Company at such time.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STOCKHOLDER ENGAGEMENT</w:t>
      </w:r>
      <w:r>
        <w:rPr>
          <w:caps w:val="false"/>
          <w:smallCaps w:val="fals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Effective corporate governance includes regular, constructive conversations with our stockholders to proactively seek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 insights and to answer stockholder inquiries. We maintain an active dialogue with stockholders and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thoughtfully consider a diversity of perspectives on issues including strategy, business performance, risk,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governance, culture and workplace topics, compensation practices and a broad range of ESG issues.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instance, in 2021, as a newly public company, the Board recommended, and the stockholders approved, a triennial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say-on-pay vote frequency. At the time, the Board determined that a triennial say-on-pay vote would provide our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sufficient time to evaluate the effectiveness of our overall compensation philosophy, policies and practices in connection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our long-term business results for the corresponding period, while avoiding over-emphasis on short-term variations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and business results. Since then, we have engaged with our investors and other stakeholders and received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feedback regarding our compensation and governance practices. Although we are not required to hold an advisory vote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say-on-pay frequency vote until our 2027 annual meeting, we have considered the feedback received from our stakeholders,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well as the maturation in the Company's compensation and governance programs. Based on this, in March 2024,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Committee recommended, and the full Board approved, an annual, rather than triennial, say-on-pay vote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compensation matters, for approval by the Company's stockholders at the 2024 Annual Meeting.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and the Board believe that an annual say-on-pay vote provides the Company with more direct and immediate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feedback on its compensation philosophy, policies and practices and related disclosures. Holding these votes annually is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consistent with our practice of regularly engaging with stockholders on corporate governance and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matters.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we have received feedback regarding the structure of our executive compensation program,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regarding the performance metrics and periods for our short-term and long-term incentive programs, as well as the mix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between cash and equity for our executive officers. After considering this feedback in the context of our key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principles, beginning in 2023 and continuing in 2024, we have made significant changes to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program, as detailed more fully in "Compensation Discussion and Analysis" included below, and, in particular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"Compensation Discussion and Analysis—Fiscal 2024 Compensation Decisions".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communicate broadly with our stockholders, we also seek to transparently share ESG information relevant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through our Investor Relations website, our Annual Report, this Proxy Statement, our Corporate Sustainability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Report and our Task Force on Climate-Related Financial Disclosures Report. In addition, in fiscal year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we engaged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a cross-section of unaffiliated stockholders owning over 70% of our Class A common stock (excluding index firms).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Following such engagements, our Investor Relations team regularly provides a summary of all relevant feedback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Corporate Governance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0" name="Image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COMMUNICATIONS WITH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and other interested parties may communicate with the Board by writing to the General Counsel,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Tradeweb Markets Inc., 1177 Avenue of the Americas, New York, New York 10036. Written communications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addressed to the Chairperson of the Board, the Lead Independent Director, the chairperson of any of the Audit,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Nominating and Corporate Governance Committees, or to the non-management or independent directors as a group.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General Counsel will forward such communications to the appropriate party, subject to the next sentence.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communication will be reviewed to determine whether it is appropriate for presentation to our Board or the applicable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director(s). The purpose of this screening is to allow our Board (or the applicable individual director(s)) to avoid having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consider irrelevant or inappropriate communications, such as advertisements, solicitations, product inquiries or any offensive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otherwise inappropriate materials.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DIRECTOR NOMINATIONS AND DIVERSITY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Nominating and Corporate Governance Committee identifies individuals believed to be qualified as candidates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serve on the Board and recommends that the Board select the nominees for all directorships to be filled by the Board or by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at an annual or special meeting (subject to the terms of the Stockholders Agreement, as applicable).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identifying candidates for membership on the Board, the Committee takes into account all factors it considers appropriate,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which may include (a) individual qualifications, including strength of character, mature judgment, familiarity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business and industry, independence of thought and an ability to work collegially, (b) the Board Diversity Policy,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discussed in the paragraph below and (c) all other factors that the Committee considers appropriate, which may include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existing commitments to other businesses (including our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overboarding policy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), potential conflicts of interest with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pursuits, legal considerations such as antitrust issues, corporate governance background, various and relevant career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experience, relevant technical skills, relevant business or government acumen, financial and accounting background,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compensation background and the size, composition and combined expertise of the existing Board. Our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Governance Guidelines require that no director will serve on the boards of more than five public companies (including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Board) without specific approval from the Board. In addition, directors who also serve as executive officers or in equivalent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positions generally are not permitted to serve on boards of more than two public companies. The Committee also may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consider the extent to which the candidate would fill a present need on the Board. When evaluating whether to renominate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existing directors, the Committee considers matters relating to the retirement of current directors and performance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prior year.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 recognizes and embraces the benefits of having a diverse Board to enhance the quality of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performance. With a view to achieving sustainable and balanced development, the Company sees diversity at the Board level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an essential element in supporting the attainment of its strategic objectives and its sustainable development. In designing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Board’s composition, and in accordance with applicable equal opportunity laws, Board diversity is considered among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number of aspects, including but not limited to gender, age, race, ethnicity, nationality, cultural and educational background,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professional experience, skills, knowledge and length of service. As part of the search process for each new director, women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minority candidates are included in the pool from which Board nominees are chosen and at least one woman and one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minority candidate are interviewed as part of the director search process. The ultimate decision on all Board nominations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based on merit and contribution that the selected candidates will bring to the Board, having due regard for the benefits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diversity on the Board. The Nominating and Corporate Governance Committee reviews the qualifications of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candidates and incumbent directors in light of the criteria approved by our Board and recommends the Company’s candidates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our Board for election by the Company’s stockholders at the applicable annual meeting. The Nominating and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Governance Committee also assesses the qualifications and characteristics of our directors as part of our Board’s annual self-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evaluation process.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Nominating and Corporate Governance Committee evaluates director candidates recommended by stockholders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substantially similar basis as it considers other nominees. Any recommendation submitted to the Secretary should be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writing, should include any supporting material the stockholder considers appropriate in support of that recommendation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must include information that would be required under the rules of the SEC to be included in a proxy statement soliciting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proxies for the election of such candidate and the written consent of the candidate to be named in a proxy statement for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relevant annual meeting to serve as one of our directors if elected. Stockholders wishing to propose a candidate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consideration may do so by submitting the above information to the attention of the Secretary, Tradeweb Markets Inc., 1177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Avenue of the Americas, New York, New York 10036. The recommendation should contain all of the information regarding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nominee required under the "advance notice" provisions of our Amended Restated Bylaws (the "Bylaws") (which can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provided free of charge upon request by writing to our Secretary at the address listed above). All recommendations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nomination received by the Secretary that satisfy the requirements of our Bylaws relating to such director nominations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presented to the Nominating and Corporate Governance Committee for its consideration. Please see the section titled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1" name="Image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"Proposals of Stockholders" for information regarding the advance notice provisions applicable to stockholder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nominations set forth in our Bylaws.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addition, pursuant to the Stoc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kholders Agreement, the Refinitiv Owners have the right to designate nominees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subject to the maintenance of certain ownership requirements in us. See "Certain Relationships and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Transactions—Related Person Transactions Entered Into in Connection With the IPO—Stockholders Agreement"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additional information. Following designation, the Nominating and Corporate Governance Committee evaluates the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nominee pursuant to the standards set forth above, and then recommends the director nominee for approval by the full Board.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BOARD QUALIFICATIONS AND DIVERSITY MATRIX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charts show how certain skills, experience, characteristics and other criteria, including diversity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backgrounds and diversity with respect to gender and demographics, are currently represented on our Board. The chart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summarizing skills is not intended to be an exhaustive list for each director, but instead intentionally focuses on the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skill sets each director contributes. We believe the combination of the skills and qualifications shown below demonstrates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how our Board is well-positioned to provide effective oversight and strategic advice to our management team.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 believe our Board possesses the following skills: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Capital Markets/Fixed Income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Representation from Board members with deep capital markets industry knowledge,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particularly in fixed income, is critical to our success. Practical and operational experience in our markets and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understanding of the current market landscape provide skills necessary to guide accelerated growth as we identify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opportunities for future innovation.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Financial Expertise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comprehensive knowledge of financial metrics, accounting and public reporting is essential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proper oversight of our performance and future planning.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Electronic Trading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Experience working in existing, new or emerging technology is a critical perspective to have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of a financial markets technology company, providing practical guidance and understanding of what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core to our business as an electronic trading operator.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Global Leadership/Human Capital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Experience leading a global team or business provides perspective necessary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guide our business as we operate across multiple countries and jurisdictions. Having members with global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operational experience and strategic oversight of a business also provides valuable perspective for holistic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strategy, as well as deep knowledge of human capital management and perspective on building strong teams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retaining top talent.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Corporate Governance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Current or prior experience on private and public company boards brings experience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insight into best practices that will help to shape our practices.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Legal &amp; Regulatory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Experience with legal requirements and regulatory compliance permits the Board to exercise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oversight of the regulatory aspects of our business, as we operate in multiple jurisdictions and sometimes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regulated legal entities. This perspective allows for critical assessment of risks across our global business.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Risk Management/Information Technology and Systems</w:t>
      </w: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a company at the intersection of financial markets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technology, it is critical to have experience and skills in risk management on our Board to help navigate a complex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evolving technology landscape, as well as to effectively identify and prioritize risks to our operations,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oversight of policies, procedures and practices that comprehensively plan for and mitigate against these risks.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Knowledge of and experience in information technology and systems, including cybersecurity practices, is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essential for our Board given a need for heightened awareness, planning and defenses against evolving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security threats.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trike w:val="false"/>
          <w:dstrike w:val="false"/>
          <w:sz w:val="20"/>
          <w:u w:val="none"/>
          <w:effect w:val="none"/>
        </w:rPr>
        <w:t>Mergers</w:t>
      </w:r>
      <w:r>
        <w:rPr>
          <w:sz w:val="24"/>
        </w:rPr>
        <w:t xml:space="preserve"> </w:t>
      </w:r>
      <w:r>
        <w:rPr>
          <w:rFonts w:ascii="Times New Roman" w:hAnsi="Times New Roman"/>
          <w:b w:val="false"/>
          <w:i/>
          <w:sz w:val="20"/>
        </w:rPr>
        <w:t>&amp; Acquisitions</w:t>
      </w:r>
      <w:r>
        <w:rPr>
          <w:caps w:val="false"/>
          <w:smallCaps w:val="false"/>
          <w:sz w:val="24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Growth by acquisition is a strategy that continues to shape the evolution of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and experience in transactions and expansion through M&amp;A is a valuable expertise to have on our Board.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Corporate Governance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2" name="Image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23</w:t>
            </w:r>
          </w:p>
        </w:tc>
      </w:tr>
    </w:tbl>
    <w:tbl>
      <w:tblPr>
        <w:tblW w:w="82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21"/>
        <w:gridCol w:w="631"/>
        <w:gridCol w:w="616"/>
        <w:gridCol w:w="541"/>
        <w:gridCol w:w="466"/>
        <w:gridCol w:w="631"/>
        <w:gridCol w:w="406"/>
        <w:gridCol w:w="766"/>
        <w:gridCol w:w="646"/>
        <w:gridCol w:w="511"/>
        <w:gridCol w:w="601"/>
        <w:gridCol w:w="556"/>
        <w:gridCol w:w="526"/>
      </w:tblGrid>
      <w:tr>
        <w:trPr/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Jacques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Aigrain</w:t>
            </w:r>
          </w:p>
        </w:tc>
        <w:tc>
          <w:tcPr>
            <w:tcW w:w="61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Balbir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Bakhshi</w:t>
            </w:r>
          </w:p>
        </w:tc>
        <w:tc>
          <w:tcPr>
            <w:tcW w:w="54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Steven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Berns</w:t>
            </w:r>
          </w:p>
        </w:tc>
        <w:tc>
          <w:tcPr>
            <w:tcW w:w="4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Troy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Dixon</w:t>
            </w:r>
          </w:p>
        </w:tc>
        <w:tc>
          <w:tcPr>
            <w:tcW w:w="6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Scott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Ganeles</w:t>
            </w:r>
          </w:p>
        </w:tc>
        <w:tc>
          <w:tcPr>
            <w:tcW w:w="4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Billy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Hult</w:t>
            </w:r>
          </w:p>
        </w:tc>
        <w:tc>
          <w:tcPr>
            <w:tcW w:w="7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Catherine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Johnson</w:t>
            </w:r>
          </w:p>
        </w:tc>
        <w:tc>
          <w:tcPr>
            <w:tcW w:w="6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Paula B.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Madoff</w:t>
            </w:r>
          </w:p>
        </w:tc>
        <w:tc>
          <w:tcPr>
            <w:tcW w:w="51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Lisa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Opoku</w:t>
            </w:r>
          </w:p>
        </w:tc>
        <w:tc>
          <w:tcPr>
            <w:tcW w:w="60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Thomas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Pluta</w:t>
            </w:r>
          </w:p>
        </w:tc>
        <w:tc>
          <w:tcPr>
            <w:tcW w:w="55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Murray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Roos</w:t>
            </w:r>
          </w:p>
        </w:tc>
        <w:tc>
          <w:tcPr>
            <w:tcW w:w="5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Rana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Yared</w:t>
            </w:r>
          </w:p>
        </w:tc>
      </w:tr>
      <w:tr>
        <w:trPr/>
        <w:tc>
          <w:tcPr>
            <w:tcW w:w="8218" w:type="dxa"/>
            <w:gridSpan w:val="13"/>
            <w:tcBorders>
              <w:top w:val="single" w:sz="8" w:space="0" w:color="002856"/>
            </w:tcBorders>
            <w:shd w:fill="00285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Knowledge, Skills and Experience</w:t>
            </w:r>
          </w:p>
        </w:tc>
      </w:tr>
      <w:tr>
        <w:trPr/>
        <w:tc>
          <w:tcPr>
            <w:tcW w:w="1321" w:type="dxa"/>
            <w:tcBorders>
              <w:bottom w:val="single" w:sz="8" w:space="0" w:color="002857"/>
              <w:right w:val="single" w:sz="8" w:space="0" w:color="D7DBE0"/>
            </w:tcBorders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Capital Markets/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Fixed Income</w:t>
            </w:r>
          </w:p>
        </w:tc>
        <w:tc>
          <w:tcPr>
            <w:tcW w:w="631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left w:val="single" w:sz="8" w:space="0" w:color="D7DBE0"/>
              <w:bottom w:val="single" w:sz="8" w:space="0" w:color="002857"/>
              <w:right w:val="single" w:sz="8" w:space="0" w:color="DBDBDB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Financial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Expertise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</w:tcBorders>
            <w:shd w:fill="CCEEFF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Electronic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Trading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Global Leadership/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Human Capital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Governance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</w:tcBorders>
            <w:shd w:fill="CCEEFF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Legal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Regulatory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Risk Management/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Information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Technology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Systems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Mergers &amp;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Acquisitions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</w:tcBorders>
            <w:shd w:fill="CCEEFF" w:val="clear"/>
            <w:tcMar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7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218" w:type="dxa"/>
            <w:gridSpan w:val="13"/>
            <w:tcBorders/>
            <w:shd w:fill="00285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Demographics</w:t>
            </w:r>
          </w:p>
        </w:tc>
      </w:tr>
      <w:tr>
        <w:trPr/>
        <w:tc>
          <w:tcPr>
            <w:tcW w:w="8218" w:type="dxa"/>
            <w:gridSpan w:val="1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RACE/ETHNICITY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6"/>
              <w:bottom w:val="single" w:sz="8" w:space="0" w:color="002856"/>
              <w:right w:val="single" w:sz="8" w:space="0" w:color="DBDBDB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African American/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Black</w:t>
            </w:r>
          </w:p>
        </w:tc>
        <w:tc>
          <w:tcPr>
            <w:tcW w:w="631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6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>
              <w:top w:val="single" w:sz="8" w:space="0" w:color="002856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Asian/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Pacific Islander</w:t>
            </w:r>
          </w:p>
        </w:tc>
        <w:tc>
          <w:tcPr>
            <w:tcW w:w="631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6"/>
              <w:left w:val="single" w:sz="8" w:space="0" w:color="DBDBDB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6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White/Caucasian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BDBDB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Does Not Self-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Identify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BDBDB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8218" w:type="dxa"/>
            <w:gridSpan w:val="13"/>
            <w:tcBorders>
              <w:top w:val="single" w:sz="8" w:space="0" w:color="002857"/>
              <w:bottom w:val="single" w:sz="8" w:space="0" w:color="002857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GENDER</w:t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7"/>
              <w:right w:val="single" w:sz="8" w:space="0" w:color="D7DBE0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Male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BDBDB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7DBE0"/>
              <w:bottom w:val="single" w:sz="8" w:space="0" w:color="002857"/>
              <w:right w:val="single" w:sz="8" w:space="0" w:color="D7DBE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21" w:type="dxa"/>
            <w:tcBorders>
              <w:top w:val="single" w:sz="8" w:space="0" w:color="002857"/>
              <w:bottom w:val="single" w:sz="8" w:space="0" w:color="002856"/>
              <w:right w:val="single" w:sz="8" w:space="0" w:color="DBDBDB"/>
            </w:tcBorders>
            <w:tcMar>
              <w:lef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Female</w:t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4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511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  <w:tc>
          <w:tcPr>
            <w:tcW w:w="601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2857"/>
              <w:left w:val="single" w:sz="8" w:space="0" w:color="DBDBDB"/>
              <w:bottom w:val="single" w:sz="8" w:space="0" w:color="002856"/>
              <w:right w:val="single" w:sz="8" w:space="0" w:color="DBDBDB"/>
            </w:tcBorders>
            <w:vAlign w:val="center"/>
          </w:tcPr>
          <w:p>
            <w:pPr>
              <w:pStyle w:val="TableContents"/>
              <w:bidi w:val="0"/>
              <w:spacing w:lineRule="atLeast" w:line="32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32"/>
                <w:u w:val="none"/>
                <w:effect w:val="none"/>
              </w:rPr>
              <w:t>ü</w:t>
            </w:r>
          </w:p>
        </w:tc>
      </w:tr>
    </w:tbl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16"/>
          <w:u w:val="none"/>
          <w:effect w:val="none"/>
        </w:rPr>
        <w:t>Board Diversity Matrix (As of March 28, 2024)</w:t>
      </w:r>
    </w:p>
    <w:tbl>
      <w:tblPr>
        <w:tblW w:w="61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86"/>
        <w:gridCol w:w="676"/>
        <w:gridCol w:w="109"/>
        <w:gridCol w:w="466"/>
        <w:gridCol w:w="109"/>
        <w:gridCol w:w="616"/>
        <w:gridCol w:w="109"/>
        <w:gridCol w:w="826"/>
      </w:tblGrid>
      <w:tr>
        <w:trPr/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1" w:type="dxa"/>
            <w:gridSpan w:val="7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Total Number of Directors: 12</w:t>
            </w:r>
          </w:p>
        </w:tc>
      </w:tr>
      <w:tr>
        <w:trPr/>
        <w:tc>
          <w:tcPr>
            <w:tcW w:w="328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Female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Male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Non-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Binary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Did 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Disclose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6"/>
                <w:u w:val="none"/>
                <w:effect w:val="none"/>
              </w:rPr>
              <w:t>Gender</w:t>
            </w:r>
          </w:p>
        </w:tc>
      </w:tr>
      <w:tr>
        <w:trPr/>
        <w:tc>
          <w:tcPr>
            <w:tcW w:w="328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Part I: Gender Identity</w:t>
            </w:r>
          </w:p>
        </w:tc>
        <w:tc>
          <w:tcPr>
            <w:tcW w:w="6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Directors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Part II: Demographic Background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African American or Black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Alaskan Native or Native American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Asian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Hispanic or Latinx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Native Hawaiian or Pacific Islander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White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Two or More Races or Ethnicities</w:t>
            </w:r>
          </w:p>
        </w:tc>
        <w:tc>
          <w:tcPr>
            <w:tcW w:w="6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LGBTQ+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328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Did Not Disclose Demographic Background</w:t>
            </w:r>
          </w:p>
        </w:tc>
        <w:tc>
          <w:tcPr>
            <w:tcW w:w="67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24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3" name="Image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RISK OVERSIGHT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exercises direct oversight of the strategic risks to the Company. The Audit Committee reviews guidelines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policies governing the process by which senior management assesses and manages the Company’s exposure to risk,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the Company’s major financial and operational risk exposures, and the steps management takes to monitor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control such exposures. The Compensation Committee oversees risks relating to the Company’s compensation policies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practices. The Nominating and Corporate Governance Committee assists the Board by overseeing and evaluating programs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risks associated with Board organization, membership and structure, corporate governance and ESG risks.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 and our Audit Committee each receive periodic reports from our Chief Information Security Officer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Chief Risk Officer to assess key cybersecurity risks for the Company and the measures implemented to mitigate them, as well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updates regarding changes to our cybersecurity risk profile or newly identified significant risks. In addition,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reports to the Board on these matters at each regularly scheduled Board meeting. The Board and 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 feedback and recommendations accordingly. Please see Item 1C "Cybersecurity" of our 2023 Annual Report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further detail regarding oversight of cybersecurity risks.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CORPORATE GOVERNANCE DOCUMENTS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Please visit our Investor Relations website at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u w:val="single"/>
        </w:rPr>
        <w:t>https://investors.tradeweb.com/corporate-governance/documents-charters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Documents and Charters”, for additional information regarding our corporate governance, including: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Bylaws;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Amended and Restated Certificate of Incorporation;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Code of Business Conduct and Ethics, as amended;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charters approved by the Board for the Audit Committee, the Compensation Committee and the Nominating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Corporate Governance Committee, each as amended;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Corporate Governance Guidelines, as amended.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BOARD MEETINGS AND COMMITTEES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meets regularly during the year and holds special meetings and acts by unanimous written consent whenever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circumstances require. During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there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meetings of the Board.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incumbent director attended at least 75%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aggregate of the total number of meetings of the Board (held during the period for which they were a director) and the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number of meetings held by all committees on which he or she served (during the periods that they served) during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addition, directors are expected to make every effort to virtually attend any meetings of stockholders and all of our incumbent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 attended our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has established an Audit Committee, a Compensation Committee and a Nominating and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Governance Committee (collectively, the "Committees"), each of which hold meetings and act by unanimous written consent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whenever circumstances require. The Committees keep the Board informed of their actions and provide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assistance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in fulfilling its oversight responsibility to stockholders. The table below provides current membership information,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well as meeting information for the last fiscal year.</w:t>
      </w:r>
    </w:p>
    <w:tbl>
      <w:tblPr>
        <w:tblW w:w="68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91"/>
        <w:gridCol w:w="1171"/>
        <w:gridCol w:w="109"/>
        <w:gridCol w:w="1741"/>
        <w:gridCol w:w="109"/>
        <w:gridCol w:w="1816"/>
      </w:tblGrid>
      <w:tr>
        <w:trPr/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Audit Committee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Compensation Committee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Nominating and Corporate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Governance Committee</w:t>
            </w:r>
          </w:p>
        </w:tc>
      </w:tr>
      <w:tr>
        <w:trPr/>
        <w:tc>
          <w:tcPr>
            <w:tcW w:w="18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Jacques Aigrain</w:t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Balbir Bakhshi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Steven Berns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Troy Dixon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Scott Ganeles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Billy Hult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Catherine Johnson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Paula Madoff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</w:t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Lisa Opoku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Thomas Pluta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Murray Roos</w:t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Rana Yared</w:t>
            </w:r>
          </w:p>
        </w:tc>
        <w:tc>
          <w:tcPr>
            <w:tcW w:w="1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80" w:before="0" w:after="0"/>
              <w:jc w:val="left"/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</w:pPr>
            <w:r>
              <w:rPr>
                <w:rFonts w:ascii="Wingdings" w:hAnsi="Wingdings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28"/>
                <w:u w:val="none"/>
                <w:effect w:val="none"/>
              </w:rPr>
              <w:t>ü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9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Meetings in 2023</w:t>
            </w:r>
          </w:p>
        </w:tc>
        <w:tc>
          <w:tcPr>
            <w:tcW w:w="117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4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Corporate Governance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4" name="Image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functions performed by these Committees, which are set forth in more detail in their charters, are summarized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below.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AUDIT COMMITTEE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current members of the Audit Committee are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Berns, as Chairperson, Mr. Ganeles, Ms. Madoff and Ms. Yared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 Audit Committee is responsible for, among other things: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the quality and integrity of the Company’s financial statements, including oversight of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and financial reporting processes and financial statement audits;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the Company’s compliance with legal and regulatory requirements applicable to financial statements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and financial reporting processes;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the independent registered public accounting firm’s qualifications, performance and independence;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the performance of the Company’s internal audit function;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preparing the audit committee report required by the SEC to be included in the Company’s annual proxy statement;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and reviewing the Company’s external reporting regarding climate change-related risks and other related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disclosures and discussing with management related controls and procedures.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Berns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qualifies as our "audit committee financial expert" within the meaning of regulations adopted by the SEC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Audit Committee member meets Nasdaq’s financial sophistication requirements. Our Board has also determined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Berns, Mr. Ganeles, Ms. Madoff and Ms. Yared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is "independent" as defined under Nasdaq rules and Rule 10A-3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the Exchange Act and rules and regulations promulgated thereunder.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Audit Committee recommends the annual appointment and reviews the independence of auditors, reviews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scope of audit and non-audit assignments and related fees, the results of the annual audit, accounting principles used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financial reporting, internal auditing procedures, the adequacy of our internal control procedures, related person and party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transactions and investigations into matters related to audit functions. The Audit Committee is also responsible for evaluating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Company’s technology, data privacy and cybersecurity programs. 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current members of the Compensation Committee are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Aigrain, as Chairperson, Mr. Ganeles and Ms. Madoff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principal responsibilities of the Compensation Committee are to review and approve matters involving executive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 compensation, recommend changes in employee benefit programs, authorize equity and other incentive arrangements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authorize entry into employment and other employee-related agreements. The Compensation Committee is responsible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for, among other things: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establishing and reviewing the overall compensation philosophy of the Company;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reviewing and approving corporate goals and objectives relevant to the Chief Executive Officer’s and other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officers’ compensation, including annual performance objectives, if any;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evaluating the performance of the Chief Executive Officer and determining and approving, or recommending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Board, the annual salary, bonus, equity-based incentives and other benefits, direct and indirect, of the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Officer;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reviewing and approving, or recommending to the Board, the annual salary, bonus, equity and equity-based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incentives and other benefits, direct and indirect, of the executive officers other than the Chief Executive Officer,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subject in certain instances to adjustment by the Chief Executive Officer;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respect to executive compensation programs: (i) reviewing and approving, or recommending to the full Board,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new or modified executive compensation programs; (ii) reviewing on a periodic basis the operations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executive compensation programs to determine whether they are effective in achieving their intended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purpose(s); (iii) establishing and periodically reviewing policies for the administration of executive compensation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26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5" name="Image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programs; and (iv) taking steps to modify any executive compensation program to enhance the alignment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payments and benefits with executive and corporate performance and the Company’s business strategy;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reviewing and recommending to the Board the form and amount of director compensation, in accordance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Non-Employee Director Compensation Policy, as well as making recommendations regarding directors’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officers’ indemnification and insurance matters;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reviewing and approving or recommending to the Board, any employment or service-related contracts or transaction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involving current or former directors and executive officers of the Company and any related compensation,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consulting arrangements, employment contracts, severance or termination arrangements;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reviewing and approving, or recommending to the Board, the Company’s equity-based plans, equity-based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incentive compensation plans and administering the plans in accordance with their terms or overseeing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activities of the individuals responsible for administering those plans, as applicable;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the Company’s strategies and policies related to human capital management, including with respect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matters such as diversity, equity and inclusion, workplace environment and culture and talent development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retention;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preparing the compensation committee report on executive officer compensation as required by the SEC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included in the Company’s annual proxy statement or annual report on Form 10-K filed with the SEC.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NOMINATING AND CORPORATE GOVERNANCE COMMITTEE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current members of the Nominating and Corporate Governance Committee are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Ms. Madoff, as Chairperson, Mr.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Aigrain and Mr. Dixon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The Nominating and Corporate Governance Committee assists our Board in identifying individuals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qualified to become Board members, makes recommendations for nominees for committees and develops and recommends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and annually reviews our Corporate Governance Guidelines. The Nominating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Committee is responsible for, among other things: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identifying individuals qualified to become directors, consistent with the criteria approved by the Board from time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time and selecting, or recommending that the Board select, the director nominees for the next annual meeting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or to fill vacancies or newly created directorships that may occur between such meetings;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overseeing the evaluation of the Board;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recommending members of the Board to serve on committees of the Board and evaluating the functions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 of such committees;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and approving the Board and management continuity planning process;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overseeing the Company’s ESG strategy and goals;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otherwise taking a leadership role in shaping the corporate governance of the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COMPENSATION COMMITTEE INTERLOCKS AND INSIDER PARTICIPATION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None of our executive officers serves, or in the past year has served, as a member of the board or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(or other committee performing equivalent functions) of any entity that has one or more executive officers serving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our Board or Compensation Committee. No interlocking relationship exists between any member of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(or other committee performing equivalent functions) and any executive, member of the board or member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committee (or other committee performing equivalent functions) of any other company.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CODE OF BUSINESS CONDUCT AND ETHICS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have adopted a Code of Business Conduct and Ethics applicable to all of our directors, officers (including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principal executive officer, principal financial officer and principal accounting officer) and all global employees. Our Code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Business Conduct and Ethics is a "code of ethics", as defined in Item 406(b) of Regulation S-K. Our Code of Business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Conduct and Ethics is available on our website at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u w:val="single"/>
        </w:rPr>
        <w:t>https://investors.tradeweb.com/corporate-governance/documents-charters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See "Corporate Governance—Corporate Governance Documents" for additional information. To the extent required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Nasdaq and SEC rules, we intend to disclose future amendments to certain provisions of this code or waivers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provisions applicable to any of our executive officers or directors on our website identified above in accordance with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applicable rules and regulations. The Code of Business Conduct and Ethics was most recently amended 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November 15,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Corporate Governance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6" name="Image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ENVIRONMENTAL, SOCIAL AND GOVERNANCE MATTERS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have long been committed to creating and fostering an inclusive workplace, celebrating our diverse employee base,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providing transparency and innovation for our markets and promoting the validity of the data that propels them. Our long-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 view encompasses ever more sustainable ways of working and investing as we forge the links between better serving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markets and better serving the world.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began our ESG journey in 2019 and are proud of the progress we have made both internally and in partnership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clients and our various stakeholders. During 2020, we established an ESG Steering Committee comprised of senior level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executives covering major business directives across the Company. The ESG Steering Committee is an advisory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assembled to guide our focus and assist with delivery on our thoughtful approach to integrating our ESG strategy into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business and operations. To support the implementation of our ESG strategy, a dedicated team was formed and has expanded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meet the needs of our growing strategy. The team head reports directly into our senior executive leadership team,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provides critical support for the integration of these initiatives across our business. At the Board level, the Nominating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Corporate Governance Committee is responsible for ESG oversight and guidance, the Compensation Committee has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responsibility for oversight of human capital-related topics, including diversity, equity and inclusion, and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Committee has responsibility for oversight of external reporting of climate-related disclosures.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are committed to doing our part to help financial markets move toward a more sustainable global financial system.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August 2023, we published our third annual Corporate Sustainability Report, which reports on our ESG priorities, as well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our progress during calendar year 2022. We also responded to CDP for the first time and published our inaugural Taskforce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on Climate-Related Financial Disclosure report in 2023.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2021, we joined the Climate Bonds Initiative’s ("CBI") Partnership Programme to promote the visibility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accessibility of green bond trading activity across a wide range of asset classes on our platform, as well as to provide more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clarity around our own green bond trading volumes.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2023, CBI-screened green bonds accounted for $292.0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$303.6 billion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green bond trading volume executed on our platform (excluding ETFs). This represents a trading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volume increase of 46%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from 2022, calculated using CBI-screened Green Bond alignment based on the CBI definition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"Green" as of December 31, 2023 for both the 2023 and 2022 comparative period.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DIVERSITY, EQUITY AND INCLUSION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Equally important is the progress we are making on diversity, equity and inclusion. We are committed to continuing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foster an inclusive workplace, growing our diverse employee base and creating equal opportunities for career development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all levels. We believe that diverse teams make better decisions and create greater long-term value and we are committed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maintaining a safe and inclusive environment for everyone and attracting and retaining diverse talent at all levels. Our goal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continue to strive for greater diversity across the company, in accordance with applicable equal opportunity laws,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maintain and grow our culture of inclusiveness, education, acceptance and learning and to encourage and equip employees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their genuine selves at work. Through our Diversity, Equity and Inclusion ("DE&amp;I") Committee, on which members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team serve, including our Global Head of Human Resources and Head of Investor Relations, FP&amp;A and Treasury,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raise awareness, provide a forum to discuss diversity and inclusion and promote a diverse and inclusive culture. We seek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involve employees at all levels in DE&amp;I, including through recruitment, philanthropy and training. We also sponsor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Global Women’s Network, which provides skills-building, educational and career-relevant programming for employees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brings topics affecting women in the workplace front and center. Our commitment to DE&amp;I has been demonstrated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partnerships with approximately 18 organizations globally, including StreetWise Partners, Women’s Bond Club, TEAK,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Hiring our Heroes, Emily K Center and Adaptive Growth Leadership in the U.S., and SEO, Big City Bright Future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Cowrie Scholarship Foundation in the UK. By focusing on employee volunteerism in these areas, our employees have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opportunity to take action and make a difference. In addition, to provide transparency, the Company’s consolidated EEO-1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report is available through the Corporate Sustainability Report.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also seek to advance the interests of our stakeholders through DE&amp;I initiatives. For example, in June 2022, 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launched the Spotlight Dealer Diversity Program, designed to promote diverse dealers participating on our platforms,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woman-, veteran-, disabled- and minority-owned firms. The Spotlight Program was developed collaboratively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feedback from members of the buy-side and dealer communities to support our diverse dealer community through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combination of individual dealer profiles, direct consultation and other promotional programs designed to bring more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visibility to diverse dealers operating in electronic markets. In addition, we enhanced our request-for-quote trading workflow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U.S. Institutional Credit to more prominently expose diverse dealer liquidity to our participating buy-side clients, further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strengthening engagement between diverse dealers and buy-side users on the platform. We continue to work with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Spotlight participants to expand opportunities for doing business together. Since launch, we have grown from 12 participating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Spotlight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Dealers to 21 as of December 31, 2023.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28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7" name="Image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we seek to cement our commitment to diversity at the intern, college graduate and experienced hire levels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by leveraging relationships with a number of external organizations. These efforts all support our multi-layered strategy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recruiting and retaining diverse talent.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Further details regarding our ESG initiatives, which include our DE&amp;I initiatives, as well as our Corporate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Sustainability Reports, are available on our website at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  <w:u w:val="single"/>
        </w:rPr>
        <w:t>https://investors.tradeweb.com/csr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For cautionary information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forward-looking statements regarding our sustainability efforts and other ESG information, as well as references to websites,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please see "Forward-Looking Statements and References to Websites" included elsewhere in this Proxy Statement.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Corporate Governance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8" name="Image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29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Proposal 2: Ratification of Appointment of Deloitte as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Independent Registered Public Accounting Firm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the rules and regulations of the SEC, Nasdaq and the Public Company Accounting Oversight Board (the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"PCAOB"), the Audit Committee is directly responsible for the appointment, compensation, retention and oversight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independent registered public accounting firm. In addition, the Audit Committee considers the independence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independent registered public accounting firm and participates in the selection of the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firm’s lead engagement partner. The Audit Committee has appointed, and, as a matter of good corporate governance,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requesting ratification by our stockholders of the appointment of, the registered public accounting firm of Deloitte to serve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independent registered public accounting firm for the fiscal year ending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Deloitte has served as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independent registered public accounting firm since November 2018. Representatives of Deloitte are expected to virtually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attend the Annual Meeting and will have an opportunity to make a statement and to respond to appropriate questions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 and the Audit Committee believe that the continued retention of Deloitte as the Company’s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registered public accounting firm is in the best interests of the Company and its stockholders. Our Board and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value the opinions of our stockholders and consider the selection of our independent registered public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firm to be an important matter of stockholder concern. The appointment of Deloitte is accordingly being submitted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ratification by our stockholders as a matter of good corporate practice. If stockholders do not ratify the selection of Deloitte,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Audit Committee will evaluate the stockholder vote when considering the selection of a registered public accounting firm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the audit engagement for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fiscal year. In addition, even if stockholders ratify the selection of Deloitte as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independent registered public accounting firm, the Audit Committee may nevertheless periodically request proposals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major registered public accounting firms and as a result of such process may select Deloitte or another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firm as our independent registered public accounting firm.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The Board of Directors recommends a vote "FOR" ratification of the appointment of Deloitte as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independent registered public accounting firm for the fiscal year ending 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 2024.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99" name="Image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Independent Registered Public Accounting Firm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Consistent with SEC and PCAOB requirements regarding auditor independence, the Audit Committee has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responsibility for appointing, setting compensation for and overseeing the work of,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firm. In recognition of this responsibility, the Audit Committee has established a policy to pre-approve all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permissible non-audit services provided by the independent registered public accounting firm.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Prior to engagement of the independent registered public accounting firm for the next year’s audit, management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submit to the Audit Committee for approval a list of services and related fees expected to be rendered during that year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the following four categories of services: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(1)Audit services include audit work performed on the financial statements and internal control over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reporting, as well as work that generally only the independent registered public accounting firm can reasonably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expected to provide, including comfort letters, statutory audits and discussions surrounding the proper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application of financial accounting and/or reporting standards.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(2)Audit-related services are for assurance and related services that are traditionally performed by the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registered public accounting firm, employee benefit plan audits and special procedures required to meet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regulatory requirements.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(3)Tax services include all services, except those services specifically related to the financial statements, performed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by the independent registered public accounting firm’s tax personnel, including tax analysis; assisting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coordination of execution of tax-related activities, primarily in the area of corporate development; supporting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 tax-related regulatory requirements; tax planning; and tax compliance and reporting.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(4)All other services are those services not captured in the Audit, Audit-Related or Tax categories.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Prior to engagement, the Audit Committee pre-approves independent registered public accounting firm services within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category and the fees of each category are budgeted. The Audit Committee requires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firm and management to report actual fees versus the budget periodically throughout the year by category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service. During the year, circumstances may arise when it may become necessary to engage the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firm for additional services not contemplated in the original pre-approval categories. In those instances,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requires specific pre-approval before engaging the independent registered public accounting firm.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Audit Committee may delegate pre-approval authority to one or more of its members. The member to whom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authority is delegated must report, for informational purposes only, any pre-approval decisions to the Audit Committee at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next scheduled meeting. All of the services in the table below were pre-approved by the Audit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is a summary of Deloitte’s fees for professional services rendered to us for each of the fiscal years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2022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.</w:t>
      </w:r>
    </w:p>
    <w:tbl>
      <w:tblPr>
        <w:tblW w:w="47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76"/>
        <w:gridCol w:w="1516"/>
        <w:gridCol w:w="109"/>
        <w:gridCol w:w="1561"/>
      </w:tblGrid>
      <w:tr>
        <w:trPr/>
        <w:tc>
          <w:tcPr>
            <w:tcW w:w="1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7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Fiscal Year Ended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Fiscal Year Ended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2022</w:t>
            </w:r>
          </w:p>
        </w:tc>
      </w:tr>
      <w:tr>
        <w:trPr/>
        <w:tc>
          <w:tcPr>
            <w:tcW w:w="157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7"/>
              </w:rPr>
              <w:t>Audit Fees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(1)</w:t>
            </w:r>
          </w:p>
        </w:tc>
        <w:tc>
          <w:tcPr>
            <w:tcW w:w="15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$4,367,489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$4,099,058</w:t>
            </w:r>
          </w:p>
        </w:tc>
      </w:tr>
      <w:tr>
        <w:trPr/>
        <w:tc>
          <w:tcPr>
            <w:tcW w:w="1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7"/>
              </w:rPr>
              <w:t>Audit-related Fees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(2)</w:t>
            </w:r>
          </w:p>
        </w:tc>
        <w:tc>
          <w:tcPr>
            <w:tcW w:w="15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618,000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600,000</w:t>
            </w:r>
          </w:p>
        </w:tc>
      </w:tr>
      <w:tr>
        <w:trPr/>
        <w:tc>
          <w:tcPr>
            <w:tcW w:w="15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7"/>
              </w:rPr>
              <w:t>Tax Fees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(3)</w:t>
            </w:r>
          </w:p>
        </w:tc>
        <w:tc>
          <w:tcPr>
            <w:tcW w:w="15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57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7"/>
              </w:rPr>
              <w:t>All Other Fees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(4)</w:t>
            </w:r>
          </w:p>
        </w:tc>
        <w:tc>
          <w:tcPr>
            <w:tcW w:w="15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4,926</w:t>
            </w:r>
          </w:p>
        </w:tc>
      </w:tr>
      <w:tr>
        <w:trPr/>
        <w:tc>
          <w:tcPr>
            <w:tcW w:w="157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</w:t>
            </w:r>
          </w:p>
        </w:tc>
        <w:tc>
          <w:tcPr>
            <w:tcW w:w="15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$4,990,415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$4,703,984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(1)Audit fees consist of fees for professional services rendered for the audit of our financial statements and internal controls over financial reporting, reviews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interim financial statements, consent and comfort letters in connection with registration statements filed with the SEC, and statutory and regulatory filings,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and audits related to LSEG’s financial statements.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(2)Audit related fees consist of Service Organization Control (SOC) audits.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(3)Tax fees are for tax compliance services.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(4)All other fees relate to professional services not included in the categories above, including fees related to a subscription to an accounting research tool.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0" name="Image1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Audit Committee Report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Audit Committee reviews the Company’s financial reporting process on behalf of the Board. Management has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primary responsibility for establishing and maintaining adequate internal control over financial reporting, for preparing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financial statements and for the reporting process. The Audit Committee members do not serve as professional accountants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auditors and their functions are not intended to duplicate or to certify the activities of management and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registered public accounting firm. The Company’s independent registered public accounting firm is engaged to audit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report on the conformity of the Company’s financial statements to accounting principles generally accepted in the United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States.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this context, the Audit Committee reviewed and discussed with management and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accounting firm the audited financial statements for the year 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(the "Audited Financial Statements"),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management’s assessment of the effectiveness of the Company’s internal control over financial reporting.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Audit Committee has discussed with our independent registered public accounting firm the matters required to be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discussed by the applicable requirements of the PCAOB and SEC</w:t>
      </w:r>
      <w:r>
        <w:rPr>
          <w:rFonts w:ascii="Times New Roman" w:hAnsi="Times New Roman"/>
          <w:b w:val="false"/>
          <w:i/>
          <w:sz w:val="20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the Audit Committee has received the written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disclosures and the letter from our independent registered public accounting firm required by applicable requirements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PCAOB regarding our independent registered public accounting firm’s communications with the 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concerning independence, and has discussed with our independent registered public accounting firm its independence.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Based upon the reviews and discussions referred to above, the Audit Committee recommended to the Board that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Audited Financial Statements be included in the Company’s Annual Report on Form 10-K for the year 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December 31,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for filing with the SEC.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>The Audit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Steven Berns, Chairperson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Scott Ganeles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Paula Madoff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Rana Yared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1" name="Image10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10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Proposal 3: Advisory Vote on Executive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are pleased to provide our stockholders with the opportunity to vote on a non-binding advisory resolution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approve the compensation of our named executive officers as disclosed in this Proxy Statement, including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Discussion and Analysis and compensation tables.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considering your vote, we urge you to review the information on our compensation policies and decisions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regarding the named executive officers presented in the Compensation Discussion and Analysis, as well as the discussion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regarding the Compensation Committee in "Corporate Governance—Compensation Committee".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stockholder vote on this resolution will not be binding on management or the Board. However, the Board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Committee value the opinions of our stockholders and will review and consider the voting results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making future compensation decisions for our named executive officers. Subject to consideration of the results of the votes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Proposal 4 below, we expect the next advisory vote to approve the compensation of our named executive officers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conducted at the 2025 Annual Meeting of 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executive compensation program is designed to attract, retain and motivate highly skilled executives to drive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long-term performance and growth. We believe that investing in our talent through a market-based and flexible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has been critical to our success, enabling us to promote both short- and long-term profitable growth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 and achieve our ultimate goal of bringing value to our stockholders. Our compensation philosophy emphasizes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creating an “ownership mentality” to align our executives’ interests with those of our stockholders. To that end, our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is guided by the following principles: maintain a pay-for-performance culture; foster long-term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alignment with stockholders; attraction and retention; and reflect internal equity considerations.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 text of the resolution in respect of Proposal 3 is as follows: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RESOLVED, that the compensation paid to the Company’s named executive officers, as disclosed pursuant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compensation disclosure rules of the Securities and Exchange Commission, including in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Discussion and Analysis, the compensation tables and related narrative disclosure, is hereby approved on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>advisory basis.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The Board recommends a vote "FOR" the approval, on an advisory basis, of the compensation of our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>executive officers.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2" name="Image10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0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33</w:t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Proposal 4: Advisory Vote on the Frequency of Advisory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Votes on Executive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are seeking our stockholders’ views on how frequently we should hold future advisory say-on-pay votes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regard to the compensation of our named executive officers. We are required to provide stockholders with the opportunity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vote, on a non-binding and advisory basis, to express their preference as to whether a "say-on-pay" advisory vote should occur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every year, every two years or every three years. This advisory vote must occur every sixth year after the last vote. Since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last voted on this issue in 2021, our next required vote would be at the 2027 Annual Meeting of Stockholders.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However, as discussed below and in "Corporate Governance—Stockholder Engagement", our Board believes that an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advisory vote would be more consistent with our corporate governance practices and thus has decided to update 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recommendation and bring this issue earlier to a stockholder vote. Accordingly, we are asking stockholders to indicate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whether they would prefer an advisory vote every year, every two years or every three years.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After considering the benefits and consequences of each alternative, the Board recommends that the advisory vote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of our named executive officers be submitted to the stockholders every year. The Board believes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holding an advisory vote on executive compensation every year is the most appropriate policy for us at this time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recommends that stockholders vote for future advisory votes on executive compensation to occur every year. While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compensation programs are designed to promote a long-term connection between pay and performance, the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recognizes that executive compensation disclosures are made annually and holding an annual advisory vote on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provides us with more direct and immediate feedback on our compensation disclosures. We believe that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advisory vote on executive compensation is consistent with our practice of seeking input and engaging in dialogue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with our stockholders on corporate governance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Because this vote is advisory and therefore not binding on the Board or the Company, the Board may decide that it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 best interests of the stockholders that we hold an advisory vote on executive compensation more or less frequently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option preferred by the stockholders. The vote will not be construed to create or imply any change or addition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fiduciary duties of the Company or the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The Board recommends a vote of "1 YEAR" for the frequency of future advisory votes on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of our named executive officers.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34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3" name="Image1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1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Security Ownership of Certain Beneficial Owners and </w:t>
      </w: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Management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sets forth information regarding the beneficial ownership of our Class A common stock and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B common stock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13,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person or entity who is known by us to beneficially own more than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our Class A common stock or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B common stock;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our directors and named executive officers;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all of our directors and executive officers as a group, all of our executive officers as a group and all of our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a group.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number of shares beneficially owned by each stockholder is determined under rules issued by the SEC and includes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voting or investment power with respect to securities. Under these rules, beneficial ownership includes any shares as to which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 individual or entity has sole or shared voting power or investment power. A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pplicable percentage ownership is based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115,925,380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Class A common stock, 96,933,192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Class B common stock, 18,000,000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shares of Class 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common stock and 5,077,973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shares of Class D common stock outstanding as of March 13, 2024.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computing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 beneficially owned by an individual or entity and the percentage ownership of that person, shares of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subject to options or other rights, including the redemption rights described elsewhere in this Proxy Statement, held by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person that have vested or will vest within 60 days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13,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are considered outstanding, although these shares are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considered outstanding for purposes of computing the percentage ownership of any other person. Unless otherwise indicated,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address of all listed stockholders is c/o Tradeweb Markets Inc., 1177 Avenue of the Americas, New York, New York 10036.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the stockholders listed has sole voting and investment power with respect to the shares beneficially owned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 unless noted otherwise, subject to community property laws where applicable. </w:t>
      </w:r>
    </w:p>
    <w:tbl>
      <w:tblPr>
        <w:tblW w:w="92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01"/>
        <w:gridCol w:w="1337"/>
        <w:gridCol w:w="167"/>
        <w:gridCol w:w="761"/>
        <w:gridCol w:w="109"/>
        <w:gridCol w:w="1036"/>
        <w:gridCol w:w="129"/>
        <w:gridCol w:w="590"/>
        <w:gridCol w:w="109"/>
        <w:gridCol w:w="826"/>
      </w:tblGrid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5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Class A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Common Stock (on a fully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exchanged and converted basis)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5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Class B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Common Stock (on a fully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exchanged basis)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Combined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Voting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Power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42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 of beneficial owner</w:t>
            </w:r>
          </w:p>
        </w:tc>
        <w:tc>
          <w:tcPr>
            <w:tcW w:w="1337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Number </w:t>
            </w:r>
          </w:p>
        </w:tc>
        <w:tc>
          <w:tcPr>
            <w:tcW w:w="167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% 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Number </w:t>
            </w:r>
          </w:p>
        </w:tc>
        <w:tc>
          <w:tcPr>
            <w:tcW w:w="129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% 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2856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9265" w:type="dxa"/>
            <w:gridSpan w:val="10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Certain Stockholders</w:t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Entities affiliated with Refinitiv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(4)</w:t>
            </w:r>
          </w:p>
        </w:tc>
        <w:tc>
          <w:tcPr>
            <w:tcW w:w="133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119,921,521</w:t>
            </w:r>
          </w:p>
        </w:tc>
        <w:tc>
          <w:tcPr>
            <w:tcW w:w="16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50.8%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101,921,521</w:t>
            </w:r>
          </w:p>
        </w:tc>
        <w:tc>
          <w:tcPr>
            <w:tcW w:w="12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99.9%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89.9%</w:t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Named Executive Officers</w:t>
            </w:r>
          </w:p>
        </w:tc>
        <w:tc>
          <w:tcPr>
            <w:tcW w:w="133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Billy Hult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(5)</w:t>
            </w:r>
          </w:p>
        </w:tc>
        <w:tc>
          <w:tcPr>
            <w:tcW w:w="133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307,426</w:t>
            </w:r>
          </w:p>
        </w:tc>
        <w:tc>
          <w:tcPr>
            <w:tcW w:w="16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Sara Furber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13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21,165</w:t>
            </w:r>
          </w:p>
        </w:tc>
        <w:tc>
          <w:tcPr>
            <w:tcW w:w="1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Thomas Pluta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3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17,930</w:t>
            </w:r>
          </w:p>
        </w:tc>
        <w:tc>
          <w:tcPr>
            <w:tcW w:w="1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Enrico Bruni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3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140,058</w:t>
            </w:r>
          </w:p>
        </w:tc>
        <w:tc>
          <w:tcPr>
            <w:tcW w:w="1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Justin Peterson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(9)</w:t>
            </w:r>
          </w:p>
        </w:tc>
        <w:tc>
          <w:tcPr>
            <w:tcW w:w="133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11,152</w:t>
            </w:r>
          </w:p>
        </w:tc>
        <w:tc>
          <w:tcPr>
            <w:tcW w:w="1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Directors</w:t>
            </w:r>
          </w:p>
        </w:tc>
        <w:tc>
          <w:tcPr>
            <w:tcW w:w="133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7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Jacques Aigrain </w:t>
            </w:r>
          </w:p>
        </w:tc>
        <w:tc>
          <w:tcPr>
            <w:tcW w:w="133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1,418</w:t>
            </w:r>
          </w:p>
        </w:tc>
        <w:tc>
          <w:tcPr>
            <w:tcW w:w="167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FFFF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Balbir Bakhshi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  <w:tc>
          <w:tcPr>
            <w:tcW w:w="13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Steven Berns</w:t>
            </w:r>
          </w:p>
        </w:tc>
        <w:tc>
          <w:tcPr>
            <w:tcW w:w="13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731</w:t>
            </w:r>
          </w:p>
        </w:tc>
        <w:tc>
          <w:tcPr>
            <w:tcW w:w="1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Troy Dixon </w:t>
            </w:r>
          </w:p>
        </w:tc>
        <w:tc>
          <w:tcPr>
            <w:tcW w:w="13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Scott Ganeles </w:t>
            </w:r>
          </w:p>
        </w:tc>
        <w:tc>
          <w:tcPr>
            <w:tcW w:w="13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8,729</w:t>
            </w:r>
          </w:p>
        </w:tc>
        <w:tc>
          <w:tcPr>
            <w:tcW w:w="1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Catherine Johnson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  <w:tc>
          <w:tcPr>
            <w:tcW w:w="13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Paula Madoff </w:t>
            </w:r>
          </w:p>
        </w:tc>
        <w:tc>
          <w:tcPr>
            <w:tcW w:w="13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8,729</w:t>
            </w:r>
          </w:p>
        </w:tc>
        <w:tc>
          <w:tcPr>
            <w:tcW w:w="1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2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Lisa Opoku</w:t>
            </w:r>
          </w:p>
        </w:tc>
        <w:tc>
          <w:tcPr>
            <w:tcW w:w="133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Murray Roos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(12)</w:t>
            </w:r>
          </w:p>
        </w:tc>
        <w:tc>
          <w:tcPr>
            <w:tcW w:w="133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Rana Yared </w:t>
            </w:r>
          </w:p>
        </w:tc>
        <w:tc>
          <w:tcPr>
            <w:tcW w:w="133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4"/>
              </w:rPr>
              <w:t>All Executive Officers and Directors as a Group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(17 persons)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(13)</w:t>
            </w:r>
          </w:p>
        </w:tc>
        <w:tc>
          <w:tcPr>
            <w:tcW w:w="133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534,673</w:t>
            </w:r>
          </w:p>
        </w:tc>
        <w:tc>
          <w:tcPr>
            <w:tcW w:w="167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0.2%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All executive officers as a group (7 persons)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(14)</w:t>
            </w:r>
          </w:p>
        </w:tc>
        <w:tc>
          <w:tcPr>
            <w:tcW w:w="133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515,066</w:t>
            </w:r>
          </w:p>
        </w:tc>
        <w:tc>
          <w:tcPr>
            <w:tcW w:w="16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0.2%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2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All directors as a group (12 persons)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(15)</w:t>
            </w:r>
          </w:p>
        </w:tc>
        <w:tc>
          <w:tcPr>
            <w:tcW w:w="133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344,963</w:t>
            </w:r>
          </w:p>
        </w:tc>
        <w:tc>
          <w:tcPr>
            <w:tcW w:w="1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0.1%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0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4" name="Image1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*Represents less than 1.0% of outstanding shares or voting power, as applicable.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(1)Each Continuing LLC Owner (as defined herein) that holds LLC Interests also holds corresponding shares of Class C common stock or Class D common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stock, as the case may be. Each LLC Interest held by the Continuing LLC Owners is redeemable in accordance with the terms of the TWM LLC Agreement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(as defined herein), at the election of such holder, for newly issued shares of Class A common stock or Class B common stock on a one-for-one basis (and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such holders’ shares of Class C common stock or Class D common stock, as the case may be, will be cancelled on a one-for-one basis upon any such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issuance). The Continuing LLC Owners that hold shares of Class D common stock may also from time to time exchange all or a portion of their shares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our Class D common stock for newly issued shares of Class C common stock on a one-for-one basis (in which case their shares of Class D common stock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will be cancelled on a one-for-one basis upon such issuance). Holders of Class B common stock may from time to time exchange all or a portion of their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our Class B common stock for newly issued shares of Class A common stock on a one-for-one basis (in which case their shares of Class B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common stock will be cancelled on a one-for-one basis upon any such issuance). The numbers of shares of Class A common stock beneficially owned 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percentages of beneficial ownership set forth in the table assume that (i) all LLC Interests held by Continuing LLC Owners have been redeemed 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exchanged for shares of Class A common stock (and the corresponding shares of Class C common stock and/or Class D common stock, as the case may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be, have been cancelled) and (ii) all shares of Class B common stock have been exchanged for shares of Class A common stock.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(2)Each Continuing LLC Owner that holds LLC Interests also holds a corresponding number of shares of Class C common stock or Class D common stock, as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 case may be, and the Refinitiv Direct Owner owns shares of Class B common stock. Each LLC Interest held by Continuing LLC Owners that hold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D common stock will be redeemable in accordance with the terms of the TWM LLC Agreement, at the election of such holder, for newly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issued shares of Class B common stock on a one-for one basis (and such holders’ shares of Class D common stock will be cancelled on a one-for-one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basis upon any such issuance). The numbers of shares of Class B common stock beneficially owned and percentages of beneficial ownership set forth in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 table assume that all LLC Interests of Continuing LLC Owners that hold shares of Class D common stock have been exchanged for shares of Class B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common stock (and the corresponding shares of Class D common stock have been cancelled).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(3)Percentage of combined voting power represents voting power with respect to all shares of our Class A common stock, Class B common stock, Class C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common stock and Class D common stock, voting together as a single class. Each holder of Class B common stock and Class D common stock is entitled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to 10 votes per share and each holder of Class A common stock and Class C common stock is entitled to one vote per share on all matters submitted to our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stockholders for a vote. Our Class C common stock and Class D common stock do not have any economic interests (where "economic interests" means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 right to receive any dividends or distributions, whether cash or stock, in connection with common stock) associated with our Class A and Class B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common stock.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(4)Reflects securities held directly by Refinitiv TW Holdings Ltd. and Refinitiv US PME LLC. Refinitiv US LLC is the controlling member of Refinitiv US PME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LLC. LSEGA, Inc. is the sole member of Refinitiv US LLC. LSEG US Holdco, Inc. is the sole shareholder of LSEGA, Inc. and Refinitiv Parent Limited is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sole shareholder of LSEG US Holdco, Inc. IAG US LLC is a member of Refinitiv US PME LLC. Refinitiv International Holdings S.à r.l. is the sole member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IAG US LLC. Refinitiv Netherlands Holdings BV is the sole shareholder of Refinitiv International Holdings S.à r.l. Refinitiv UK (Rest of World) Holdings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Limited is the sole shareholder of Refinitiv Netherlands Holdings BV. Refinitiv UK Parent Limited is the sole shareholder of Refinitiv UK (Rest of World)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Holdings Limited. LSEGA Jersey Limited is the sole shareholder of Refinitiv UK Parent Limited. Refinitiv Parent Limited is the sole shareholder of LSEGA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Jersey Limited. London Stock Exchange Group plc is the controlling shareholder of Refinitiv Parent Limited. LSEGA Limited and LSEGA2 Limited are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shareholders of Refinitiv Parent Limited and London Stock Exchange Group plc is the sole shareholder of each of LSEGA Limited and LSEGA2 Limited.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Each of the entities described in this footnote may be deemed to beneficially own the securities directly or indirectly controlled by such entities, but each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(other than to the extent it directly holds securities as described herein) disclaims beneficial ownership of such securities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(5)Includes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274,212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A common stock issuable upon exercise of options and restricted stock units, as applicable, that have vested or will vest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 Mr. Hult is also a director of the Company.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(6)Includes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15,755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restricted stock units that have vested or will vest 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(7)Includes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9,823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restricted stock units that have vested or will vest 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 Mr. Pluta is also a director of the Company.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(8)Includes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129,942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A common stock issuable upon exercise of options and restricted stock units, as applicable, that have vested or will vest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(9)Includes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11,152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A common stock issuable upon exercise of options and restricted stock units, as applicable, that have vested or will vest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(10)Mr. Bakhshi is the Chief Risk Officer of LSEG and a member of LSEG’s Executive Committee. Mr. Bakhshi disclaims beneficial ownership of any securities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owned directly or indirectly by LSEG.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(11)Ms. Johnson is the Group General Counsel of LSEG and a member of LSEG’s Executive Committee. Ms. Johnson disclaims beneficial ownership of any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securities owned directly or indirectly by LSEG.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(12)Mr. Roos is Group Director, Capital Markets of LSEG and a member of LSEG’s Executive Committee. Mr. Roos disclaims beneficial ownership of any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securities owned directly or indirectly by LSEG.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(13)Includes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451,969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A common stock issuable upon exercise of options and restricted stock units, as applicable, that have vested or will vest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(14)Includes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451,969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A common stock issuable upon exercise of options and restricted stock units, as applicable, that have vested or will vest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(15)Includes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284,035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shares of Class A common stock issuable upon exercise of options and restricted stock units, as applicable, that have vested or will vest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within 60 days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13,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 Includes executive officers who are also directors of the Company.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Security Ownership of Certain Beneficial Owners and Management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36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5" name="Image1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1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Executive Officers of the Company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Set forth below is certain information regarding each of our current executive officers, including their age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May 10,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other than for Mr. Hult and Mr. Pluta, whose biographical information is presented under "Proposal 1: Election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Directors".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z w:val="20"/>
        </w:rPr>
        <w:t>Enrico Bruni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,</w:t>
      </w:r>
      <w:r>
        <w:rPr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52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has served as Managing Director, Head of Europe and Asia Business of TWM LLC since February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2013 and has served in the same position at Tradeweb since April 2019. Mr. Bruni joined Tradeweb in 2002 and has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instrumental in developing the interest rate swaps business in Europe and Asia. Prior to joining Tradeweb, from 1995 to 2002,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Bruni was at J.P. Morgan where he worked in a number of business and product management roles across the markets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division, with particular focus on their e-trading strategy. Mr. Bruni received a business management degree from L. Bocconi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University, Milan.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z w:val="20"/>
        </w:rPr>
        <w:t>Douglas Friedman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has served as Tradeweb’s General Counsel and Secretary since its formation and as the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Counsel of TWM LLC since November 2009, prior to which he served as the Assistant General Counsel of TWM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beginning in June 2005. Mr. Friedman oversees Tradeweb’s global legal function, advising on key legal issues and strategic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initiatives. In addition, Mr. Friedman is actively involved in regulatory discussions impacting global financial markets and is a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 of the Federal Reserve Bank of New York’s </w:t>
      </w:r>
      <w:r>
        <w:rPr>
          <w:rFonts w:ascii="Times New Roman" w:hAnsi="Times New Roman"/>
          <w:b w:val="false"/>
          <w:i/>
          <w:sz w:val="20"/>
        </w:rPr>
        <w:t xml:space="preserve">Treasury Market Practices Group.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 has also participated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Commodity Futures Trading Commission (CFTC) and industry discussions on the Dodd-Frank Wall Street Reform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Consumer Protection Act, as well as SEC panels on securities and derivatives reform. Prior to joining Tradeweb, Mr.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Friedman worked in the litigation department of King &amp; Spalding LLP, an international law firm, from 2001 to 2005, where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 focused on securities litigation and regulatory investigations. Prior to that, he worked at Cadwalader, Wickersham and Taft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LLP and at Gibbons P.C. He received a B.A. from the University of Michigan and a J.D. from Seton Hall University School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of Law.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z w:val="20"/>
        </w:rPr>
        <w:t>Sara Furber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49,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has served as Tradeweb’s Chief Financial Officer since September 2021. Prior to joining Tradeweb,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Ms. Furber served as Chief Financial Officer of IEX Group, a U.S. equity exchange operator, from 2018 to 2021. As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Financial Officer of IEX Group, Ms. Furber led the company’s finance function and oversaw its new business portfolio,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technology businesses such as the data platform IEX Cloud. Prior to joining IEX in 2016, she was a Managing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 at Morgan Stanley and a member of its Management Committee. She held several senior executive positions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Morgan Stanley, including Chief Operating Officer for Wealth Management. Ms. Furber previously served as Chief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Operating Officer for Global Corporate and Investment Banking at Bank of America Merrill Lynch, after leading Investor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Relations for Merrill Lynch during the global financial crisis and through its merger with Bank of America. Ms. Furber began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her career in investment banking in 1997. She holds a B.S. in Mechanical Engineering from Duke University.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z w:val="20"/>
        </w:rPr>
        <w:t>Justin Peterson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,</w:t>
      </w:r>
      <w:r>
        <w:rPr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61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has served as Chief Technology Officer of Tradeweb since April 2020, and has served on TWM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LLC’s Global Operating Committee since January 2014. Mr. Peterson joined TWM LLC in 1999 and served as Managing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Director, Head of Institutional Technology, from January 2008 to March 2020. Prior to joining Tradeweb, Mr. Peterson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served as Vice President at Citibank from 1995 to 1999. Prior to that, he held positions at NYNEX Science and Technology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Hughes Aircraft Company. Mr. Peterson holds a B.S. in Engineering from Harvey Mudd College and a Ph.D. and M.S.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Computer Science from the Georgia Institute of Technology.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z w:val="20"/>
        </w:rPr>
        <w:t>Scott Zucker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,</w:t>
      </w:r>
      <w:r>
        <w:rPr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55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has served as Tradeweb’s Chief Risk and Administrative Officer since February 2020 and served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Chief Administrative Officer since its formation and as the Chief Administrative Officer of TWM LLC since November 2009.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 joined TWM LLC in 2002 as General Counsel. Prior to joining Tradeweb, from 1999 to 2002, Mr. Zucker worked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Corporate Department of Willkie Farr &amp; Gallagher LLP, an international law firm, providing legal, regulatory and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law support exclusively to Bloomberg LP. He also worked in the Corporate Department of Robinson, Silverman, Pearce,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Aronsohn and Berman LLP (now Bryan Cave Leighton Paisner LLP) from 1996 to 1999, where he specialized in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corporate and securities matters. He received a B.A. from Tufts University and a J.D. from Hofstra University School of Law.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6" name="Image1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Executive Compensation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COMPENSATION DISCUSSION AND ANALYSIS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This Compensation Discussion and Analysis, or CD&amp;A, provides an overview of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philosophy, objectives and design and each element of our executive compensation program with regard to the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awarded to, earned by, or paid to our named executive officers (our "NEOs"), during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as well as certain changes we have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made to our executive compensation program since the end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2023, our NEOs were:</w:t>
      </w:r>
      <w:r>
        <w:rPr>
          <w:caps w:val="false"/>
          <w:smallCaps w:val="false"/>
          <w:sz w:val="24"/>
        </w:rPr>
        <w:t xml:space="preserve"> </w:t>
      </w:r>
    </w:p>
    <w:tbl>
      <w:tblPr>
        <w:tblW w:w="53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4111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NEO</w:t>
            </w:r>
          </w:p>
        </w:tc>
        <w:tc>
          <w:tcPr>
            <w:tcW w:w="411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Title</w:t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Billy Hult</w:t>
            </w:r>
          </w:p>
        </w:tc>
        <w:tc>
          <w:tcPr>
            <w:tcW w:w="41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7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7"/>
              </w:rPr>
              <w:t>Chief Executive Officer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Sara Furber</w:t>
            </w:r>
          </w:p>
        </w:tc>
        <w:tc>
          <w:tcPr>
            <w:tcW w:w="4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Chief Financial Officer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Thomas Pluta</w:t>
            </w:r>
          </w:p>
        </w:tc>
        <w:tc>
          <w:tcPr>
            <w:tcW w:w="41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President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Enrico Bruni</w:t>
            </w:r>
          </w:p>
        </w:tc>
        <w:tc>
          <w:tcPr>
            <w:tcW w:w="41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Managing Director, Head of Europe and Asia Business</w:t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Justin Peterson</w:t>
            </w:r>
          </w:p>
        </w:tc>
        <w:tc>
          <w:tcPr>
            <w:tcW w:w="411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Chief Technology Officer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2023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Business Performance Highlights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achieved strong financial and operational performance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reporting our 24th consecutive year of revenue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growth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The breadth of our business played an important role in these results as we helped clients navigate macro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environment challenges.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are focused on balancing revenue growth and margin expansion to create long-term value and we have a track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record of strong growth and financial performance. By expanding the scope of our platforms and solutions, building scale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integration across marketplaces and benefiting from broader network effects, we have been able to grow both our transaction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volume and subscription-based revenues. Our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results demonstrate that our investments in our network, technology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people continue to bring value to our stockholders and achieve our goal of long-term value creation.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Record volumes across asset classes translated into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12.6%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12.2%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revenue growth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a reported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constant currency basis*, respectively. The scale generated by our strong top-line results drove approximately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basis points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adjusted EBITDA margin* expansion and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19%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adjusted diluted earnings per share* growth. As our growth initiatives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continued to scale, we maintained our tradition of consistent and focused organic investment.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Additional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business highlights are described in the Proxy Summary of this Proxy Statement.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Determining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executive team is critical to our success and to building value for our stockholders.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 is designed to attract and retain highly-skilled executives and to motivate our executive leadership team to drive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long-term success and to reward financial performance and promote effective strategic leadership.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24"/>
        </w:rPr>
        <w:t>___________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/>
          <w:sz w:val="14"/>
        </w:rPr>
        <w:t>*</w:t>
      </w:r>
      <w:r>
        <w:rPr>
          <w:rFonts w:ascii="Arial" w:hAnsi="Arial"/>
          <w:b w:val="false"/>
          <w:i/>
          <w:strike w:val="false"/>
          <w:dstrike w:val="false"/>
          <w:sz w:val="14"/>
          <w:u w:val="none"/>
          <w:effect w:val="none"/>
        </w:rPr>
        <w:t xml:space="preserve">Adjusted EBITDA margin, </w:t>
      </w:r>
      <w:r>
        <w:rPr>
          <w:rFonts w:ascii="Arial" w:hAnsi="Arial"/>
          <w:b w:val="false"/>
          <w:i/>
          <w:sz w:val="14"/>
        </w:rPr>
        <w:t xml:space="preserve">adjusted diluted earnings per share and change in revenue on a constant currency basis are non-GAAP financial measures used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/>
          <w:sz w:val="14"/>
        </w:rPr>
        <w:t xml:space="preserve">by the Company to supplement information in our financial results. A reconciliation of these non-GAAP financial measures may be found in our </w:t>
      </w:r>
      <w:r>
        <w:rPr>
          <w:rFonts w:ascii="Arial" w:hAnsi="Arial"/>
          <w:b w:val="false"/>
          <w:i/>
          <w:strike w:val="false"/>
          <w:dstrike w:val="false"/>
          <w:sz w:val="14"/>
          <w:u w:val="none"/>
          <w:effect w:val="none"/>
        </w:rPr>
        <w:t xml:space="preserve">Form 8-K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/>
          <w:strike w:val="false"/>
          <w:dstrike w:val="false"/>
          <w:sz w:val="14"/>
          <w:u w:val="none"/>
          <w:effect w:val="none"/>
        </w:rPr>
        <w:t>filed with the SEC on February 6, 2024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/>
          <w:strike w:val="false"/>
          <w:dstrike w:val="false"/>
          <w:sz w:val="14"/>
          <w:u w:val="none"/>
          <w:effect w:val="none"/>
        </w:rPr>
        <w:t xml:space="preserve">and our Annual Report on Form 10-K for the year ended December 31, 2023, filed with the SEC on February 9,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/>
          <w:strike w:val="false"/>
          <w:dstrike w:val="false"/>
          <w:sz w:val="14"/>
          <w:u w:val="none"/>
          <w:effect w:val="none"/>
        </w:rPr>
        <w:t>2024.</w:t>
      </w:r>
      <w:r>
        <w:rPr>
          <w:sz w:val="24"/>
        </w:rPr>
        <w:t xml:space="preserve"> </w:t>
      </w:r>
      <w:r>
        <w:rPr>
          <w:rFonts w:ascii="Arial" w:hAnsi="Arial"/>
          <w:b w:val="false"/>
          <w:i/>
          <w:sz w:val="14"/>
        </w:rPr>
        <w:t xml:space="preserve">We also present certain growth information on a "constant currency" basis. Since our consolidated financial statements are presented in U.S. dollars,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/>
          <w:sz w:val="14"/>
        </w:rPr>
      </w:pPr>
      <w:r>
        <w:rPr>
          <w:rFonts w:ascii="Arial" w:hAnsi="Arial"/>
          <w:b w:val="false"/>
          <w:i/>
          <w:sz w:val="14"/>
        </w:rPr>
        <w:t xml:space="preserve">we must translate non-U.S. dollar revenues and expenses into U.S. dollars. Constant currency growth, which is a non-GAAP financial measure, is defined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/>
          <w:sz w:val="14"/>
        </w:rPr>
      </w:pPr>
      <w:r>
        <w:rPr>
          <w:rFonts w:ascii="Arial" w:hAnsi="Arial"/>
          <w:b w:val="false"/>
          <w:i/>
          <w:sz w:val="14"/>
        </w:rPr>
        <w:t xml:space="preserve">as growth excluding the effects of foreign currency fluctuations. Constant currency information is calculated by translating the current period and prior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/>
          <w:sz w:val="14"/>
        </w:rPr>
      </w:pPr>
      <w:r>
        <w:rPr>
          <w:rFonts w:ascii="Arial" w:hAnsi="Arial"/>
          <w:b w:val="false"/>
          <w:i/>
          <w:sz w:val="14"/>
        </w:rPr>
        <w:t xml:space="preserve">period’s results using the annual average exchange rates for the prior period.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38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7" name="Image1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1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Key Governance Features of Executive Compensation Program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executive compensation program is grounded in governance and design features that serve stockholders’ long-term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interests. We avoid certain practices that do not align with those interests.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161"/>
        <w:gridCol w:w="5044"/>
      </w:tblGrid>
      <w:tr>
        <w:trPr/>
        <w:tc>
          <w:tcPr>
            <w:tcW w:w="5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61" w:type="dxa"/>
            <w:tcBorders>
              <w:top w:val="single" w:sz="8" w:space="0" w:color="002856"/>
              <w:bottom w:val="single" w:sz="8" w:space="0" w:color="000000"/>
            </w:tcBorders>
            <w:shd w:fill="007EBB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What We Do</w:t>
            </w:r>
          </w:p>
        </w:tc>
        <w:tc>
          <w:tcPr>
            <w:tcW w:w="5044" w:type="dxa"/>
            <w:tcBorders>
              <w:top w:val="single" w:sz="8" w:space="0" w:color="002856"/>
              <w:bottom w:val="single" w:sz="12" w:space="0" w:color="002856"/>
            </w:tcBorders>
            <w:shd w:fill="002857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What We Don’t Do</w:t>
            </w:r>
          </w:p>
        </w:tc>
      </w:tr>
      <w:tr>
        <w:trPr/>
        <w:tc>
          <w:tcPr>
            <w:tcW w:w="51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Pay-for-performance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Approximately 94% of our executive target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compensation is at-risk variable compensation. 76% of target annual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equity grants and cash bonuses made to the NEOs in March 2023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were tied directly to company performance.</w:t>
            </w:r>
          </w:p>
        </w:tc>
        <w:tc>
          <w:tcPr>
            <w:tcW w:w="5044" w:type="dxa"/>
            <w:tcBorders>
              <w:top w:val="single" w:sz="12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Hedging/pledging of Company stock.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We prohibit our officers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directors from hedging, margining, pledging, short-selling or publicly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trading options in our stock.</w:t>
            </w:r>
          </w:p>
        </w:tc>
      </w:tr>
      <w:tr>
        <w:trPr/>
        <w:tc>
          <w:tcPr>
            <w:tcW w:w="51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Encourage long-term outlook.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In 2023, the CEO received an annual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grant and all other NEOs received a one-time grant of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vesting stock units ("PSUs") that are earned based on achievement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total shareholder return ("TSR") targets over a three-year performance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period. In 2024, the Compensation Committee determined to grant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PSUs to all NEOs on an annual basis as part of their overall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mix. In addition, in 2024, the performance-based restricted stock units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("PRSUs") were restructured to vest based on achievement of three-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year compound annual growth rate ("CAGR") targets for revenue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Adjusted EBITDA. Please see "Compensation Discussion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Analysis—Fiscal 2024 Compensation Decisions" below for more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information.</w:t>
            </w:r>
          </w:p>
        </w:tc>
        <w:tc>
          <w:tcPr>
            <w:tcW w:w="504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Excise tax gross-ups.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We do not pay excise tax gross-ups 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change-in-control payments.</w:t>
            </w:r>
          </w:p>
        </w:tc>
      </w:tr>
      <w:tr>
        <w:trPr/>
        <w:tc>
          <w:tcPr>
            <w:tcW w:w="5161" w:type="dxa"/>
            <w:tcBorders>
              <w:top w:val="sing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Rigorous performance goals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The Company establishes rigorous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performance goals related to its incentive-based compensation plans.</w:t>
            </w:r>
          </w:p>
        </w:tc>
        <w:tc>
          <w:tcPr>
            <w:tcW w:w="5044" w:type="dxa"/>
            <w:tcBorders>
              <w:top w:val="single" w:sz="8" w:space="0" w:color="000000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Repricing or exchange of underwater options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Under our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omnibus equity plan, we specifically prohibit share repricing without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stockholder approval.</w:t>
            </w:r>
          </w:p>
        </w:tc>
      </w:tr>
      <w:tr>
        <w:trPr/>
        <w:tc>
          <w:tcPr>
            <w:tcW w:w="5161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Clawback policy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In accordance with Exchange Act Rule 10D-1, we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maintain a robust clawback policy that requires the clawback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incentive compensation from executive officers in the event of 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material misstatement of the financials. In addition, the 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Committee has discretion to clawback, from both executive officers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and other employees, other incentive-based compensation, including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time-based short-term or long-term equity or other incentive awards.</w:t>
            </w:r>
          </w:p>
        </w:tc>
        <w:tc>
          <w:tcPr>
            <w:tcW w:w="5044" w:type="dxa"/>
            <w:tcBorders>
              <w:top w:val="single" w:sz="8" w:space="0" w:color="000000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Dividend equivalents on unearned equity awards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. Dividend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 xml:space="preserve">equivalent rights accrued on equity awards are not paid until the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underlying award itself vests and becomes payable.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Executive Compensation Philosophy and Objectives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Our executive compensation program is designed to attract, retain and motivate highly skilled executives to drive long-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 performance and growth. We believe that investing in our talent through a market-based and flexible total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 has been critical to our success, enabling us to promote both short- and long-term profitable growth of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achieve our ultimate goal of bringing value to our stockholders. Our compensation philosophy emphasizes creating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"ownership mentality" to align our executives’ interests with those of our stockholders. To that end, our total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 is guided by the following principles: 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08"/>
        <w:gridCol w:w="7497"/>
      </w:tblGrid>
      <w:tr>
        <w:trPr/>
        <w:tc>
          <w:tcPr>
            <w:tcW w:w="2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08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 xml:space="preserve">Maintain a pay-for-performance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culture</w:t>
            </w:r>
          </w:p>
        </w:tc>
        <w:tc>
          <w:tcPr>
            <w:tcW w:w="7497" w:type="dxa"/>
            <w:tcBorders>
              <w:top w:val="single" w:sz="8" w:space="0" w:color="00285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Annual pay opportunities emphasize variable performance-based compensation with metrics aligned to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the Company’s financial results, stock price and business strategy, promoting a high degree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performance orientation in our executive compensation program.</w:t>
            </w:r>
          </w:p>
        </w:tc>
      </w:tr>
      <w:tr>
        <w:trPr/>
        <w:tc>
          <w:tcPr>
            <w:tcW w:w="2708" w:type="dxa"/>
            <w:tcBorders>
              <w:top w:val="single" w:sz="8" w:space="0" w:color="000000"/>
              <w:bottom w:val="single" w:sz="8" w:space="0" w:color="00336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 xml:space="preserve">Foster long-term alignment with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stockholders</w:t>
            </w:r>
          </w:p>
        </w:tc>
        <w:tc>
          <w:tcPr>
            <w:tcW w:w="7497" w:type="dxa"/>
            <w:tcBorders>
              <w:top w:val="single" w:sz="8" w:space="0" w:color="000000"/>
              <w:bottom w:val="single" w:sz="8" w:space="0" w:color="00336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Outstanding equity awards in the form of annual time-vesting restricted stock units ("RSUs"), PRSUs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PSUs directly tie pay outcomes to value creation, aligning executive and stockholder interest.</w:t>
            </w:r>
          </w:p>
        </w:tc>
      </w:tr>
      <w:tr>
        <w:trPr/>
        <w:tc>
          <w:tcPr>
            <w:tcW w:w="2708" w:type="dxa"/>
            <w:tcBorders>
              <w:top w:val="single" w:sz="8" w:space="0" w:color="00336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Attraction and retention</w:t>
            </w:r>
          </w:p>
        </w:tc>
        <w:tc>
          <w:tcPr>
            <w:tcW w:w="7497" w:type="dxa"/>
            <w:tcBorders>
              <w:top w:val="single" w:sz="8" w:space="0" w:color="003366"/>
              <w:bottom w:val="sing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Our executive compensation program provides overall target compensation that is intended to attract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and retain high-caliber talent. In addition, our long-term incentive awards are granted on varying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vesting schedules, continually ensuring that a portion of previously granted equity remains unvested.</w:t>
            </w:r>
          </w:p>
        </w:tc>
      </w:tr>
      <w:tr>
        <w:trPr/>
        <w:tc>
          <w:tcPr>
            <w:tcW w:w="2708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Reflect internal equity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considerations</w:t>
            </w:r>
          </w:p>
        </w:tc>
        <w:tc>
          <w:tcPr>
            <w:tcW w:w="7497" w:type="dxa"/>
            <w:tcBorders>
              <w:top w:val="single" w:sz="8" w:space="0" w:color="000000"/>
              <w:bottom w:val="single" w:sz="8" w:space="0" w:color="002856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Compensation decisions are made in the context of individual factors and pay equity, fostering growth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motivation through a flexible compensation design.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Compensation Determination Process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Committee is responsible for establishing and overseeing the executive compensation arrangements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our executive officers, including our NEOs, as described above in the section titled "Corporate Governance—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Committee". The Compensation Committee charter, which delineates the topics within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Committee’s oversight role, is available on our website.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During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 Compensation Committee met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times, along with, at the request of the Compensation Committee,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 and our General Counsel, as needed. In performing its duties, the Compensation Committee’s responsibilities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actions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included: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8" name="Image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39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Confirming achi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evement of performance goals in respect of (i) the annual bonus for Mr. Hult for the prior calendar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 and (ii) equity awards granted in the prior calendar year, including the PRSUs.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Reviewing and approving total compensation for the NEOs other than Mr. Hult with respect to the prior calendar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year, including bonus allocations based on recommendations from Mr. Hult, and authorizing Mr. Hult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reasonable adjustments to such amounts.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Approving the methodology for determining the Company’s annual cash bonus program payout pool for NEOs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than Mr. Hult for the upcoming calendar year.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Establishing performance goals for the upcoming calendar year for (i) PRSU grants, (ii) PSU grants and (iii)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performance-based multipliers for the annual cash bonus for Mr. Hult.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Establishing a pool for annual equity grants for the upcoming calendar year and allocating equity grants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pool to Mr. Hult.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Role of Compensation Consultants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During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 Compensation Committee worked with ClearBridge Compensation Group ("ClearBridge")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an executive compensation program that was competitive, aligned executive incentives with stockholder interests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offered appropriate retention and performance incentives.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Internal Pay Equity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2023, w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 conducted our internal annual pay equity analysis in furtherance of our commitment to having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employees in similar job levels paid fairly based on justifiable compensation factors, such as tenure and performance, and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discriminatory factors, such as gender and race. Across all levels, we concluded that, based on our analysis, employees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were fairly paid with employee gender and race not materially affecting pay.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"Say-on-Pay" Vote and Stockholder Engagement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say-on-pay vote is one of our opportunities to receive feedback from stockholders regarding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program. We conducted our first say-on-pay vote and frequency of say-on-pay vote in 2021 at which time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say-on-pay vote was approved by approximately 99% of the eligible votes, indicating strong support for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program, and our stockholders approved a frequency of every three years for the say-on-pay vote.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furtherance of the Company’s interest in stockholder engagement and our pay-for-performance philosophy, the Company,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our Compensation Committee, has continued to examine our executive compensation program to ensure alignment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between the interests of our executives and our stockholders. Because it has been three years since our last say-on-pay vote,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are holding a say-on-pay vote in connection with this year's Annual Meeting. In addition, the Board is also recommending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change from a triennial, to an annual, say-on-pay vote, subject to approval by our stockholders at this Annual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Please see Proposals 3 and 4, as well as "Corporate Governance—Stockholder Engagement" for further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 to the feedback that we receive from our say-on-pay vote, we also regularly engage with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regarding compensation topics and take their perspectives into consideration in connection with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program. Specifically, when developing the go-forward compensation program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we took stockholder feedback into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account. Please see "—Fiscal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Decisions" for a summary of compensation decisions made thus far during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including, among other items, the inclusion of PSUs as part of each NEOs go-forward equity mix, as well as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restructuring of the PRSU performance metrics to tie to three-year cumulative financial results and a shift in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mix from cash to equity for our NEOs.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Principal Elements of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principal elements of our executive compensation program during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included base salary, annual cash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tied to performance metrics, long-term incentive awards and other benefits and perquisites. Our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 consists of a mix of fixed and variable pay elements, with the latter tied to both short- and long-term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success. Performance-based pay elements are linked to goals that we believe will deliver both year-over-year and long-term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increases in stockholder value.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09" name="Image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elements of total direct executive compensation for our NEOs and their key objectives are summarized below: </w:t>
      </w:r>
    </w:p>
    <w:tbl>
      <w:tblPr>
        <w:tblW w:w="939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26"/>
        <w:gridCol w:w="631"/>
        <w:gridCol w:w="3586"/>
        <w:gridCol w:w="3751"/>
      </w:tblGrid>
      <w:tr>
        <w:trPr/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  <w:t>Element</w:t>
            </w:r>
          </w:p>
        </w:tc>
        <w:tc>
          <w:tcPr>
            <w:tcW w:w="6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  <w:t>Form</w:t>
            </w:r>
          </w:p>
        </w:tc>
        <w:tc>
          <w:tcPr>
            <w:tcW w:w="358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  <w:t>Pay Philosophy/Objectives</w:t>
            </w:r>
          </w:p>
        </w:tc>
        <w:tc>
          <w:tcPr>
            <w:tcW w:w="375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5"/>
                <w:u w:val="none"/>
                <w:effect w:val="none"/>
              </w:rPr>
              <w:t>Key Features</w:t>
            </w:r>
          </w:p>
        </w:tc>
      </w:tr>
      <w:tr>
        <w:trPr/>
        <w:tc>
          <w:tcPr>
            <w:tcW w:w="142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Base Salary</w:t>
            </w:r>
          </w:p>
        </w:tc>
        <w:tc>
          <w:tcPr>
            <w:tcW w:w="63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Cash</w:t>
            </w:r>
          </w:p>
        </w:tc>
        <w:tc>
          <w:tcPr>
            <w:tcW w:w="358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Attract and retain top talent.</w:t>
            </w:r>
          </w:p>
        </w:tc>
        <w:tc>
          <w:tcPr>
            <w:tcW w:w="375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• 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Fixed cash amount. 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Increases in 2023 reflect promotion for CEO and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increased scope of responsibilities for CFO.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No increases for other NEOs.</w:t>
            </w:r>
          </w:p>
        </w:tc>
      </w:tr>
      <w:tr>
        <w:trPr/>
        <w:tc>
          <w:tcPr>
            <w:tcW w:w="142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Annual Cash Bonus</w:t>
            </w:r>
          </w:p>
        </w:tc>
        <w:tc>
          <w:tcPr>
            <w:tcW w:w="63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Cash</w:t>
            </w:r>
          </w:p>
        </w:tc>
        <w:tc>
          <w:tcPr>
            <w:tcW w:w="358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Reward strong Company and individual performance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against important short-term goals.</w:t>
            </w:r>
          </w:p>
        </w:tc>
        <w:tc>
          <w:tcPr>
            <w:tcW w:w="375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At-risk variable compensation.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For the Chief Executive Officer, based on achievement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of specified annual Company financial performance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goals, which are pre-determined by the 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Committee.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For NEOs other than the Chief Executive Officer, based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on a bonus pool, which is determined based 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achievement of annual Company financial performance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goals.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Allocations from the pool are determined based 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individual and Company performance by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recommendation to the Compensation Committee from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the Chief Executive Officer.</w:t>
            </w:r>
          </w:p>
        </w:tc>
      </w:tr>
      <w:tr>
        <w:trPr/>
        <w:tc>
          <w:tcPr>
            <w:tcW w:w="1426" w:type="dxa"/>
            <w:vMerge w:val="restart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Long-Term 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Awards</w:t>
            </w:r>
          </w:p>
        </w:tc>
        <w:tc>
          <w:tcPr>
            <w:tcW w:w="63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(RSUs)</w:t>
            </w:r>
          </w:p>
        </w:tc>
        <w:tc>
          <w:tcPr>
            <w:tcW w:w="358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Encourages retention and rewards the creation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stockholder value over time.</w:t>
            </w:r>
          </w:p>
        </w:tc>
        <w:tc>
          <w:tcPr>
            <w:tcW w:w="375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At-risk variable compensation.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Annual grant of RSUs that vest annually over a three-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year period, subject to continuous service.</w:t>
            </w:r>
          </w:p>
        </w:tc>
      </w:tr>
      <w:tr>
        <w:trPr/>
        <w:tc>
          <w:tcPr>
            <w:tcW w:w="1426" w:type="dxa"/>
            <w:vMerge w:val="continue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(PRSUs)</w:t>
            </w:r>
          </w:p>
        </w:tc>
        <w:tc>
          <w:tcPr>
            <w:tcW w:w="358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Promotes performance, supports retention and creates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long-term stockholder value and stockholder alignment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by creating an “ownership mentality" by tying vesting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the award to long-term Company financial performance.</w:t>
            </w:r>
          </w:p>
        </w:tc>
        <w:tc>
          <w:tcPr>
            <w:tcW w:w="375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At-risk variable compensation.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Annual grant that vests based on achievement of set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Company financial goals and continuous service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through the third calendar year following the year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grant.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PRSUs granted in 2023 vest based on achievement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company 2023 financial goals of constant currency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1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Adjusted EBITDA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2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margin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3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and year-over-year constant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currency revenue growth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4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PRSUs granted in 2024 will vest based on achievement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of three-year CAGR targets for constant currency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revenue growth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4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and constant currency Adjusted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EBITDA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2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. Please see "—Fiscal 2024 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Decisions" for further information regarding this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change.</w:t>
            </w:r>
          </w:p>
        </w:tc>
      </w:tr>
      <w:tr>
        <w:trPr/>
        <w:tc>
          <w:tcPr>
            <w:tcW w:w="1426" w:type="dxa"/>
            <w:vMerge w:val="continue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(PSUs)</w:t>
            </w:r>
          </w:p>
        </w:tc>
        <w:tc>
          <w:tcPr>
            <w:tcW w:w="3586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Promotes long-term alignment between executive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officers’ incentives and stockholder interests by tying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vesting of the award to total shareholder return.</w:t>
            </w:r>
          </w:p>
        </w:tc>
        <w:tc>
          <w:tcPr>
            <w:tcW w:w="3751" w:type="dxa"/>
            <w:tcBorders>
              <w:top w:val="single" w:sz="8" w:space="0" w:color="002856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At-risk variable compensation.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Vest after the end of the three-year performance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period.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Target award may be modified based on achievement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of cumulative absolute total shareholder return targets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during the full three-year performance period.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In 2023, annual award for CEO and one-time award for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other NEOs.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caps w:val="false"/>
                <w:smallCaps w:val="false"/>
              </w:rPr>
              <w:t>•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In 2024, the PSUs will be included as part of each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NEO's go-forward equity mix. Please see "—Fiscal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Compensation Decisions" for further information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regarding this change.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1"Constant currency" means results excluding the effects of foreign currency fluctuations and is calculated by translating the current period and prior period’s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results using the annual average exchange rates for the prior period.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2"Constant currency Adjusted EBITDA" means net income before net interest income/expense, provision for income taxes and depreciation 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amortization, adjusted for the impact of certain other items, including merger and acquisition transaction and integration costs, certain stock-based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compensation expense and related payroll, tax receivable agreement liability adjustments, unrealized gains and losses from outstanding foreign currency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forward contracts, gains and losses from the revaluation of foreign denominated cash and other income and loss, each determined on a constant currency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basis.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3"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Constant currency Adjusted E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BITDA margin" means Adjusted EBITDA divided by revenue for the applicable period, each determined on a constant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currency basis.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4"Constant currency revenue growth" means total revenue change excluding the effects of foreign currency fluctuations. Total revenue excluding the effects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of foreign currency fluctuations is calculated by translating the current period and prior period’s total revenue using the annual average exchange rates for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 prior period.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Constant currency Adjusted EBITDA margin and constant currency revenue growth are non-GAAP financial measures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used by the Company to supplement information in our financial results. A reconciliation of these non-GAAP financial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/>
          <w:sz w:val="20"/>
        </w:rPr>
        <w:t xml:space="preserve">measures may be found in our </w:t>
      </w:r>
      <w:r>
        <w:rPr>
          <w:rFonts w:ascii="Times New Roman" w:hAnsi="Times New Roman"/>
          <w:b w:val="false"/>
          <w:i/>
          <w:strike w:val="false"/>
          <w:dstrike w:val="false"/>
          <w:sz w:val="20"/>
          <w:u w:val="none"/>
          <w:effect w:val="none"/>
        </w:rPr>
        <w:t>Form 8-K filed with the SEC on February 6, 2024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/>
          <w:strike w:val="false"/>
          <w:dstrike w:val="false"/>
          <w:sz w:val="20"/>
          <w:u w:val="none"/>
          <w:effect w:val="none"/>
        </w:rPr>
        <w:t xml:space="preserve">and our Annual Report on Form 10-K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/>
          <w:strike w:val="false"/>
          <w:dstrike w:val="false"/>
          <w:sz w:val="20"/>
          <w:u w:val="none"/>
          <w:effect w:val="none"/>
        </w:rPr>
        <w:t>the year ended December 31, 2023, filed with the SEC on February 9, 2024</w:t>
      </w:r>
      <w:r>
        <w:rPr>
          <w:rFonts w:ascii="Times New Roman" w:hAnsi="Times New Roman"/>
          <w:b w:val="false"/>
          <w:i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 also provided certain benefits and perquisites as described more fully under the heading "—Fiscal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in Detail—Perquisites and Other Personal Benefits".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Committee does not maintain a formal policy or formula for allocating the mix of compensation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order to maintain flexibility to respond to business needs and shifts in the marketplace in which the Company must compete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recruit and retain executive talent and also account for individual performance and responsibilities of the NEOs each year.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Therefore, the Compensation Committee retains the authority to review our NEOs’ compensation periodically and to use its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0" name="Image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discretion to adjust the mix of compensation and the amount of any element of compensation as it deems appropriate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NEO. In 2024, the Compensation Committee exercised this authority to adjust the mix of equity and cash compensation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increase the percentage of target equity compensation at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face value for the CEO from 75% to 80% and for the other NEOs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60%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. Please see "—Fiscal 2024 Compensation Decisions" for further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charts below illustrate the allocation of the principal compensation components discussed above for our NEOs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20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KEY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>ELEMENTS OF OUR FISCAL YEAR 2023</w:t>
      </w:r>
      <w:r>
        <w:rPr>
          <w:caps w:val="false"/>
          <w:smallCaps w:val="false"/>
          <w:strike w:val="false"/>
          <w:dstrike w:val="false"/>
          <w:color w:val="007DB6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COMPENSATION PROGRAM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560320" cy="2560320"/>
            <wp:effectExtent l="0" t="0" r="0" b="0"/>
            <wp:docPr id="111" name="Image1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Image111" descr="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2743200" cy="2560320"/>
            <wp:effectExtent l="0" t="0" r="0" b="0"/>
            <wp:docPr id="112" name="Image1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12" descr="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The amounts included in the above charts are based on (1) grant-date fair values for long-term incentive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awards, as disclosed in the Summary Compensation Table below, (2) target cash bonus compensation for Mr. Hult and (3)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/>
          <w:sz w:val="20"/>
        </w:rPr>
        <w:t xml:space="preserve">actual bonuses earned in </w:t>
      </w:r>
      <w:r>
        <w:rPr>
          <w:rFonts w:ascii="Times New Roman" w:hAnsi="Times New Roman"/>
          <w:b w:val="false"/>
          <w:i/>
          <w:strike w:val="false"/>
          <w:dstrike w:val="false"/>
          <w:sz w:val="20"/>
          <w:u w:val="none"/>
          <w:effect w:val="none"/>
        </w:rPr>
        <w:t>2023</w:t>
      </w:r>
      <w:r>
        <w:rPr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/>
          <w:strike w:val="false"/>
          <w:dstrike w:val="false"/>
          <w:sz w:val="20"/>
          <w:u w:val="none"/>
          <w:effect w:val="none"/>
        </w:rPr>
        <w:t>for all other NEOs</w:t>
      </w:r>
      <w:r>
        <w:rPr>
          <w:rFonts w:ascii="Times New Roman" w:hAnsi="Times New Roman"/>
          <w:b w:val="false"/>
          <w:i/>
          <w:sz w:val="20"/>
        </w:rPr>
        <w:t xml:space="preserve">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Fiscal 2023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Compensation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Program in Detail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Base Salary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believe that base salary plays an important role in attracting and retaining top executive talent by providing them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a fixed level of compensation commensurate with the executive’s skill, responsibilities, competencies, experience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performance.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 Compensation Committee reviewed the base salaries of all NEOs. In general, merit salary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increases for the NEOs are provided only in connection with an executive’s promotion or increase in the scope of his or 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responsibilities. As such, Mr. Hult's salary increased due to his promotion from President to Chief Executive Officer and Ms.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Furber's salary increased due to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her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increased scope of responsibilities as Chief Financial Officer and Head of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Development. The base salary for each other NEO was kept consistent with fiscal 2022.</w:t>
      </w:r>
    </w:p>
    <w:tbl>
      <w:tblPr>
        <w:tblW w:w="48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1261"/>
        <w:gridCol w:w="109"/>
        <w:gridCol w:w="1261"/>
        <w:gridCol w:w="109"/>
        <w:gridCol w:w="811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NEO</w:t>
            </w:r>
          </w:p>
        </w:tc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Base Salary at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2022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Base Salary at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Percent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Increase</w:t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Billy Hult</w:t>
            </w:r>
          </w:p>
        </w:tc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$660,000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$750,000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14%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Sara Furber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$500,000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$600,000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20%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Thomas Pluta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N/A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$700,000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N/A  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Enrico Bruni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£300,000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£300,000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%</w:t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Justin Peterson</w:t>
            </w:r>
          </w:p>
        </w:tc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$400,000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$400,000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%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Annual Cash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Chief Executive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 is party to an employment agreement with TWM LLC (described further below in the section titled "Executive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Compensation Tables—Narrative Disclosure to Summary Compensation Table and Grants of Plan-Based Awards Table—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3" name="Image1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1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auto" w:val="clear"/>
        </w:rPr>
        <w:t>94%</w:t>
      </w:r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6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6"/>
          <w:shd w:fill="auto" w:val="clear"/>
        </w:rPr>
        <w:t>AT-RISK PAY</w:t>
      </w:r>
    </w:p>
    <w:p>
      <w:pPr>
        <w:pStyle w:val="TextBody"/>
        <w:bidi w:val="0"/>
        <w:spacing w:lineRule="atLeast" w:line="20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auto" w:val="clear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auto" w:val="clear"/>
        </w:rPr>
        <w:t>94%</w:t>
      </w:r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6"/>
          <w:shd w:fill="auto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z w:val="16"/>
          <w:shd w:fill="auto" w:val="clear"/>
        </w:rPr>
        <w:t>AT-RISK PAY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Agreements with our Named Executive Officers") pursuant to which he is entitled to an annual cash bonus based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Company performance. For calendar year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, Mr. Hult had a target bonus opportunity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$2,250,000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(down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$4,125,000 in 2022)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Achievement of the annual bonus is based on the Company’s attainment of certain performance goals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set annually by the Compensation Committee. The Compensation Committee sets the target performance goals each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based on the budget that is approved by the Board in the preceding quarter, reflecting a rigorous goal for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designed to motivate executives and drive performance. The maximum performance goals are set at a level that represents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significant out performance versus target, while thresholds are set at a level that still represents meaningful year-over-year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growth. The actual amount paid to Mr. Hult can be greater or less than the target bonus depending on the extent to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these goals are achieved (or exceeded) using straight-line interpolation between target and achievement above or below,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applicable, target amounts.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total payout can range from 0% to 150%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target (down from a maximum of 225% in 2022).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2023, achievement of the annual bonus was based 50% on attainment of target constant currency revenue growth versus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prior year achievement and 50% on attainment of target constant currency Adjusted EBITDA margin.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table below sets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forth the relevant pay-for-performance scales for calendar year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828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109"/>
        <w:gridCol w:w="1441"/>
        <w:gridCol w:w="109"/>
        <w:gridCol w:w="1516"/>
        <w:gridCol w:w="109"/>
        <w:gridCol w:w="1486"/>
        <w:gridCol w:w="109"/>
        <w:gridCol w:w="1606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Level of Performance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Achieved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Constant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Currency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Revenue Growth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(50% of Bonus)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Payout as a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Percentage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of Target Bonus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Constant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Currency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Adjusted EBITDA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Margin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(50% of Bonus)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Payout as a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Percentage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of Target Bonus 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80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Threshold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3.0%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0%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48.3%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Target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51.8%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180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Maximum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12.0%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75%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52.0%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75%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(1)For actual performance achieved between goals, payout as a percentage of target bonus is calculated on a straight-line interpolation basis between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threshold, target and maximum performance, as applicable.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Based on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 performance, as confirmed by the Compensation Committee, the Company achieved constant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currency revenue growth of 12.2%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constant currency Adjusted EBITDA margin of 52.3%, resulting in 75%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achievement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with respect to the constant currency revenue growth portion of the annual bonus target and 75%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achievement with respect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constant currency Adjusted EBITDA margin portion of the annual bonus target. As such, Mr. Hult was entitled to a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at 150% of his target bonus amount, resulting in an earned bonus of $3,375,000.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>NEOs other than the Chief Executive Officer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Ms. Furber, Mr. Pluta, Mr. Bruni and Mr. Peterson were each eligible to receive a cash bonus pursuant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general employee cash bonus program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Each year the Compensation Committee approves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methodology for determining the maximum size of the cash bonus pool for the upcoming year eligible for annual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grants to employees other than the Chief Executive Officer. The maximum size of the bonus pool is increased or decreased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based on achievement of specified Company performance goals.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, for achievement above target 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set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11.0%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constant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currency revenue growth)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bonus pool could increase up to $0.25 per $1.00 of constant currency revenue growth.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achievement below target, the bonus pool must decrease a minimum of $0.15 per $1.00 of constant currency revenue growth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missed.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full year constant currency revenue growth above or below target, a straight-line interpolation between target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achievement above or below, as applicable, the target amount is used to calculate the bonus amount. The bonus pool does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have a "cap" or "floor" for achievement above or below target. We believe that the annual cash bonus program provides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important incentives to motivate achievement of the Company’s goals for the forthcoming fiscal year. We do not provide for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guaranteed bonus payouts for NEOs (except for historical bonuses in the year of the individual’s hire). Based 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performance, the Company exceeded its target with constant currency r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evenue growth of 12.2%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resulting in a bonus pool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above the target pool.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Allocations of awards from the bonus pool are based on individual considerations, including individual performance,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well as Company performance as a whole. The Company does not allocate bonuses based on set metrics in order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a flexible bonus program designed to reward individual accomplishments. Individual considerations may include, but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not limited to, the executive’s ability to manage expenses within a forecasted budget and, as applicable, achieve forecasted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revenue projections.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2023, Mr. Hult recommended an initial proposed bonus allocation for each executive officer,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amount was approved by the Compensation Committee. The Compensation Committee also authorized Mr. Hult to make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reasonable adjustments to those amounts for executive officers as he deemed appropriate based on an executive officer’s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and the remainder of cash left in the general bonus pool.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 to the Company’s strong financial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performance, individual considerations when allocating bonuses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included, but were not limited to: 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i) for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Ms. Furber,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her strategic focus on overall business performance, as well as the Company's M&amp;A activity during the year, (ii) for Mr.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4" name="Image1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Pluta, his management of the U.S. businesses and oversight of the risk and compliance functions, (iii) for Mr. Bruni, 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oversight and growth of the international business, and (iv) for Mr. Peterson, his strategic focus on key technology projects,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well as talent development.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light of their individual performance, each of Ms. Furber, Mr. Pluta, Mr. Bruni and Mr. Peterson received final bonus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amounts as reflected in the table below with respect to performance for calendar year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The final bonuses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individual were approved by the Compensation Committee and adjusted by Mr. Hult in his reasonable discretion as described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above. </w:t>
      </w:r>
    </w:p>
    <w:tbl>
      <w:tblPr>
        <w:tblW w:w="30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1546"/>
        <w:gridCol w:w="271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NEO</w:t>
            </w:r>
          </w:p>
        </w:tc>
        <w:tc>
          <w:tcPr>
            <w:tcW w:w="15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Final FY23 Annual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Cash Bonus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Earned</w:t>
            </w:r>
          </w:p>
        </w:tc>
        <w:tc>
          <w:tcPr>
            <w:tcW w:w="2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Sara Furber</w:t>
            </w:r>
          </w:p>
        </w:tc>
        <w:tc>
          <w:tcPr>
            <w:tcW w:w="15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$1,800,000</w:t>
            </w:r>
          </w:p>
        </w:tc>
        <w:tc>
          <w:tcPr>
            <w:tcW w:w="2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Thomas Pluta</w:t>
            </w:r>
          </w:p>
        </w:tc>
        <w:tc>
          <w:tcPr>
            <w:tcW w:w="15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$2,200,000</w:t>
            </w:r>
          </w:p>
        </w:tc>
        <w:tc>
          <w:tcPr>
            <w:tcW w:w="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Enrico Bruni</w:t>
            </w:r>
          </w:p>
        </w:tc>
        <w:tc>
          <w:tcPr>
            <w:tcW w:w="15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$1,753,810</w:t>
            </w:r>
          </w:p>
        </w:tc>
        <w:tc>
          <w:tcPr>
            <w:tcW w:w="2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(1)</w:t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Justin Peterson</w:t>
            </w:r>
          </w:p>
        </w:tc>
        <w:tc>
          <w:tcPr>
            <w:tcW w:w="154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$1,225,000</w:t>
            </w:r>
          </w:p>
        </w:tc>
        <w:tc>
          <w:tcPr>
            <w:tcW w:w="27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(1)Amount for Mr. Bruni was received in British pounds and is reflected in U.S. dollars based on a conversion rate of 1.2373.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Long-Term Equity Incentives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main objectives of our long-term equity incentive program are to: (1) incentivize our executives to work toward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achievement of both our short- and long-term performance goals, (2) provide competitive compensation opportunities in order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attract and retain key individuals, (3) promote retention of executives through multi-year vesting periods and (4) create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strong alignment with stockholders’ interests by fostering an "ownership mentality" among our executives. We believe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objectives are accomplished through the equity compensation program described below.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2019 Omnibus Equity Incentive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year the Compensation Committee establishes an aggregate pool for equity awards to be granted to employees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year. The Compensation Committee then allocates awards under that pool to the Chief Executive Officer based on 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 for the prior year. For all other NEOs, the Chief Executive Officer recommends allocations based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executive’s performance for the prior year, taking into consideration their annual cash bonus amounts for such year.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Committee reviews and approves such amounts, but has authorized the Chief Executive Officer to make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reasonable adjustments following its approval in his reasonable discretion.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equity awards included RSUs, PRSUs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PSUs under the Tradeweb Markets Inc. 2019 Omnibus Equity Incentive Plan (the "Equity Plan"), the material terms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which are described below.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>RSUs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 awards RSUs to executives under the Equity Plan. The RSUs vest annually over three years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grant date contingent on the executive’s continued employment on the applicable vesting date. The RSUs are settled in Class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common stock on the first trading date following the date of vesting and accumulate dividend equivalent rights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grant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>PRSUs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 to RSUs, the Company also awards PRSUs to executives under the Equity Plan. Each year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Committee establishes performance goals for the applicable plan year and the number of PRSUs ultimately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earned pursuant to each award is based on the extent to which the performance goals are achieved, referred to as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performance modifier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performance modifier is based on Company performance during the applicable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period.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performance modifier for PRSU grants made in calendar year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based 50% on constant currency revenue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growth and 50% on constant currency Adjusted EBITDA margin. The table below displays the relevant goals for calendar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potential performance modifier based on achievement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these goals, which ranged from 0% to 250%.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believe that constant currency Adjusted EBITDA margin and constant currency revenue growth are important metrics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measure the underlying performance of the business and therefore relevant for purposes of establishing performance goals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compensation. We strive in all cases to establish rigorous performance goals for the Company to motivate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executives and drive performance above budget. The maximum performance goals for the 2023 PRSUs were set at a level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represented significant out performance versus budget, while thresholds were set at a level that still represented meaningful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year-over-year growth.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these performance goals were set based on a one-year period to ensure executives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motivated on a year-to-year basis. For PRSUs granted in 2024, the performance goals were set to vest based on achievement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44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5" name="Image1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1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three-year CAGR targets for constant currency revenue growth and constant currency Adjusted EBITDA performance.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Please see "—Fiscal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Decisions" for more information regarding this change. The performance metrics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PRSU grants made in 2023, and the applicable performance modifier based on achievement of those targets, are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follows:</w:t>
      </w:r>
    </w:p>
    <w:tbl>
      <w:tblPr>
        <w:tblW w:w="81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1801"/>
        <w:gridCol w:w="1801"/>
        <w:gridCol w:w="1966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Level of Performance Achieved</w:t>
            </w:r>
          </w:p>
        </w:tc>
        <w:tc>
          <w:tcPr>
            <w:tcW w:w="180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Constant Currency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Revenue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Growth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(50% of Performance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Modifier)</w:t>
            </w:r>
          </w:p>
        </w:tc>
        <w:tc>
          <w:tcPr>
            <w:tcW w:w="180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Constant Currency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EBITDA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Margin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(50% of Performance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Modifier)</w:t>
            </w:r>
          </w:p>
        </w:tc>
        <w:tc>
          <w:tcPr>
            <w:tcW w:w="19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Performance Modifier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258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Threshold</w:t>
            </w:r>
          </w:p>
        </w:tc>
        <w:tc>
          <w:tcPr>
            <w:tcW w:w="180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3.0%</w:t>
            </w:r>
          </w:p>
        </w:tc>
        <w:tc>
          <w:tcPr>
            <w:tcW w:w="180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48.3%</w:t>
            </w:r>
          </w:p>
        </w:tc>
        <w:tc>
          <w:tcPr>
            <w:tcW w:w="19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25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Target</w:t>
            </w:r>
          </w:p>
        </w:tc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11.0%</w:t>
            </w:r>
          </w:p>
        </w:tc>
        <w:tc>
          <w:tcPr>
            <w:tcW w:w="180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51.8%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25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Above Target</w:t>
            </w:r>
          </w:p>
        </w:tc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13.0%</w:t>
            </w:r>
          </w:p>
        </w:tc>
        <w:tc>
          <w:tcPr>
            <w:tcW w:w="18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52.3%</w:t>
            </w:r>
          </w:p>
        </w:tc>
        <w:tc>
          <w:tcPr>
            <w:tcW w:w="19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200%</w:t>
            </w:r>
          </w:p>
        </w:tc>
      </w:tr>
      <w:tr>
        <w:trPr/>
        <w:tc>
          <w:tcPr>
            <w:tcW w:w="258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Maximum</w:t>
            </w:r>
          </w:p>
        </w:tc>
        <w:tc>
          <w:tcPr>
            <w:tcW w:w="180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14.5%</w:t>
            </w:r>
          </w:p>
        </w:tc>
        <w:tc>
          <w:tcPr>
            <w:tcW w:w="180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52.8%</w:t>
            </w:r>
          </w:p>
        </w:tc>
        <w:tc>
          <w:tcPr>
            <w:tcW w:w="19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250%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(1)For actual performance achieved between goals, the performance modifier will be determined based on a straight-line interpolation basis between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threshold, target, above target and maximum performance, as applicable.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Based on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performance, as confirmed by the Compensation Committee, the Company achieved constant currency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revenue growth of 12.2%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>and constant currency Adjusted EBITDA margin of 52.3%,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resulting in a performance modifier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181.3%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the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PRSUs. Once the performance modifier (and therefore, the number of shares ultimately eligible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earned) is determined, there is a two-year additional time-vesting period, with the final vesting date being on January 1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following the third calendar year in which the award is first outstanding. The performance modifier is applied to all 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PRSUs at the time of settlement, which occurs on the first trading day following vesting of the award.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PRSUs granted to the NEOs are settled exclusively in Class A common stock, less any withholding and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taxes associated with the settlement of the PRSUs. In addition, the PRSUs accumulate dividend equivalent rights in respect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dividends paid on the Class A common stock (on a one Class A common stock to one PRSU basis) from January 1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applicable calendar year in which the relevant award was granted through the relevant vesting date. To the extent the PRSUs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gave rise to any dividend equivalent right are forfeited upon a termination, those dividend equivalent rights will also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forfeited. Dividend equivalent rights accumulated and not forfeited are added to, and are paid at the same time and in the same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form as, payments in respect of the related PRSUs as set forth above.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>PSUs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Further, the Company awards PSUs to executives under the Equity Plan. PSUs are performance-based restricted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units that vest based on market conditions. PSUs cliff vest on January 1 of the third calendar year from the calendar year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grant date. The number of shares of Class A common stock that an executive will receive upon vesting is determined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 modifier, which is adjusted as a result of the Company’s total shareholder return over a three-year performance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period.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performance modifier can vary between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0% (minimum) and 250% (maximum) of the target (100%) award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amount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grant date fair value of the PSUs is determined using the Monte Carlo simulation model.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believes that the three-year performance period applicable to the PSUs increases the alignment of the executives’ interests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stockholders to incentivize long-term value creation.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TSR targets for the PSU grants made in 2023,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applicable performance modifier based on achievement of those targets, are as follows:</w:t>
      </w:r>
    </w:p>
    <w:tbl>
      <w:tblPr>
        <w:tblW w:w="63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91"/>
        <w:gridCol w:w="2761"/>
        <w:gridCol w:w="1966"/>
      </w:tblGrid>
      <w:tr>
        <w:trPr/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9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Performance Level</w:t>
            </w:r>
          </w:p>
        </w:tc>
        <w:tc>
          <w:tcPr>
            <w:tcW w:w="27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Cumulative Absolute TSR for the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Performance Period</w:t>
            </w:r>
          </w:p>
        </w:tc>
        <w:tc>
          <w:tcPr>
            <w:tcW w:w="19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Performance Modifier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59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Below Threshold</w:t>
            </w:r>
          </w:p>
        </w:tc>
        <w:tc>
          <w:tcPr>
            <w:tcW w:w="27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Less than 15%</w:t>
            </w:r>
          </w:p>
        </w:tc>
        <w:tc>
          <w:tcPr>
            <w:tcW w:w="19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Threshold</w:t>
            </w:r>
          </w:p>
        </w:tc>
        <w:tc>
          <w:tcPr>
            <w:tcW w:w="27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Equal to 15%</w:t>
            </w:r>
          </w:p>
        </w:tc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50%</w:t>
            </w:r>
          </w:p>
        </w:tc>
      </w:tr>
      <w:tr>
        <w:trPr/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Target</w:t>
            </w:r>
          </w:p>
        </w:tc>
        <w:tc>
          <w:tcPr>
            <w:tcW w:w="2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Equal to 30%</w:t>
            </w:r>
          </w:p>
        </w:tc>
        <w:tc>
          <w:tcPr>
            <w:tcW w:w="19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</w:t>
            </w:r>
          </w:p>
        </w:tc>
      </w:tr>
      <w:tr>
        <w:trPr/>
        <w:tc>
          <w:tcPr>
            <w:tcW w:w="159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Maximum</w:t>
            </w:r>
          </w:p>
        </w:tc>
        <w:tc>
          <w:tcPr>
            <w:tcW w:w="276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Equal to or Greater Than 50%</w:t>
            </w:r>
          </w:p>
        </w:tc>
        <w:tc>
          <w:tcPr>
            <w:tcW w:w="19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250%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        For actual performance achieved between goals, the performance modifier will be determined based on straight-line interpolation between maximum,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target, threshold and below threshold performance, as applicable.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table below sets forth the RSUs, PRSUs and PSUs granted to the NEOs in 2023. Executives were awarded a 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grant value approved by the Compensation Committee. The number of RSUs and PRSUs awarded was determined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closing price of the Class A common stock on the date prior to the grant date. The number of PSUs awarded was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determined based on the trailing 20-trading day average of the closing price of the Class A common stock through the grant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date. The settlement of PSUs will be determined based on the company’s highest average closing price of the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common stock for any consecutive 20-trading day period during the last calendar year of the performance period. The number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PRSUs and PSUs included in the table below is based on a 100%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modifier, which was the target achievement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6" name="Image1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at the time of grant. We believe that the mix of RSUs, PRSUs and PSUs granted to our NEOs directly correlates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objectives and philosophy. By linking the performance modifiers to important metrics of Company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and total shareholder return, the NEOs’ interests are aligned with those of stockholders to drive revenue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margin growth. </w:t>
      </w:r>
    </w:p>
    <w:tbl>
      <w:tblPr>
        <w:tblW w:w="83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109"/>
        <w:gridCol w:w="736"/>
        <w:gridCol w:w="109"/>
        <w:gridCol w:w="931"/>
        <w:gridCol w:w="109"/>
        <w:gridCol w:w="646"/>
        <w:gridCol w:w="931"/>
        <w:gridCol w:w="661"/>
        <w:gridCol w:w="226"/>
        <w:gridCol w:w="931"/>
        <w:gridCol w:w="226"/>
        <w:gridCol w:w="1284"/>
        <w:gridCol w:w="216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NEO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2023</w:t>
            </w:r>
            <w:r>
              <w:rPr>
                <w:caps w:val="false"/>
                <w:smallCaps w:val="false"/>
                <w:strike w:val="false"/>
                <w:dstrike w:val="false"/>
                <w:color w:val="002856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PRSUs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(1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(#)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Approved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PRSUs at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Time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Grant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2023</w:t>
            </w:r>
            <w:r>
              <w:rPr>
                <w:caps w:val="false"/>
                <w:smallCaps w:val="false"/>
                <w:strike w:val="false"/>
                <w:dstrike w:val="false"/>
                <w:color w:val="002856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PSUs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(3)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(#)</w:t>
            </w:r>
          </w:p>
        </w:tc>
        <w:tc>
          <w:tcPr>
            <w:tcW w:w="9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Approved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PSUs at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Time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Grant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(2)</w:t>
            </w:r>
          </w:p>
        </w:tc>
        <w:tc>
          <w:tcPr>
            <w:tcW w:w="6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2023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RSUs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(1)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(#)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Approved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RSUs at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 xml:space="preserve">Time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7"/>
                <w:u w:val="none"/>
                <w:effect w:val="none"/>
              </w:rPr>
              <w:t>Grant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1"/>
                <w:u w:val="none"/>
                <w:effect w:val="none"/>
              </w:rPr>
              <w:t>(2)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0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Aggregate Approved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Value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of PRSUs, PSUs and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RSUs at Time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Grant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EEDFE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Billy Hult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43,128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$3,000,000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41,969</w:t>
            </w:r>
          </w:p>
        </w:tc>
        <w:tc>
          <w:tcPr>
            <w:tcW w:w="93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$3,000,000</w:t>
            </w:r>
          </w:p>
        </w:tc>
        <w:tc>
          <w:tcPr>
            <w:tcW w:w="6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43,128</w:t>
            </w:r>
          </w:p>
        </w:tc>
        <w:tc>
          <w:tcPr>
            <w:tcW w:w="2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(3)</w:t>
            </w:r>
          </w:p>
        </w:tc>
        <w:tc>
          <w:tcPr>
            <w:tcW w:w="93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$3,000,000</w:t>
            </w:r>
          </w:p>
        </w:tc>
        <w:tc>
          <w:tcPr>
            <w:tcW w:w="2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1"/>
              </w:rPr>
              <w:t>(3)</w:t>
            </w:r>
          </w:p>
        </w:tc>
        <w:tc>
          <w:tcPr>
            <w:tcW w:w="1284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$9,000,000</w:t>
            </w:r>
          </w:p>
        </w:tc>
        <w:tc>
          <w:tcPr>
            <w:tcW w:w="2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Sara Furber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18,688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$1,300,000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36,373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$2,600,000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18,688</w:t>
            </w:r>
          </w:p>
        </w:tc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$1,300,000</w:t>
            </w:r>
          </w:p>
        </w:tc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$5,200,000</w:t>
            </w:r>
          </w:p>
        </w:tc>
        <w:tc>
          <w:tcPr>
            <w:tcW w:w="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EEDFE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Thomas Pluta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29,470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$2,050,000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36,373</w:t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$2,600,000</w:t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29,470</w:t>
            </w:r>
          </w:p>
        </w:tc>
        <w:tc>
          <w:tcPr>
            <w:tcW w:w="2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$2,050,000</w:t>
            </w:r>
          </w:p>
        </w:tc>
        <w:tc>
          <w:tcPr>
            <w:tcW w:w="2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$6,700,000</w:t>
            </w:r>
          </w:p>
        </w:tc>
        <w:tc>
          <w:tcPr>
            <w:tcW w:w="2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Enrico Bruni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17,819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$1,239,526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36,373</w:t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$2,600,000</w:t>
            </w:r>
          </w:p>
        </w:tc>
        <w:tc>
          <w:tcPr>
            <w:tcW w:w="6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17,819</w:t>
            </w:r>
          </w:p>
        </w:tc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$1,239,526</w:t>
            </w:r>
          </w:p>
        </w:tc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$5,079,052</w:t>
            </w:r>
          </w:p>
        </w:tc>
        <w:tc>
          <w:tcPr>
            <w:tcW w:w="2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Justin Peterson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13,729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$955,000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36,373</w:t>
            </w:r>
          </w:p>
        </w:tc>
        <w:tc>
          <w:tcPr>
            <w:tcW w:w="93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$2,600,000</w:t>
            </w:r>
          </w:p>
        </w:tc>
        <w:tc>
          <w:tcPr>
            <w:tcW w:w="6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13,729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$955,000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$4,510,000</w:t>
            </w:r>
          </w:p>
        </w:tc>
        <w:tc>
          <w:tcPr>
            <w:tcW w:w="216" w:type="dxa"/>
            <w:tcBorders>
              <w:bottom w:val="single" w:sz="8" w:space="0" w:color="00336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(1)The number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RSUs and PRSUs granted was determined based on a price of $69.56, which was the closing price of the Class A common stock 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the trading day prior to the grant date.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(2)Approved g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rant values shown above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differ from the values shown in the Summary Compensation Table and Grants of Plan-Based Awards tables, which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present value based on the fair value on grant date in accordance with Financial Accounting Standard Board Accounting Standards Codification Topic 718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("FASB ASC Topic 718") and also reflect rounding differences in the number of RSUs, PRSUs and PSUs granted.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(3)The number of 2023 PSUs granted was determined based on a price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$71.48,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which was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the trailing 20-trading day average of the closing price of the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Class A common stock through the grant date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RSUs, PRSUs and PSUs awarded to our NEOs provide for accelerated vesting upon the occurrence of certain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events,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such as certain terminations of employment or a change in control, as described below in the section titled "Executive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Tables—Potential Payments upon Termination or Change in Control". For a description of RSUs, PRSUs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PSUs held by NEOs that were outstanding under the Equity Plan as of the end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see the table titled "Executive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Compensation Tables—Outstanding Equity Awards at Fiscal Year-End".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Legacy Equity Plans—Options and PRSUs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Hult, Mr. Bruni and Mr. Peterson each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hold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awards under the Amended and Restated Tradeweb Markets Inc. 2018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 Option Plan (previously the TWM LLC 2018 Share Option Plan, which is a pre-IPO plan that was amended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restated at the time of our IPO) (the "Option Plan").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Prior to our IPO, each of Mr. Hult, Mr. Bruni and Mr. Peterson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granted options to purchase Class A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(the "Options") under the Option Plan, which vested based on continued employment and achievement of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 goals through the end of 2021. The Options all fully vested in the beginning of 2022 following the determination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2021 performance.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each of Mr. Hult, Mr. Bruni and Mr. Peterson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granted PRSUs in 2019 under the Amended &amp; Restated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Tradeweb Markets Inc. PRSU Plan (previously the TWM LLC PRSU Plan, which is a pre-IPO plan that was amended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restated at the time of our IPO) (the "PRSU Plan"). The PRSUs granted under the PRSU Plan were subject to terms similar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those granted under the Equity Plan, as described above. Outstanding PRSUs granted under the PRSU Plan vested and settled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2022.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Other Benefits and Perquisites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Retirement Plans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 maintains a tax-qualified defined contribution plan (the "401(k) Plan") that provides retirement benefits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employees, including matching contributions. Each of Mr. Hult, Ms. Furber, Mr. Pluta and Mr. Peterson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was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eligible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participate in the 401(k) Plan on the same terms as other participating employees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Mr. Bruni was eligible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participate in the Company’s contributory pension scheme for employees located in Europe on the same terms as other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participating employees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Perquisites and Other Personal Benefits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 provides the NEOs with perquisites and other personal benefits, or an allowance for certain perquisites,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it believes are reasonable and consistent with its overall compensation program to better enable the Company to attract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retain key individuals.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Such pe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rquisites and benefits include (i) financial planning services, (ii) executive life insurance,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(iii) group life insurance, (iv) executive long-term disability insurance, (v) excess liability insurance and (vi) in the case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Mr. Hult, reimbursement of legal expenses incurred in the negotiation of his employment agreement.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46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7" name="Image1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1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/>
          <w:strike w:val="false"/>
          <w:dstrike w:val="false"/>
          <w:color w:val="002856"/>
          <w:sz w:val="18"/>
          <w:u w:val="none"/>
          <w:effect w:val="none"/>
        </w:rPr>
        <w:t xml:space="preserve">Other Matters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Committee adopted an Omnibus Clawback Policy, effective as of October 2, 2023, in accordance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Exchange Act Rule 10D-1 and Nasdaq listing standards. The Omnibus Clawback Policy applies to current and former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officers of the Company as defined in Rule 10D-1, including the NEOs, and is administered by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Committee. In the event that the Company is required to prepare an accounting restatement to correct material noncompliance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any financial reporting requirement under U.S. federal securities laws, including restatements that correct an error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previously issued financial statements that is material to the previously issued financial statements or that would result in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material misstatement if the error were corrected in the current period or left uncorrected in the current period, it is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Company's policy to recover incentive-based compensation awarded to executive officers that was calculated and paid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erroneous financial statements. The recovery of such compensation applies regardless of whether an executive officer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engaged in misconduct or otherwise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caused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contributed to the requirement for a restatement. Other incentive-based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compensation, including time-based short-term or long-term equity or other incentive awards, may also be recovered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Compensation Committee's discretion.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Securities Trading Policy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promote alignment of the interests of our stockholders and executive officers, including our NEOs,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compliance with applicable securities laws, the Company’s Securities Trading Policy (i) prohibits all employees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engaging in transactions involving the Company’s stock based on material non-public information or communicating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non-public information to any person who uses that information to purchase or sell Company securities and (ii) requires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directors, executive officers (including the NEOs) and certain other designated employees (as identified in the Securities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Trading Policy) to preclear any trading in Company securities, whether or not during an open trade window (except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respect to the exercise of options not involving a market sale to generate cash to pay the exercise price, the vesting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restricted stock or restricted stock unit awards or transactions in accordance with a previously established trading plan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meets SEC requirements). In addition, as part of our Securities Trading Policy, (i) directors, officers or employees and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 covered persons (as identified in the Securities Trading Policy), whether or not they possess material non-public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information, may not trade in options, warrants, puts, calls or similar instruments on the Company’s securities or engage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short shares, (ii) no directors, officers or employees may engage in any transactions (including variable forward contracts,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equity swaps, collars and exchange funds) that are designed to hedge or offset any decrease in the market value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equity securities and (iii) no directors, officers or employees, whether or not in possession of material non-public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information, may purchase the Company’s securities on margin, or borrow against any account in which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securities are held, or pledge the Company’s securities as collateral for a loan, without first obtaining pre-clearance.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Tax and Accounting Considerations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Committee considers tax and accounting implications in its executive compensation determinations,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although in some cases, other important considerations may outweigh tax or accounting considerations and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maintains the flexibility to compensate its officers in accordance with the Company’s compensation philosophy. 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Fiscal 2024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Compensation Decisions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Compensation Committee has approved several items related to the Company’s 2024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January 2024, the Compensation Committee approved a change to the PRSU design. The PRSUs granted in March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2024 will vest based on achievement of three-year CAGR targets for constant currency revenue growth and constant currency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Adjusted EBITDA performance. Target achievement was set at 100%, with modifiers ranging from 0% to 250%. 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achievement was set at rigorous levels based on the Company's internal forecasting and budgeting process.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 believes that the three-year performance period applicable to the PRSUs increases the alignment of the executives’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 with stockholders to incentivize long-term value creation.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in November 2023, the Compensation Committee determined to include PSUs as part of the go-forward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equity mix for all NEOs as part of their annual compensation in 2024. In 2023, Mr. Hult was awarded PSUs as part of 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compensation, but the other NEOs were awarded one-time PSU grants. The Compensation Committee believes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PSUs, which have a three-year performance period tied to total shareholder return, as part of the equity mix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included in each NEO's annual compensation will further align executive and stockholder interests.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Further, in January 2024, the Compensation Committee determined to increase (i) the percentage of Mr. Hult's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target compensation awarded in equity from 75% in 2023 to 80% in 2024 and (ii) the percentage of all other NEOs'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target compensation awarded in equity from an average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55%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2023 (excluding the one-time PSU award in 2023) to 60%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8" name="Image1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2024. The Compensation Committee believes that this change further incentivizes the NEOs to drive long-term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the Compensation Committee determined that Mr. Hult's 2024 annual cash bonus will be based on constant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currency revenue growth (50%) and constant currency Adjusted EBITDA margin (50%) with a maximum payout level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150%, consistent with 2023, and that the 2024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annual cash bonus pool for employees other than the CEO will be determined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based on constant currency revenue growth.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Finally, to assist in setting executive compensation for fiscal 2024, the Compensation Committee discussed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ClearBridge establishing a compensation peer group to use as external context for assessing the Company's pay level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practices. To best inform pay decisions based on where the Company competes for talent,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considered the following criteria for identifying peer companies: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Business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: companies in related industries and business areas or companies that compete with us for executive talent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(such as financial exchanges, electronic trading platforms and other related businesses, as well as fintech companies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more broadly)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Size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: companies with comparable revenue and market capitalization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/>
          <w:sz w:val="20"/>
        </w:rPr>
        <w:t>Peers of Select Companies/Groups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: companies included in competitors' peer groups and peers designated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shareholder advisory firms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Based on the criteria above, the Compensation Committee selected the following peer group of companies to assist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compensation decisions for fiscal 2024.</w:t>
      </w:r>
    </w:p>
    <w:tbl>
      <w:tblPr>
        <w:tblW w:w="45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61"/>
        <w:gridCol w:w="2116"/>
      </w:tblGrid>
      <w:tr>
        <w:trPr/>
        <w:tc>
          <w:tcPr>
            <w:tcW w:w="2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Aspen Technology, Inc.</w:t>
            </w:r>
          </w:p>
        </w:tc>
        <w:tc>
          <w:tcPr>
            <w:tcW w:w="21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MarketAxess Holdings Inc.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BGC Group, Inc.</w:t>
            </w:r>
          </w:p>
        </w:tc>
        <w:tc>
          <w:tcPr>
            <w:tcW w:w="2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Morningstar, Inc.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BILL Holdings, Inc.</w:t>
            </w:r>
          </w:p>
        </w:tc>
        <w:tc>
          <w:tcPr>
            <w:tcW w:w="2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MSCI Inc.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Cboe Global Markets, Inc.</w:t>
            </w:r>
          </w:p>
        </w:tc>
        <w:tc>
          <w:tcPr>
            <w:tcW w:w="2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Nasdaq, Inc.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FactSet Research Systems Inc.</w:t>
            </w:r>
          </w:p>
        </w:tc>
        <w:tc>
          <w:tcPr>
            <w:tcW w:w="2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Q2 Holdings, Inc.</w:t>
            </w:r>
          </w:p>
        </w:tc>
      </w:tr>
      <w:tr>
        <w:trPr/>
        <w:tc>
          <w:tcPr>
            <w:tcW w:w="24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Fair Isaac Corporation</w:t>
            </w:r>
          </w:p>
        </w:tc>
        <w:tc>
          <w:tcPr>
            <w:tcW w:w="2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SEI Investments Company</w:t>
            </w:r>
          </w:p>
        </w:tc>
      </w:tr>
      <w:tr>
        <w:trPr/>
        <w:tc>
          <w:tcPr>
            <w:tcW w:w="24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Guidewire Software, Inc.</w:t>
            </w:r>
          </w:p>
        </w:tc>
        <w:tc>
          <w:tcPr>
            <w:tcW w:w="2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Virtu Financial, Inc.</w:t>
            </w:r>
          </w:p>
        </w:tc>
      </w:tr>
      <w:tr>
        <w:trPr/>
        <w:tc>
          <w:tcPr>
            <w:tcW w:w="246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Interactive Brokers Group, Inc.</w:t>
            </w:r>
          </w:p>
        </w:tc>
        <w:tc>
          <w:tcPr>
            <w:tcW w:w="211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Compensation Committee Report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We, the Compensation Committee of the Board of Directors, reviewed and had the opportunity to discuss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management the Compensation Discussion and Analysis set forth above and, based upon our review, we recommended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that the Compensation Discussion and Analysis be included in this report. This report is provided by the following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members of the Board, who compose the Compensation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Jacques Aigrain, Chairperson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Scott Ganeles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Paula Madoff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48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19" name="Image1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1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EXECUTIVE COMPENSATION TABLES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Summary Compensation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sets forth the compensation paid to the NEOs that is attributable to services performed during fiscal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years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2023, 2022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2021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78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6"/>
        <w:gridCol w:w="466"/>
        <w:gridCol w:w="691"/>
        <w:gridCol w:w="826"/>
        <w:gridCol w:w="916"/>
        <w:gridCol w:w="1066"/>
        <w:gridCol w:w="1006"/>
        <w:gridCol w:w="961"/>
      </w:tblGrid>
      <w:tr>
        <w:trPr/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 and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Principal Position</w:t>
            </w:r>
          </w:p>
        </w:tc>
        <w:tc>
          <w:tcPr>
            <w:tcW w:w="4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</w:t>
            </w:r>
          </w:p>
        </w:tc>
        <w:tc>
          <w:tcPr>
            <w:tcW w:w="69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Salary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Bonus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(2)</w:t>
            </w:r>
          </w:p>
        </w:tc>
        <w:tc>
          <w:tcPr>
            <w:tcW w:w="10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Non-Equity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Incentive Plan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(3)</w:t>
            </w:r>
          </w:p>
        </w:tc>
        <w:tc>
          <w:tcPr>
            <w:tcW w:w="10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(4)</w:t>
            </w:r>
          </w:p>
        </w:tc>
        <w:tc>
          <w:tcPr>
            <w:tcW w:w="9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936" w:type="dxa"/>
            <w:vMerge w:val="restart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Billy Hult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6"/>
              </w:rPr>
              <w:t>Chief Executive Officer</w:t>
            </w:r>
            <w:r>
              <w:rPr>
                <w:rFonts w:ascii="Arial" w:hAnsi="Arial"/>
                <w:b w:val="false"/>
                <w:i/>
                <w:sz w:val="10"/>
              </w:rPr>
              <w:t>(5)</w:t>
            </w:r>
          </w:p>
        </w:tc>
        <w:tc>
          <w:tcPr>
            <w:tcW w:w="4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69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750,000</w:t>
            </w:r>
          </w:p>
        </w:tc>
        <w:tc>
          <w:tcPr>
            <w:tcW w:w="8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9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10,126,779</w:t>
            </w:r>
          </w:p>
        </w:tc>
        <w:tc>
          <w:tcPr>
            <w:tcW w:w="10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3,375,000</w:t>
            </w:r>
          </w:p>
        </w:tc>
        <w:tc>
          <w:tcPr>
            <w:tcW w:w="100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55,879</w:t>
            </w:r>
          </w:p>
        </w:tc>
        <w:tc>
          <w:tcPr>
            <w:tcW w:w="9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14,307,658</w:t>
            </w:r>
          </w:p>
        </w:tc>
      </w:tr>
      <w:tr>
        <w:trPr/>
        <w:tc>
          <w:tcPr>
            <w:tcW w:w="1936" w:type="dxa"/>
            <w:vMerge w:val="continue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660,000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4,200,817</w:t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5,329,500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44,089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10,234,406</w:t>
            </w:r>
          </w:p>
        </w:tc>
      </w:tr>
      <w:tr>
        <w:trPr/>
        <w:tc>
          <w:tcPr>
            <w:tcW w:w="1936" w:type="dxa"/>
            <w:vMerge w:val="continue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660,000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3,684,862</w:t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8,437,500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43,417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12,825,779</w:t>
            </w:r>
          </w:p>
        </w:tc>
      </w:tr>
      <w:tr>
        <w:trPr/>
        <w:tc>
          <w:tcPr>
            <w:tcW w:w="193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Sara Furber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6"/>
              </w:rPr>
              <w:t>Chief Financial Officer</w:t>
            </w:r>
            <w:r>
              <w:rPr>
                <w:rFonts w:ascii="Arial" w:hAnsi="Arial"/>
                <w:b w:val="false"/>
                <w:i/>
                <w:sz w:val="10"/>
              </w:rPr>
              <w:t>(6)</w:t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2023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600,000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1,800,000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6,176,432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17,500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8,593,932</w:t>
            </w:r>
          </w:p>
        </w:tc>
      </w:tr>
      <w:tr>
        <w:trPr/>
        <w:tc>
          <w:tcPr>
            <w:tcW w:w="193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500,000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1,000,000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2,299,835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16,410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3,816,245</w:t>
            </w:r>
          </w:p>
        </w:tc>
      </w:tr>
      <w:tr>
        <w:trPr/>
        <w:tc>
          <w:tcPr>
            <w:tcW w:w="193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159,295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800,000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3,946,830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210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4,906,335</w:t>
            </w:r>
          </w:p>
        </w:tc>
      </w:tr>
      <w:tr>
        <w:trPr/>
        <w:tc>
          <w:tcPr>
            <w:tcW w:w="19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Thomas Pluta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6"/>
              </w:rPr>
              <w:t>President</w:t>
            </w:r>
            <w:r>
              <w:rPr>
                <w:rFonts w:ascii="Arial" w:hAnsi="Arial"/>
                <w:b w:val="false"/>
                <w:i/>
                <w:sz w:val="10"/>
              </w:rPr>
              <w:t>(7)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2023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700,000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2,200,000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7,676,423</w:t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20,488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10,596,911</w:t>
            </w:r>
          </w:p>
        </w:tc>
      </w:tr>
      <w:tr>
        <w:trPr/>
        <w:tc>
          <w:tcPr>
            <w:tcW w:w="193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Enrico Bruni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/>
                <w:sz w:val="16"/>
              </w:rPr>
            </w:pPr>
            <w:r>
              <w:rPr>
                <w:rFonts w:ascii="Arial" w:hAnsi="Arial"/>
                <w:b w:val="false"/>
                <w:i/>
                <w:sz w:val="16"/>
              </w:rPr>
              <w:t>Managing Director,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/>
                <w:sz w:val="16"/>
              </w:rPr>
            </w:pPr>
            <w:r>
              <w:rPr>
                <w:rFonts w:ascii="Arial" w:hAnsi="Arial"/>
                <w:b w:val="false"/>
                <w:i/>
                <w:sz w:val="16"/>
              </w:rPr>
              <w:t>Head of Europe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6"/>
              </w:rPr>
              <w:t>and Asia Business</w:t>
            </w:r>
            <w:r>
              <w:rPr>
                <w:rFonts w:ascii="Arial" w:hAnsi="Arial"/>
                <w:b w:val="false"/>
                <w:i/>
                <w:sz w:val="10"/>
              </w:rPr>
              <w:t>(8)</w:t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2023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371,190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1,753,810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6,055,536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50,667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8,231,203</w:t>
            </w:r>
          </w:p>
        </w:tc>
      </w:tr>
      <w:tr>
        <w:trPr/>
        <w:tc>
          <w:tcPr>
            <w:tcW w:w="193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412,770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2,088,179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1,849,984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48,005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4,398,938</w:t>
            </w:r>
          </w:p>
        </w:tc>
      </w:tr>
      <w:tr>
        <w:trPr/>
        <w:tc>
          <w:tcPr>
            <w:tcW w:w="193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2021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384,750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1,946,427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1,399,992</w:t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45,201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3,776,370</w:t>
            </w:r>
          </w:p>
        </w:tc>
      </w:tr>
      <w:tr>
        <w:trPr/>
        <w:tc>
          <w:tcPr>
            <w:tcW w:w="1936" w:type="dxa"/>
            <w:vMerge w:val="restart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6"/>
              </w:rPr>
              <w:t>Justin Peterson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/>
                <w:sz w:val="16"/>
              </w:rPr>
            </w:pPr>
            <w:r>
              <w:rPr>
                <w:rFonts w:ascii="Arial" w:hAnsi="Arial"/>
                <w:b w:val="false"/>
                <w:i/>
                <w:sz w:val="16"/>
              </w:rPr>
              <w:t>Chief Technology Officer</w:t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2023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400,000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1,225,000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5,486,536</w:t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40,797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7,152,333</w:t>
            </w:r>
          </w:p>
        </w:tc>
      </w:tr>
      <w:tr>
        <w:trPr/>
        <w:tc>
          <w:tcPr>
            <w:tcW w:w="1936" w:type="dxa"/>
            <w:vMerge w:val="continue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400,000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1,350,000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1,609,985</w:t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38,031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3,398,016</w:t>
            </w:r>
          </w:p>
        </w:tc>
      </w:tr>
      <w:tr>
        <w:trPr/>
        <w:tc>
          <w:tcPr>
            <w:tcW w:w="1936" w:type="dxa"/>
            <w:vMerge w:val="continue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46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2021</w:t>
            </w:r>
          </w:p>
        </w:tc>
        <w:tc>
          <w:tcPr>
            <w:tcW w:w="69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375,000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1,350,000</w:t>
            </w:r>
          </w:p>
        </w:tc>
        <w:tc>
          <w:tcPr>
            <w:tcW w:w="9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1,299,951</w:t>
            </w:r>
          </w:p>
        </w:tc>
        <w:tc>
          <w:tcPr>
            <w:tcW w:w="106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— </w:t>
            </w:r>
          </w:p>
        </w:tc>
        <w:tc>
          <w:tcPr>
            <w:tcW w:w="100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37,333</w:t>
            </w:r>
          </w:p>
        </w:tc>
        <w:tc>
          <w:tcPr>
            <w:tcW w:w="9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3,062,284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(1)Ms. Furber, Mr. Pluta, Mr. Bruni and Mr. Peterson each received an annual bonus in respect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as described above in the section titled "Compensation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Discussion and Analysis—Fiscal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Compensation Program in Detail—Annual Cash Bonuses—NEOs other than the Chief Executive Officer".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amounts included in the "Stock Awards" column represent the grant date fair value of RSU awards, PRSU awards and PSU awards computed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in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accordance with FASB ASC Topic 718. Details and assumptions used in calculating the grant date fair value of the RSU, PRSU and PSU awards may be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found in Note 2—Significant Accounting Policies and Note 13—Stock-Based Compensation Plans to our consolidated financial statements in our Annual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Report on Form 10-K for the fiscal year ended December 31, 2023. The grant date fair value of PRSU awards included in this column for each executive is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based on target performance, which in turn, was based on the Company's estimate of the probable outcome of the performance modifier on the grant date.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grant date fair value of PSU awards included in this column for each executive is based on a Monte Carlo simulation model.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In 2023, the PSUs were a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one-time special award for all NEOs other than Mr. Hult as described above in the section titled "Compensation Discussion and Analysis—Fiscal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 Program in Detail—Long-Term Equity Incentives".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The table below sets forth the grant date value of the PRSU and PSU awards assuming the highest level of performance achievement, with such values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calculated by multiplying the maximum number of units that each executive may earn under each award (250%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the target number of units) by the per-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share closing market price of our Class A common stock on the trading day prior to the grant date, which was $69.56. Following finalization of the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audited financials for the fiscal year ended December 31, 2023, a performance modifier o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f 181.3%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was confirmed as having been achieved for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the PRSUs granted in 2023.</w:t>
      </w:r>
    </w:p>
    <w:tbl>
      <w:tblPr>
        <w:tblW w:w="55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2041"/>
        <w:gridCol w:w="2296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NEO</w:t>
            </w:r>
          </w:p>
        </w:tc>
        <w:tc>
          <w:tcPr>
            <w:tcW w:w="204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PRSU Grant Date Value Based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on Maximum Achievement ($)</w:t>
            </w:r>
          </w:p>
        </w:tc>
        <w:tc>
          <w:tcPr>
            <w:tcW w:w="229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PSU Grant Date Fair Value Based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on Maximum Achievement ($)</w:t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Billy Hult</w:t>
            </w:r>
          </w:p>
        </w:tc>
        <w:tc>
          <w:tcPr>
            <w:tcW w:w="204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7,499,959</w:t>
            </w:r>
          </w:p>
        </w:tc>
        <w:tc>
          <w:tcPr>
            <w:tcW w:w="229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7,298,410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Sara Furber</w:t>
            </w:r>
          </w:p>
        </w:tc>
        <w:tc>
          <w:tcPr>
            <w:tcW w:w="20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3,249,843</w:t>
            </w:r>
          </w:p>
        </w:tc>
        <w:tc>
          <w:tcPr>
            <w:tcW w:w="22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6,325,265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Thomas Pluta</w:t>
            </w:r>
          </w:p>
        </w:tc>
        <w:tc>
          <w:tcPr>
            <w:tcW w:w="204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5,124,833</w:t>
            </w:r>
          </w:p>
        </w:tc>
        <w:tc>
          <w:tcPr>
            <w:tcW w:w="22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6,325,265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Enrico Bruni</w:t>
            </w:r>
          </w:p>
        </w:tc>
        <w:tc>
          <w:tcPr>
            <w:tcW w:w="204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3,098,724</w:t>
            </w:r>
          </w:p>
        </w:tc>
        <w:tc>
          <w:tcPr>
            <w:tcW w:w="229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6,325,265</w:t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Justin Peterson</w:t>
            </w:r>
          </w:p>
        </w:tc>
        <w:tc>
          <w:tcPr>
            <w:tcW w:w="204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2,387,473</w:t>
            </w:r>
          </w:p>
        </w:tc>
        <w:tc>
          <w:tcPr>
            <w:tcW w:w="229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6,325,265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(3)The amounts included in the "Non-Equity Incentive Plan Compensation" column reflect Mr. Hult's earned annual performance bonus, which amounts are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based on performance goals set by the Compensation Committee as described above in the section titled "Compensation Discussion and Analysis—Fiscal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Compensation Program in Detail—Annual Cash Bonuses—Chief Executive Officer" and to which he is entitled pursuant to his employment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agreement.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(4)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amounts included in the "All Other Compensation" column for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represent (A) for all executives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other than Mr. Bruni, (i) financial planning services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(other than Ms. Furber and Mr. Pluta), (ii) executive life insurance, (iii) group life insurance, (iv) matching contributions of $13,200 to each executive's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account under the Company’s 401(k) plan, (v) executive long-term disability insurance, and (vi) excess liability insurance (other than Mr. Hult, Ms. Furber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and Mr. Pluta), (B) for Mr. Bruni, (i) annual club membership dues and (ii) contributions to and payments in respect of a contributory pension scheme in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which he participates in an amount equal to $37,119 in the aggregate and (C) for Mr. Hult, reimbursement of legal expenses incurred in the negotiation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his employment agreement in an amount equal to $20,000. The value of any dividend equivalent rights accrued in respect of RSU, PRSU and PSU grants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to the NEOs are not included in the “All Other Compensation” column because those amounts were factored into the grant date fair value for the relevant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RSU, PRSU and PSU grants.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0" name="Image1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49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(5)Mr. Hult served as President of the Company during 2021 and 2022. Effective as of January 1, 2023, Mr. Hult was appointed as Chief Executive Officer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Company.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(6)Ms. Furber was appointed as Chief Financial Officer of the Company effective as of September 7, 2021.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(7)Mr. Pluta was appointed as President of the Company effective as of January 1, 2023.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(8)Amounts included in the "Salary," "Bonus" and "All Other Compensation" columns for Mr. Bruni for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were received in British pounds and are reflected in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U.S. dollars based on a conversion rate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1.2373.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Grants of Plan-Based Awards</w:t>
      </w:r>
      <w:r>
        <w:rPr>
          <w:caps w:val="false"/>
          <w:smallCaps w:val="false"/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summarizes the awards granted to each of the NEOs during the fiscal year 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December 31,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2023. </w:t>
      </w:r>
    </w:p>
    <w:tbl>
      <w:tblPr>
        <w:tblW w:w="9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06"/>
        <w:gridCol w:w="826"/>
        <w:gridCol w:w="826"/>
        <w:gridCol w:w="961"/>
        <w:gridCol w:w="676"/>
        <w:gridCol w:w="826"/>
        <w:gridCol w:w="826"/>
        <w:gridCol w:w="676"/>
        <w:gridCol w:w="601"/>
        <w:gridCol w:w="691"/>
        <w:gridCol w:w="601"/>
        <w:gridCol w:w="871"/>
      </w:tblGrid>
      <w:tr>
        <w:trPr/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8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  <w:t>Estimated Future Payouts Under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  <w:t>Non-Equity Incentive Plan Awards</w:t>
            </w:r>
          </w:p>
        </w:tc>
        <w:tc>
          <w:tcPr>
            <w:tcW w:w="1968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  <w:t>Estimated Future Payouts Under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3366"/>
                <w:sz w:val="12"/>
                <w:u w:val="none"/>
                <w:effect w:val="none"/>
              </w:rPr>
              <w:t>Equity Incentive Plan Awards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Name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Grant Date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Approval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Date</w:t>
            </w:r>
          </w:p>
        </w:tc>
        <w:tc>
          <w:tcPr>
            <w:tcW w:w="9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Award Type</w:t>
            </w:r>
          </w:p>
        </w:tc>
        <w:tc>
          <w:tcPr>
            <w:tcW w:w="67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(1)</w:t>
            </w:r>
          </w:p>
        </w:tc>
        <w:tc>
          <w:tcPr>
            <w:tcW w:w="82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(2)</w:t>
            </w:r>
          </w:p>
        </w:tc>
        <w:tc>
          <w:tcPr>
            <w:tcW w:w="82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($)</w:t>
            </w:r>
          </w:p>
        </w:tc>
        <w:tc>
          <w:tcPr>
            <w:tcW w:w="67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(#)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(3)</w:t>
            </w:r>
          </w:p>
        </w:tc>
        <w:tc>
          <w:tcPr>
            <w:tcW w:w="60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(#)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(4)</w:t>
            </w:r>
          </w:p>
        </w:tc>
        <w:tc>
          <w:tcPr>
            <w:tcW w:w="69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(#)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(4)</w:t>
            </w:r>
          </w:p>
        </w:tc>
        <w:tc>
          <w:tcPr>
            <w:tcW w:w="60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All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Units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(5)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Date Fair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2"/>
                <w:u w:val="none"/>
                <w:effect w:val="none"/>
              </w:rPr>
              <w:t>Awards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8"/>
                <w:u w:val="none"/>
                <w:effect w:val="none"/>
              </w:rPr>
              <w:t>(6)</w:t>
            </w:r>
          </w:p>
        </w:tc>
      </w:tr>
      <w:tr>
        <w:trPr/>
        <w:tc>
          <w:tcPr>
            <w:tcW w:w="1006" w:type="dxa"/>
            <w:vMerge w:val="restart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Billy Hult</w:t>
            </w:r>
          </w:p>
        </w:tc>
        <w:tc>
          <w:tcPr>
            <w:tcW w:w="8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2023 Cash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67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2,250,000</w:t>
            </w:r>
          </w:p>
        </w:tc>
        <w:tc>
          <w:tcPr>
            <w:tcW w:w="8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3,375,000</w:t>
            </w:r>
          </w:p>
        </w:tc>
        <w:tc>
          <w:tcPr>
            <w:tcW w:w="67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006" w:type="dxa"/>
            <w:vMerge w:val="continue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PRSU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43,128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107,820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2,999,984</w:t>
            </w:r>
          </w:p>
        </w:tc>
      </w:tr>
      <w:tr>
        <w:trPr/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RSU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43,128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2,999,984</w:t>
            </w:r>
          </w:p>
        </w:tc>
      </w:tr>
      <w:tr>
        <w:trPr/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20,985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41,969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104,923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4,126,812</w:t>
            </w:r>
          </w:p>
        </w:tc>
      </w:tr>
      <w:tr>
        <w:trPr/>
        <w:tc>
          <w:tcPr>
            <w:tcW w:w="100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Sara Furber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PRSU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18,688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46,720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1,299,937</w:t>
            </w:r>
          </w:p>
        </w:tc>
      </w:tr>
      <w:tr>
        <w:trPr/>
        <w:tc>
          <w:tcPr>
            <w:tcW w:w="100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RSU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18,688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1,299,937</w:t>
            </w:r>
          </w:p>
        </w:tc>
      </w:tr>
      <w:tr>
        <w:trPr/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PSU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18,187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90,933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3,576,557</w:t>
            </w:r>
          </w:p>
        </w:tc>
      </w:tr>
      <w:tr>
        <w:trPr/>
        <w:tc>
          <w:tcPr>
            <w:tcW w:w="1006" w:type="dxa"/>
            <w:vMerge w:val="restart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Thomas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Pluta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PRSU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29,470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73,675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2,049,933</w:t>
            </w:r>
          </w:p>
        </w:tc>
      </w:tr>
      <w:tr>
        <w:trPr/>
        <w:tc>
          <w:tcPr>
            <w:tcW w:w="1006" w:type="dxa"/>
            <w:vMerge w:val="continue"/>
            <w:tcBorders/>
            <w:shd w:fill="CCEE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RSU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29,470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2,049,933</w:t>
            </w:r>
          </w:p>
        </w:tc>
      </w:tr>
      <w:tr>
        <w:trPr/>
        <w:tc>
          <w:tcPr>
            <w:tcW w:w="10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18,187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90,933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3,576,557</w:t>
            </w:r>
          </w:p>
        </w:tc>
      </w:tr>
      <w:tr>
        <w:trPr/>
        <w:tc>
          <w:tcPr>
            <w:tcW w:w="100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Enrico Bruni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PRSU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17,819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44,548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1,239,490</w:t>
            </w:r>
          </w:p>
        </w:tc>
      </w:tr>
      <w:tr>
        <w:trPr/>
        <w:tc>
          <w:tcPr>
            <w:tcW w:w="100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RSU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17,819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1,239,490</w:t>
            </w:r>
          </w:p>
        </w:tc>
      </w:tr>
      <w:tr>
        <w:trPr/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PSU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18,187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90,933</w:t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3,576,557</w:t>
            </w:r>
          </w:p>
        </w:tc>
      </w:tr>
      <w:tr>
        <w:trPr/>
        <w:tc>
          <w:tcPr>
            <w:tcW w:w="1006" w:type="dxa"/>
            <w:vMerge w:val="restart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Justin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Peterson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PRSU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13,729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34,323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954,989</w:t>
            </w:r>
          </w:p>
        </w:tc>
      </w:tr>
      <w:tr>
        <w:trPr/>
        <w:tc>
          <w:tcPr>
            <w:tcW w:w="1006" w:type="dxa"/>
            <w:vMerge w:val="continue"/>
            <w:tcBorders/>
            <w:shd w:fill="CCEE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RSU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13,729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954,989</w:t>
            </w:r>
          </w:p>
        </w:tc>
      </w:tr>
      <w:tr>
        <w:trPr/>
        <w:tc>
          <w:tcPr>
            <w:tcW w:w="100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3/15/2023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1/20/2023</w:t>
            </w:r>
          </w:p>
        </w:tc>
        <w:tc>
          <w:tcPr>
            <w:tcW w:w="9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 PSU</w:t>
            </w:r>
          </w:p>
        </w:tc>
        <w:tc>
          <w:tcPr>
            <w:tcW w:w="67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7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18,187</w:t>
            </w:r>
          </w:p>
        </w:tc>
        <w:tc>
          <w:tcPr>
            <w:tcW w:w="60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69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90,933</w:t>
            </w:r>
          </w:p>
        </w:tc>
        <w:tc>
          <w:tcPr>
            <w:tcW w:w="60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3,576,557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(1)Mr. Hult is not entitled to compensation in respect of his annual cash bonus for performance at threshold achievement, as described above in the section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titled "Compensation Discussion and Analysis—Fiscal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Compensation Program in Detail—Annual Cash Bonuses—Chief Executive Officer".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(2)R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epresents th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e target amount payable to Mr. Hult in respect of his annual cash bonus opportunity based on performance goals set by the Compensation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Committee as described above in the section titled "Compensation Discussion and Analysis—Fiscal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Compensation Program in Detail—Annual Cash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Bonuses—Chief Executive Officer" and to which he is entitled pursuant to his employment agreement.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(3)No RSUs or PRSUs vest for performance at threshold achievement and 50% of PSUs vest for performance at threshold achievement, each as further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described above in the section titled "Compensation Discussion and Analysis—Fiscal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Compensation Program in Detail—Long-Term Equity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Incentives".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(4)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Represents the PRSUs and PSUs granted to the NEOs under the Equity Plan in 2023, including the target number of shares to be awarded and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maximum number of shares to be awarded in the event of a 250% performance modifier, as further described above in the section titled "Compensation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Discussion and Analysis—Fiscal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 Program in Detail—Long-Term Equity Incentives".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(5)Represents RSUs granted under the Equity Plan, as further described above in the section titled "Compensation Discussion and Analysis—Fiscal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Compensation Program in Detail—Long-Term Equity Incentives".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(6)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The amounts included in this column represent the grant date fair value of RSU awards, PRSU awards and PSU awards computed in accordance with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FASB ASC Topic 718. Details and assumptions used in calculating the grant date fair value of the RSU, PRSU and PSU awards may be found in Note 2—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Significant Accounting Policies and Note 13—Stock-Based Compensation Plans to our consolidated financial statements in our Annual Report on Form 10-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K for the fiscal year ended December 31, 2023. The grant date fair value of PRSU awards included in this column for each executive is based on target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performance, which in turn, was based on the Company's estimate of the probable outcome of the performance modifier on the grant date. The grant date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fair value of PSU awards included in this column for each executive is based on a Monte Carlo simulation model.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1" name="Image1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1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Narrative Disclosure to Summary Compensation Table and Grants of Plan-Based Awards Table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Employment Agreements with our Named 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 is party to an employment agreement with TWM LLC. Ms. Furber is party to an offer letter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Company. Mr. Bruni is party to an employment agreement with Tradeweb Europe Ltd ("TW Europe"). Mr. Pluta and Mr.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Peterson are not parties to employment agreements.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>Mr. Hult— Chief Executive Officer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February 21, 2023, TWM LLC entered into a new employment agreement with Mr. Hult in connection with 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appointment to Chief Executive Officer that amended and restated his prior employment agreement in its entirety. Mr. Hult’s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current employment agreement provides for an initial three-year term with automatic annual renewals for additional one-year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terms unless either party provides 90 days prior notice of termination. Pursuant to the employment agreement, Mr. Hult 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entitled to an annual base salary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$750,000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is eligible for an annual bonus with a target bonus opportunity equal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300% of his annual base salary, subject to his employment on the last date of the calendar year, each effective as of January 1,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2023. The annual bonus will be based on Company performance and other criteria for such fiscal year as determined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or the Compensation Committee in consultation with Mr. Hult. In addition, Mr. Hult will be entitled to: (1) participate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such health and other group insurance and other employee benefit plans and programs of the Company as in effect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time to time on the same basis as other similarly situated senior executives of the Company, (2) six weeks’ vacation per year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(3) reimbursement for an amount up to $30,000 for reasonable, documented legal fees and related expenses incurred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connection with the negotiation of his employment agreement, net of withholding taxes.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Hult’s employment agreement also includes the following restrictive covenants: (1) perpetual nondisclosure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confidential information, (2) noncompetition during his employment as well as (A) the 24-month period after a "Qualifying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Termination" (as defined below under the section titled "—Potential Payments upon Termination or Change in Control")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(B) the 12-month period after his termination of employment for any other reason (the "Restriction Period"); (3)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nonsolicitation of employees, customers and clients during the Restriction Period; and (4) mutual nondisparagement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following Mr. Hult’s termination.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Hult’s employment agreement provides for severance upon certain terminations of employment, as described below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the section titled "—Potential Payments upon Termination or Change in Control".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Ms. Furber—Chief Financial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Ms. Furber is party to an offer letter with the Company pursuant to which she is entitled to bonuses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discretion and is also entitled to standard employee benefits. Ms. Furber is also subject to covenants of nondisclosure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confidential information, noncompetition and nonsolicitation.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Mr. Bruni—Managing Director, Head of Europe and Asia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Bruni is party to an employment agreement with TW Europe, dated as of November 27, 2002. Mr. Bruni’s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agreement provides for base salary (to be reviewed annually), eligibility to participate in bonus schemes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determined by the Company, membership in the company’s contributory pension scheme and membership in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employee benefit plans. Mr. Bruni is entitled to four weeks’ notice prior to a termination without cause, plus an additional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week’s notice for each year of employment in excess of two years, up to a maximum of 12 weeks’ notice. TW Europe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permitted to make a payment of his basic salary in lieu of notice. The severance entitlement in Mr. Bruni’s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agreement is superseded by the Company’s executive severance policy, as described below under the section titled "—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Potential Payments upon Termination or Change in Control—Severance Policy". Mr. Bruni is also subject to restrictive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covenants in his equity award agreements granting him RSUs, PRSUs and PSUs including non-competition and non-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solicitation of clients and employees during the one-year period following his termination.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Award Grants Under the Equity Plan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described in detail above in the section titled "Compensation Discussion and Analysis—Fiscal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Program in Detail—Long-Term Equity Incentives", at a Compensation Committee meeting 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January 20,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Committee approved equity awards in the form of RSUs, PRSUs and PSUs to the NEOs, to be granted on 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March 15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6"/>
        </w:rPr>
        <w:t>th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following finalization of the Company’s audited financials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 connection with these grants, as described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above, the number of shares subject to the RSU and PRSU awards was calculated based on a price of $69.56, which was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closing price of the Class A common stock on the trading day prior to the grant date of March 15, 2023. T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 PSUs awarded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were based on a price of $98.33 derived from the Monte Carlo simulation on a binomial model.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2" name="Image1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>Outstanding Equity Awards at Fiscal Year-End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summarizes the number of securities underlying outstanding equity awards held by each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NEOs as of the fiscal year 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856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571"/>
        <w:gridCol w:w="765"/>
        <w:gridCol w:w="121"/>
        <w:gridCol w:w="661"/>
        <w:gridCol w:w="916"/>
        <w:gridCol w:w="109"/>
        <w:gridCol w:w="691"/>
        <w:gridCol w:w="256"/>
        <w:gridCol w:w="916"/>
        <w:gridCol w:w="256"/>
        <w:gridCol w:w="706"/>
        <w:gridCol w:w="211"/>
        <w:gridCol w:w="826"/>
        <w:gridCol w:w="301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3" w:type="dxa"/>
            <w:gridSpan w:val="4"/>
            <w:tcBorders>
              <w:bottom w:val="single" w:sz="12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 Awards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62" w:type="dxa"/>
            <w:gridSpan w:val="7"/>
            <w:tcBorders>
              <w:bottom w:val="single" w:sz="12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Stock Awards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</w:t>
            </w:r>
          </w:p>
        </w:tc>
        <w:tc>
          <w:tcPr>
            <w:tcW w:w="5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Grant</w:t>
            </w:r>
          </w:p>
        </w:tc>
        <w:tc>
          <w:tcPr>
            <w:tcW w:w="886" w:type="dxa"/>
            <w:gridSpan w:val="2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underlying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unexercised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exercisable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(#)</w:t>
            </w:r>
          </w:p>
        </w:tc>
        <w:tc>
          <w:tcPr>
            <w:tcW w:w="661" w:type="dxa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exercise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price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</w:p>
        </w:tc>
        <w:tc>
          <w:tcPr>
            <w:tcW w:w="916" w:type="dxa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expiration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7" w:type="dxa"/>
            <w:gridSpan w:val="2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or 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that 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(#)</w:t>
            </w:r>
          </w:p>
        </w:tc>
        <w:tc>
          <w:tcPr>
            <w:tcW w:w="1172" w:type="dxa"/>
            <w:gridSpan w:val="2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Market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shares 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units 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that have 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vested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</w:p>
        </w:tc>
        <w:tc>
          <w:tcPr>
            <w:tcW w:w="706" w:type="dxa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Plan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Unearned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Shares,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or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Rights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(#)</w:t>
            </w:r>
          </w:p>
        </w:tc>
        <w:tc>
          <w:tcPr>
            <w:tcW w:w="211" w:type="dxa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12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Incentive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Plan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Market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Payout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Unearned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Shares,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Rights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Vested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</w:p>
        </w:tc>
        <w:tc>
          <w:tcPr>
            <w:tcW w:w="30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Billy Hult</w:t>
            </w:r>
          </w:p>
        </w:tc>
        <w:tc>
          <w:tcPr>
            <w:tcW w:w="5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2018</w:t>
            </w:r>
          </w:p>
        </w:tc>
        <w:tc>
          <w:tcPr>
            <w:tcW w:w="765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242,900</w:t>
            </w:r>
          </w:p>
        </w:tc>
        <w:tc>
          <w:tcPr>
            <w:tcW w:w="12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20.59</w:t>
            </w:r>
          </w:p>
        </w:tc>
        <w:tc>
          <w:tcPr>
            <w:tcW w:w="9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10/26/2028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57,969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(2)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5,268,223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48,577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(4)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4,414,678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121,319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(5)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11,025,477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41,969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3,814,143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Sara Furber</w:t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17,107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1,554,684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(9)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26,896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2,444,308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(9)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52,569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4,777,471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(9)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3,305,578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(12)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Thomas Pluta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82,899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(13)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7,533,861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(14)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3,305,578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(15)</w:t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Enrico Bruni</w:t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2018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167,754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20.59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10/26/2028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22,024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(16)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2,001,541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(17)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21,635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(18)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1,966,189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(17)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765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50,125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(19)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4,555,360</w:t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(17)</w:t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3,305,578</w:t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(20)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Justin Peterson</w:t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2018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10,000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20.59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10/26/2028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2021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18,203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(21)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1,654,289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(22)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76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18,828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(23)</w:t>
            </w:r>
          </w:p>
        </w:tc>
        <w:tc>
          <w:tcPr>
            <w:tcW w:w="9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1,711,089</w:t>
            </w:r>
          </w:p>
        </w:tc>
        <w:tc>
          <w:tcPr>
            <w:tcW w:w="2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(22)</w:t>
            </w:r>
          </w:p>
        </w:tc>
        <w:tc>
          <w:tcPr>
            <w:tcW w:w="7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3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765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38,620</w:t>
            </w:r>
          </w:p>
        </w:tc>
        <w:tc>
          <w:tcPr>
            <w:tcW w:w="25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(24)</w:t>
            </w:r>
          </w:p>
        </w:tc>
        <w:tc>
          <w:tcPr>
            <w:tcW w:w="9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3,509,786</w:t>
            </w:r>
          </w:p>
        </w:tc>
        <w:tc>
          <w:tcPr>
            <w:tcW w:w="25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(22)</w:t>
            </w:r>
          </w:p>
        </w:tc>
        <w:tc>
          <w:tcPr>
            <w:tcW w:w="70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36,373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8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3,305,578</w:t>
            </w:r>
          </w:p>
        </w:tc>
        <w:tc>
          <w:tcPr>
            <w:tcW w:w="30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(25)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(1)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Based on the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per-share closing market price of the Class A common stock on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 29,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, which was $90.88.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Repres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ents 49,688 PRSUs that vested on January 1, 2024 and 8,281 RSUs that vested on March 15, 2024.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(3)Mr. Hult has accrued dividend equivalent rights in respect of his grants of RSUs and PRSUs valued at (i) $57,307 for 2021 awards, (ii) $31,648 for 2022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awards and (iii) $27,171 for 2023 awards. These dividend equivalent rights are to be paid at the time the underlying award settles and the value is not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included in the table above.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(4)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Represents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31,268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PRSUs that will vest on January 1, 2025, 8,655 RSUs that vested on March 15, 2024 and 8,654 RSUs that will vest on March 15, 2025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(5)Represents 78,191 PRSUs that will vest on January 1, 2026, 14,376 RSUs that vested on March 14, 2024, 14,376 RSUs that will vest on March 15, 2025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14,376 RSUs that will vest on March 15, 2026. 2023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PRSUs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reflect the number of shares to be earned based on a 181.3% performance modifier.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(6)Represents PSUs that will vest on January 1, 2026, assuming target achievement representing a 100% performance modifier. See "Compensation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Discussion and Analysis—Fiscal 2023 Compensation Program in Detail—Long-Term Equity Incentives" above for additional information regarding the PSU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awards.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(7)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Mr. Hult has accrued dividend equivalent rights in respect of his grant of PSUs valued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$15,109.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These dividend equivalent rights are to be paid at the </w:t>
      </w:r>
    </w:p>
    <w:p>
      <w:pPr>
        <w:pStyle w:val="TextBody"/>
        <w:bidi w:val="0"/>
        <w:spacing w:lineRule="atLeast" w:line="142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time the underlying award settles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and the value is not included in the table above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(8)Represents 8,540 PRSUs that vested on January 1, 2024, 4,948 RSUs that will vest on March 31, 2024 and 3,619 RSUs that will vest on March 31, 2025.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(9)Ms. Furber has accrued dividend equivalent rights in respect of her grants of RSUs and PRSUs valued at (i) $13,001 for 2021 awards, (ii) $17,557 for 2022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awards and (iii) $11,773 for 2023 awards. These dividend equivalent rights are to be paid at the time the underlying award settles and the value is not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included in the table above.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(10)Represents 17,741 PRSUs that will vest on January 1, 2025, 4,578 RSUs that vested on March 15, 2024 and 4,577 RSUs that will vest on March 15, 2025.</w:t>
      </w:r>
    </w:p>
    <w:p>
      <w:pPr>
        <w:pStyle w:val="TextBody"/>
        <w:bidi w:val="0"/>
        <w:spacing w:lineRule="atLeast" w:line="142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(11)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Represents 33,881 PRSUs that will vest on January 1, 2026, 6,229 RSUs that vested on March 15, 2024, 6,230 RSUs that will vest on March 15, 2025 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6,229 RSUs that will vest on March 15, 2026. 2023 PRSUs reflect the number of shares to be earned based on a 181.3% performance modifier.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(12)Ms. Furber has accrued dividend equivalent rights in respect of her grant of PSUs valued at $13,094. These dividend equivalent rights are to be paid at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time the underlying award settles and the value is not included in the table above.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3" name="Image1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1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(13)Represents 53,429 PRSUs that will vest on January 1, 2026, 9,823 RSUs that vested on March 15, 2024, 9,824 RSUs that will vest on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 15,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9,823 RSUs that will vest on March 15, 2026. 2023 PRSUs reflect the number of shares to be awarded based on a 181.3% performance modifier.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(14)Mr. Pluta has accrued dividend equivalent rights in respect of his grants of RSUs and PRSUs valued at $18,556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for 2023 awards. These dividend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equivalent rights are to be paid at the time the underlying award settles and the value is not included in the table above.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(15)Mr. Pluta has accrued dividend equivalent rights in respect of his grant of PSUs valued at $13,094. These dividend equivalent rights are to be paid at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time the underlying award settles and the value is not included in the table above.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(16)Represents 18,878 PRSUs that vested on January 1, 2024 and 3,146 RSUs that vested on March 15, 2024.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(17)Mr. Bruni has accrued dividend equivalent rights in respect of his grants of RSUs and PRSUs valued at (i) $21,772 for 2021 awards, (ii) $14,123 for 2022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awards and (iii)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$11,226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for 2023 awards. These dividend equivalent rights are to be paid at the time the underlying award settles and the value is not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included in the table above.</w:t>
      </w:r>
    </w:p>
    <w:p>
      <w:pPr>
        <w:pStyle w:val="TextBody"/>
        <w:bidi w:val="0"/>
        <w:spacing w:lineRule="atLeast" w:line="142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(18)Represents 14,271 PRSUs that will vest on January 1,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2025,</w:t>
      </w:r>
      <w:r>
        <w:rPr>
          <w:caps w:val="false"/>
          <w:smallCaps w:val="fals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3,682 RSUs that vested on March 15, 2024 and 3,682 RSUs that will vest on March 15, 2025.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(19)Represents 32,306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PRSUs that will vest on January 1, 2026, 5,940 RSUs that vested on March 15, 2024, 5,939 RSUs that will vest on March 15, 2025 and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5,940 RSUs that will vest on March 15, 2026. 2023 PRSUs reflect the number of shares to be earned based on a 181.3% performance modifier.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(20)Mr. Bruni has accrued dividend equivalent rights in respect of his grant of PSUs valued at $13,094. These dividend equivalent rights are to be paid at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time the underlying award settles and the value is not included in the table above.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(21)Represents 14,832 PRSUs that vested on January 1, 2024 and 3,371 RSUs that vested on March 15, 2024.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(22)Mr. Peterson has accrued dividend equivalent rights in respect of his grants of RSUs and PRSUs valued at (i) $17,933 for 2021 awards, (ii) $12,290 for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2022 awards and (iii) $8,649 for 2023 awards. These dividend equivalent rights are to be paid at the time the underlying award settles and the value is not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included in the table above.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(23)Represents 12,419 PRSUs that will vest on January 1, 2025, 3,205 RSUs that vested on March 15, 2024 and 3,204 RSUs that will vest on March 15, 2025.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(24)Represents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24,891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PRSUs that will vest on January 1, 2026, 4,576 RSUs that vested on March 15, 2024, 4,577 RSUs that will vest on March 15, 2025 and </w:t>
      </w:r>
    </w:p>
    <w:p>
      <w:pPr>
        <w:pStyle w:val="TextBody"/>
        <w:bidi w:val="0"/>
        <w:spacing w:lineRule="atLeast" w:line="142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4,576 RSUs that will vest on March 15, 2026. 2023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PRSUs reflect the number of shares to be earned based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on a 181.3% performance modifier.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(25)Mr. Peterson has accrued dividend equivalent rights in respect of his grant of PSUs valued at $13,094. These dividend equivalent rights are to be paid at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the time the underlying award settles and the value is not included in the table above.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Options Exercised and Stock Vested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summarizes the option exercises and stock vested by each of the NEOs during the fiscal year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61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1"/>
        <w:gridCol w:w="1246"/>
        <w:gridCol w:w="109"/>
        <w:gridCol w:w="1036"/>
        <w:gridCol w:w="109"/>
        <w:gridCol w:w="1246"/>
        <w:gridCol w:w="109"/>
        <w:gridCol w:w="1081"/>
      </w:tblGrid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91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6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24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 of 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acquired 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exercise (#)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Value realized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on exercise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 of 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acquired 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vesting (#)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Value realized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on vesting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2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Billy Hult</w:t>
            </w:r>
          </w:p>
        </w:tc>
        <w:tc>
          <w:tcPr>
            <w:tcW w:w="12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110,000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6,546,022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119,045</w:t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8,070,383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Sara Furber</w:t>
            </w:r>
          </w:p>
        </w:tc>
        <w:tc>
          <w:tcPr>
            <w:tcW w:w="12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21,373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1,656,625</w:t>
            </w:r>
          </w:p>
        </w:tc>
      </w:tr>
      <w:tr>
        <w:trPr/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Thomas Pluta</w:t>
            </w:r>
          </w:p>
        </w:tc>
        <w:tc>
          <w:tcPr>
            <w:tcW w:w="12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83,102</w:t>
            </w:r>
          </w:p>
        </w:tc>
      </w:tr>
      <w:tr>
        <w:trPr/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Enrico Bruni</w:t>
            </w:r>
          </w:p>
        </w:tc>
        <w:tc>
          <w:tcPr>
            <w:tcW w:w="12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44,931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3,049,270</w:t>
            </w:r>
          </w:p>
        </w:tc>
      </w:tr>
      <w:tr>
        <w:trPr/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Justin Peterson</w:t>
            </w:r>
          </w:p>
        </w:tc>
        <w:tc>
          <w:tcPr>
            <w:tcW w:w="124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33,550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2,132,705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37,064</w:t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2,522,458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(1)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This column re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presents the value realized upon exercise of options during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which was calculated based on the difference between the market price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the Class A common stock at the time of exercise and the exercise price of the option.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(2)T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his column represents shares in respect of RSUs and PRSUs settled in 2023, including dividends accrued and paid in shares. The total net aft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er-tax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number of shares of Class A common stock received from the vesting and settlement of the PRSUs was 23,793 for Mr. Hult, 5,364 for Ms. Furber,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10,005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for Mr. Bruni and 8,213 for Mr. Peterson. Mr. Pluta did not have PRSUs settle in 2023. The total net after-tax number of shares of Class A common stock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received from the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vesting and settlement of the RSUs wa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s 13,990 fo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 Mr. Hult, 10,400 for Ms. Furber,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1,123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Mr. Pluta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6,458 for Mr. Bruni and 4,854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for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 Peterson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No PSUs vested in 2023.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(3)The amounts in this column represent the aggregate dollar value realized upon settlement of RSUs and PRSUs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 No PSUs settled in 2023.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Potential Payments upon Termination or Change in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Severance under Employment Agreements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Pursuant to the terms of his employment agreement, Mr. Hult is entitled to receive certain payments or benefits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connection with certain termination events.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If Mr. Hult is terminated by the Company without Cause, as a result of a Company nonrenewal of his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agreement, or if he resigns for Good Reason (as such terms are defined in his employment agreement) (each, a "Qualifying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Termination"), he is entitled to the following: (1) cash severance equal to two times the sum of (A) his base salary at the rate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effect immediately prior to the date of termination and (B) the average annual bonus earned by Mr. Hult for the two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calendar years ending immediately prior to the year of termination (the "Severance Amount"), payable in equal installments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the Company’s regular payroll dates occurring during the 24-month period following the date of termination (such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"Severance Period"), (2) a prorated bonus for the year of termination based on the actual performance of the Company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full year (the "Prorated Bonus"), (3) any earned but unpaid annual bonus for the prior completed fiscal year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 (the "Earned Bonus") and (4) subject to Mr. Hult’s timely election of continuation coverage under the Consolidated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4" name="Image1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Omnibus Budget Reconciliation Act of 1985, as amended ("COBRA"), and his payment of premiums associated with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coverage, reimbursement for the same portion of the premium costs of continued health benefits for Mr. Hult and his covered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dependents that the Company pays in respect of an active employee electing equivalent coverage, on a monthly basis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("Medical Benefit Continuation") for the Severance Period, or through such earlier date on which COBRA coverage for Mr.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Hult and his covered dependents terminates in accordance with COBRA.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if a Qualifying Termination occurs during the three-month period preceding or the twelve-month period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following the date of a Change in Control (as defined in the Equity Plan), Mr. Hult will be entitled to the following: (1)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severance equal to two and one-half times the sum of (A) his base salary at the rate in effect immediately prior to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 and (B) the average annual bonus earned by Mr. Hult for the two calendar years ending immediately prior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 of termination (the "CIC Severance Amount"), payable in equal installments on the Company’s regular payroll dates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occurring during the 30-month period following the date of termination (such period, the "CIC Severance Period"), (2)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Prorated Bonus, (3) the Earned Bonus and (4) the Medical Benefit Continuation for the CIC Severance Period, or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such earlier date on which COBRA coverage for Mr. Hult and his covered dependents terminates in accordance with COBRA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(the "CIC Medical Benefit Continuation"). To the extent either the Medical Benefit Continuation or CIC Medical Benefit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Continuation, as applicable, result in Mr. Hult receiving continuation coverage beyond what COBRA requires,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obligation under the employment agreement will be satisfied by paying to Mr. Hult on a monthly basis the same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amount that it was paying immediately prior to the cessation of the statutory COBRA continuation coverage period.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Mr. Hult’s entitlement to the Severance Amount or CIC Severance Amount, as applicable, the Prorated Bonus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Medical Benefit Continuation or CIC Medical Benefit Continuation, as applicable, will in each case be subject to Mr. Hult’s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execution and nonrevocation of a release of claims and his continued compliance with the restrictive covenants set forth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agreement.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Pursuant to Mr. Hult’s employment agreement, in the event that any of the payments or benefits would constitute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"parachute payments" ("Parachute Payments") within the meaning of Section 280G of the Code and would be subject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excise tax imposed under Section 4999 of the Code or any interest or penalties with respect to such excise tax (collectively,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"Excise Tax"), then such Parachute Payments to be made to Mr. Hult will be payable either (1) in full or (2) as to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lesser amount which would result in no portion of such Parachute Payments being subject to the Excise Tax, whichever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foregoing amounts, taking into account the applicable federal, state and local income taxes and the Excise Tax, results in Mr.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Hult's receipt, on an after-tax basis, of the greatest economic benefit under his employment agreement, notwithstanding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all or some portion of such payments or benefits may be subject to the Excise Tax. If a reduction in the Parachute Payment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necessary, then the reduction shall occur in accordance with the terms of the employment agreement.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Severance Policy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the NEOs (other than Mr. Hult) is entitled to severance payments and benefits pursuant to a severance policy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maintained by the Company for certain executive officers. In the event of a termination without cause, the executives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entitled to (i) continuation of their base salary for twelve months following termination, (ii) a payment equal to the sum of (A)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their highest annual bonus received in respect of the two most recent calendar years completed prior to their termination, paid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at the time bonuses are generally paid to senior executives (the "Reference Bonus Amount"), and (B) the Reference Bonus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Amount prorated for the number of days worked during the calendar year preceding the date of termination, paid at the time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when annual bonuses are paid generally to senior executives and (iii) for all NEOs other than Mr. Bruni, reimbursement, on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monthly basis, for the excess costs of continued health benefits for the executive and the executive’s covered dependents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COBRA for one year following termination or until such earlier date on which COBRA coverage terminates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accordance with COBRA. The severance policy is intended to supersede any notice provisions under Mr. Bruni’s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agreement. Payment of the severance payments and benefits described above is subject to the applicable executive’s execution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a release of claims.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Severance under Equity Awards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Options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Mr. Hult, Mr. Bruni and Mr. Peterson was granted pre-IPO Options under the Option Plan (described above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the section titled "Fiscal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in Detail—Long-Term Equity Incentives"). As of the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hereof, all Options are fully vested. If a participant is terminated for Cause (as defined in the Option Plan) or is in breach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restrictive covenant in favor of the Company, the Option will be terminated. Upon the termination of the participant’s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for any reason other than Cause, vested Options will remain outstanding and exercisable for (i) in the case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participant’s resignation without Good Reason (as defined in the Option Plan), 45 days following the date of resignation, (ii)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 case of a termination of the participant’s employment by the Company without Cause or by the participant for Good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Reason, the ninety day period following the date of termination or (iii) in the case of a termination of the participant’s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54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5" name="Image1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Image1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on account of death or Disability (as defined in the Option Plan), the one year period following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termination. If a participant’s employment has terminated due to retirement (as defined in the applicable plan document),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vested Option will remain outstanding until the expiration of its term (or a breach of restrictive covenants by the participant)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until exercised, if earlier.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RSUs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our NEOs has been granted RSUs under the Equity Plan (as described above under the section titled "Fiscal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in Detail—Long-Term Equity Incentives"). In connection with certain transactions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 events, the RSUs will be treated as described below.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>Treatment in connection with a Change in Control.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 event of a change in control, any outstanding RSUs will vest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the date of the change in control and will continue to be paid out on their originally scheduled settlement dates; provided,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however, that if the change in control constitutes a "Qualified Change of Control", payment will be made at the time and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same form of consideration delivered to the Company’s stockholders in connection with such transaction.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>Treatment upon Termination.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 event an NEO is terminated (i) without cause, (ii) due to the NEO’s death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disability or (iii) due to the NEO's retirement, the NEO will be entitled to retain the RSUs and the award will continue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paid out on its originally scheduled settlement dates.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PRSUs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our NEOs has been granted PRSUs under the Equity Plan (as described above under the section titled "Fiscal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in Detail—Long-Term Equity Incentives"). In connection with certain transactions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 events, the PRSUs will be treated as described below.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>Treatment in connection with a Change in Control.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 event of a change in control, any outstanding PRSUs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fully vest on the date of the change in control and will continue to be paid out on their originally scheduled settlement date;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provided, however, that if the change in control constitutes a "Qualified Change in Control" (generally defined as a change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ownership or effective control for purposes of Section 409A of the Code), payment will be made at the time and in the same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form of consideration delivered to the Company’s stockholders in connection with such transaction. If a change in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occurs prior to the establishment of the performance modifier with respect to a PRSU award, the performance modifier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100%.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Treatment upon Termination.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PRSUs granted prior to March 15, 2023, in the event an NEO is terminated (i)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without cause within 180 days prior to the relevant vesting date or (ii) due to the participant’s death or disability, the NEO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will be entitled to retain a pro-rated number of the PRSUs, based on days worked during the vesting period (with the first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the vesting period being January 1 of the year of grant), which will remain eligible to vest and settle on the originally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scheduled date. In the event of the NEO’s retirement, the PRSUs will fully vest on the date of retirement and will continue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paid out on their originally scheduled settlement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PRSUs granted to an NEO other than Mr. Hult on March 15, 2023, in the event such NEO is terminated (i) without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cause after the one-year anniversary of the grant date or (ii) due to the NEO's death or disability, the NEO will be entitled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pro-rata vesting as set forth in the immediately preceding paragraph.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For PRSUs granted to Mr. Hult on March 15,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event he is terminated (i) without Cause (as defined in his employment agreement), (ii) as a result of nonrenewal of 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agreement, (iii) due to his death or disability or (iv) as a result of his resignation for Good Reason (as defined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his employment agreement), he will be entitled to pro-rata vesting as set forth in the immediately preceding paragraph.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 w:val="false"/>
          <w:i/>
          <w:strike w:val="false"/>
          <w:dstrike w:val="false"/>
          <w:color w:val="002856"/>
          <w:sz w:val="20"/>
          <w:u w:val="none"/>
          <w:effect w:val="none"/>
        </w:rPr>
        <w:t xml:space="preserve">PSUs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of our NEOs has been granted PSUs under the Equity Plan (as described above under the section titled "Fiscal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Program in Detail—Long-Term Equity Incentives"). In connection with certain transactions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termination events, the PSUs will be treated as described below.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>Treatment in connection with a Change in Control.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 event of a change in control, any outstanding PSUs will fully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vest on the date of the change in control, with the total shareholder return performance modifier determined based on the per-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 price to be paid to the stockholders of the Company in connection with the change in control and will continue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paid out on their originally scheduled settlement date; provided, however, that if the change in control constitutes a Qualified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Change in Control, payment will be made at the time and in the same form of consideration delivered to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in connection with such transaction.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>Treatment upon Termination.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PSUs granted to an NEO other than Mr. Hult, in the event such NEO is terminated (i)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without cause, (ii) due to the NEO's death or disability or (iii) upon the NEO's retirement, the NEO will be entitled to retain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pro-rated number of the PSUs at target level of achievement, based on days worked for the vesting period (with the first date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the vesting period being January 1 of the year of grant), which will remain eligible to vest and settle on the originally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scheduled date. For PSUs granted to Mr. Hult, in the event he is terminated (i) without Cause (as defined in his employment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agreement), (ii) as a result of nonrenewal of his employment agreement, (iii) due to his death or disability, or (iv) as a result of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6" name="Image1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his resignation for Good Reason (as defined in his employment agreement), he will be entitled to pro-rata vesting as set forth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in the immediately preceding sentence.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table below estimates the dollar value of the additional payments and benefits that the NEOs would have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entitled to receive under the plans and arrangements described above, assuming the applicable triggering event occurred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. For this purpose, we have assumed a value of $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90.88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 share of our Class A common stock, the closing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price of the Class A common stock on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29,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tbl>
      <w:tblPr>
        <w:tblW w:w="79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21"/>
        <w:gridCol w:w="631"/>
        <w:gridCol w:w="871"/>
        <w:gridCol w:w="211"/>
        <w:gridCol w:w="145"/>
        <w:gridCol w:w="1160"/>
        <w:gridCol w:w="211"/>
        <w:gridCol w:w="157"/>
        <w:gridCol w:w="1148"/>
        <w:gridCol w:w="211"/>
        <w:gridCol w:w="109"/>
        <w:gridCol w:w="877"/>
        <w:gridCol w:w="303"/>
      </w:tblGrid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Executive</w:t>
            </w:r>
          </w:p>
        </w:tc>
        <w:tc>
          <w:tcPr>
            <w:tcW w:w="1502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Termination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without Cause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Termination due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death or Disability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Termination due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Retirement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9" w:type="dxa"/>
            <w:gridSpan w:val="3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Change in Control</w:t>
            </w:r>
          </w:p>
        </w:tc>
      </w:tr>
      <w:tr>
        <w:trPr/>
        <w:tc>
          <w:tcPr>
            <w:tcW w:w="192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Billy Hult</w:t>
            </w:r>
          </w:p>
        </w:tc>
        <w:tc>
          <w:tcPr>
            <w:tcW w:w="63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Salary Continuation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$1,500,000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(2)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Benefits Continuation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$55,122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(4)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Payment in respect of Bonus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$10,258,500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(5)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vMerge w:val="restart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 of Equity Awards: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4"/>
              </w:rPr>
              <w:t>RSUs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: 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$6,245,092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$6,245,092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$6,245,092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</w:tr>
      <w:tr>
        <w:trPr/>
        <w:tc>
          <w:tcPr>
            <w:tcW w:w="1921" w:type="dxa"/>
            <w:vMerge w:val="continue"/>
            <w:tcBorders/>
            <w:shd w:fill="CCEE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z w:val="14"/>
              </w:rPr>
            </w:pPr>
            <w:r>
              <w:rPr>
                <w:rFonts w:ascii="Arial" w:hAnsi="Arial"/>
                <w:b w:val="false"/>
                <w:i/>
                <w:sz w:val="14"/>
              </w:rPr>
              <w:t xml:space="preserve">PRSUs: 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$6,884,311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$6,884,311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$14,463,279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4"/>
              </w:rPr>
              <w:t>PSUs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: </w:t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$1,271,381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$1,271,381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$3,814,143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$26,214,406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$14,400,784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$24,522,514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Sara Furber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Salary Continuation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$600,000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Benefits Continuation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$36,748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(4)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Payment in respect of Bonus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$2,000,000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 of Equity Awards: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4"/>
              </w:rPr>
              <w:t>RSUs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: 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$3,308,941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$3,308,941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$3,308,941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</w:tr>
      <w:tr>
        <w:trPr/>
        <w:tc>
          <w:tcPr>
            <w:tcW w:w="19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4"/>
              </w:rPr>
              <w:t>PRSUs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: 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$1,802,484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$1,802,484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$5,467,523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PSUs: </w:t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$3,305,578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Total: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$8,850,032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$6,213,284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$12,082,042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4"/>
              </w:rPr>
              <w:t>Thomas Pluta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Salary Continuation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$700,000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Benefits Continuation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$36,748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(4)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Payment in respect of Bonus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$2,200,000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vMerge w:val="restart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 of Equity Awards: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4"/>
              </w:rPr>
              <w:t>RSUs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: 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$2,678,234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$2,678,234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$2,678,234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</w:tr>
      <w:tr>
        <w:trPr/>
        <w:tc>
          <w:tcPr>
            <w:tcW w:w="1921" w:type="dxa"/>
            <w:vMerge w:val="continue"/>
            <w:tcBorders/>
            <w:shd w:fill="CCEE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z w:val="14"/>
              </w:rPr>
            </w:pPr>
            <w:r>
              <w:rPr>
                <w:rFonts w:ascii="Arial" w:hAnsi="Arial"/>
                <w:b w:val="false"/>
                <w:i/>
                <w:sz w:val="14"/>
              </w:rPr>
              <w:t xml:space="preserve">PRSUs: 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$1,618,543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$1,618,543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$4,855,628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 w:val="false"/>
                <w:i/>
                <w:sz w:val="14"/>
              </w:rPr>
              <w:t>PSUs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 xml:space="preserve">: </w:t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$3,305,578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$8,335,383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$5,398,636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$10,839,439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Enrico Bruni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Salary Continuation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$371,190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Benefits Continuation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Payment in respect of Bonus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$4,176,358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 of Equity Awards: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RSUs: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$2,574,540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$2,574,540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$2,574,540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</w:tr>
      <w:tr>
        <w:trPr/>
        <w:tc>
          <w:tcPr>
            <w:tcW w:w="192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PRSUs:</w:t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$2,694,259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$2,694,259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$5,948,460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PSUs:</w:t>
            </w:r>
          </w:p>
        </w:tc>
        <w:tc>
          <w:tcPr>
            <w:tcW w:w="8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$3,305,578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Total:</w:t>
            </w:r>
          </w:p>
        </w:tc>
        <w:tc>
          <w:tcPr>
            <w:tcW w:w="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$10,918,206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$6,370,658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$11,828,577</w:t>
            </w:r>
          </w:p>
        </w:tc>
        <w:tc>
          <w:tcPr>
            <w:tcW w:w="3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z w:val="14"/>
              </w:rPr>
              <w:t>Justin Peterson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Salary Continuation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$400,000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(3)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Benefits Continuation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$36,564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(4)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Payment in respect of Bonus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$2,700,000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(6)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21" w:type="dxa"/>
            <w:vMerge w:val="restart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Value of Equity Awards:</w:t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RSUs: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$2,136,498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$2,136,498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$2,136,498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$2,136,498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(10)</w:t>
            </w:r>
          </w:p>
        </w:tc>
      </w:tr>
      <w:tr>
        <w:trPr/>
        <w:tc>
          <w:tcPr>
            <w:tcW w:w="1921" w:type="dxa"/>
            <w:vMerge w:val="continue"/>
            <w:tcBorders/>
            <w:shd w:fill="CCEEFF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PRSUs: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$2,101,933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$2,101,933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$4,738,574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$4,738,574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PSUs:</w:t>
            </w:r>
          </w:p>
        </w:tc>
        <w:tc>
          <w:tcPr>
            <w:tcW w:w="87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4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(8)</w:t>
            </w:r>
          </w:p>
        </w:tc>
        <w:tc>
          <w:tcPr>
            <w:tcW w:w="15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$1,101,859</w:t>
            </w:r>
          </w:p>
        </w:tc>
        <w:tc>
          <w:tcPr>
            <w:tcW w:w="2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$3,305,578</w:t>
            </w:r>
          </w:p>
        </w:tc>
        <w:tc>
          <w:tcPr>
            <w:tcW w:w="30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9"/>
              </w:rPr>
              <w:t>(11)</w:t>
            </w:r>
          </w:p>
        </w:tc>
      </w:tr>
      <w:tr>
        <w:trPr/>
        <w:tc>
          <w:tcPr>
            <w:tcW w:w="192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Total:</w:t>
            </w:r>
          </w:p>
        </w:tc>
        <w:tc>
          <w:tcPr>
            <w:tcW w:w="63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8" w:space="0" w:color="000000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$8,476,854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0" w:type="dxa"/>
            <w:tcBorders>
              <w:top w:val="single" w:sz="8" w:space="0" w:color="000000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$5,340,291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>
              <w:top w:val="single" w:sz="8" w:space="0" w:color="000000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$7,976,931</w:t>
            </w:r>
          </w:p>
        </w:tc>
        <w:tc>
          <w:tcPr>
            <w:tcW w:w="21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top w:val="single" w:sz="8" w:space="0" w:color="000000"/>
              <w:bottom w:val="single" w:sz="8" w:space="0" w:color="002856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$10,180,650</w:t>
            </w:r>
          </w:p>
        </w:tc>
        <w:tc>
          <w:tcPr>
            <w:tcW w:w="303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(1)Mr.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Hult, Ms. Furber, Mr. Pluta and Mr. Bruni were not eligible for retirement as of December 31, 2023.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(2)Reflects 24 months base salary continuation. This payment will also become due upon the executive’s resignation for good reason or Company nonrenewal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the executive’s employment agreement.</w:t>
      </w:r>
    </w:p>
    <w:p>
      <w:pPr>
        <w:pStyle w:val="TextBody"/>
        <w:bidi w:val="0"/>
        <w:spacing w:lineRule="atLeast" w:line="160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z w:val="16"/>
        </w:rPr>
        <w:t>(3)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Reflects 12 months’ base salary continuation. For Mr. Bruni, amount reflected in U.S. dollars based on a conversion rate of 1.2373.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(4)Represents the excess costs of continued health benefits for Ms. Furber, Mr. Pluta and Mr. Peterson and their covered dependents under COBRA for one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year following termination. Represents the excess costs of continued health benefits for Mr. Hult and his covered dependents under COBRA for 18 months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following termination.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(5)Represents (A) Mr. Hult’s average annual bonus earned for the two calendar years ending immediately prior to the year of termination (for purposes of this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table,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) plus (B) a pro rata bonus for the year of termination based on performance for the year of termination (for purposes of this table, we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56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7" name="Image1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Image1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have included the value of a full year’s bonus). This payment will also become due upon Mr. Hult’s resignation for good reason or Company nonrenewal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the executive’s employment agreement.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(6)Represents (A) the executive’s highest annual bonus earned for the two calendar years ending immediately prior to the year of termination (for purposes of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this table,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2021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) plus (B) a pro rata bonus for the year of termination based on the highest annual bonus earned for the two calendar years ending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immediately prior to the year of termination (for purposes of this table, we have included the value of a full year’s bonus).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(7)Represents value of outstanding RSUs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which would remain eligible to vest. This amount does not include any amounts with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respect to dividends that accrued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(8)Represents value of a pro-rated portion of outstanding PRSUs and PSUs which the executive would be entitled to retain, based on days worked for the </w:t>
      </w:r>
    </w:p>
    <w:p>
      <w:pPr>
        <w:pStyle w:val="TextBody"/>
        <w:bidi w:val="0"/>
        <w:spacing w:lineRule="atLeast" w:line="142" w:before="0" w:after="0"/>
        <w:jc w:val="left"/>
        <w:rPr/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vesting period (with the first date of the vesting period being January 1</w:t>
      </w:r>
      <w:r>
        <w:rPr>
          <w:rFonts w:ascii="Arial" w:hAnsi="Arial"/>
          <w:b w:val="false"/>
          <w:i w:val="false"/>
          <w:caps w:val="false"/>
          <w:smallCaps w:val="false"/>
          <w:sz w:val="9"/>
        </w:rPr>
        <w:t>st</w:t>
      </w:r>
      <w:r>
        <w:rPr>
          <w:caps w:val="false"/>
          <w:smallCaps w:val="fals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of the year of grant), following termination. This amount does not include any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amounts with respect to dividends that accrued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The value included for PRSUs granted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reflects the number of shares to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b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 awarded based on a 181.3%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 modifier, which performance modifier was deemed achieved based on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performance as of February 9,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2024. The value included for PSUs granted in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reflects the number of shares to be awarded based on target achievement representing a 100%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 modifier.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(9)Represents value of PRSUs granted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2021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value of the PSUs granted in 2023, in each case, that were outstanding as of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that would become fully vested on retirement. This amount does not include any amounts with respect to dividends that accrued as of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The value included for PRSUs granted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reflects the number of shares to be awarded based on a 181.3% performance modifier,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which performance modifier was deemed achieved based on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performance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February 9,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The PRSUs granted in 2021 are fully settled as of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 date hereof. The value included for PSUs granted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reflects the number of shares to be awarded based on target achievement representing a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100% performance modifier.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(10)Represents value of outstanding RSUs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which would become fully vested on a change in control. This amount does not include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any amounts with respect to dividends that accrued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(11)Represents value of PRSUs granted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2021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and the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value of the PSUs granted in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, in each case, that were outstanding as of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that would become fully vested on a change in control. This amount does not include any amounts with respect to dividends that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accrued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December 31, 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The value included for PRSUs granted in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reflects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number of shares to be awarded based on a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181.3%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performance modifier, which performance modifier was deemed achieved based on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performance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February 9, 2024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. The PRSUs granted in 2021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are fully settled as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the date hereof. The value included for PSUs granted in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reflects the number of shares to be awarded based on target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 representing a 100% performance modifier.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8" name="Image1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Pay Ratio Disclosure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accordance with SEC rules and applying the methodology described below, we calculated the annual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of our median employee (other than our CEO) for 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be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$240,029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FFFFFF" w:val="clear"/>
        </w:rPr>
        <w:t xml:space="preserve">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reported in the Summary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Table for 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this Proxy Statement, the annual total compensation of our CEO for 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$14,307,658.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Based on this information, the ratio of the annual total compensation of our CEO to the annual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of our median employee for 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60:1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To identify our median employee, we used the following methodology: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determined our median employee based on our entire employee population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used a consistently applied compensation measure that included the sum of each employee’s base salary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(including overtime earned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), bonuses and commissions earned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the grant date fair value of all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equity granted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 annualized the base salaries for employees who were employed by us for less than the entire calendar year.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paid in foreign currencies was converted to U.S. dollars based on the annual plan rate for the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Using this approach, we identified our median employee and then calculated the annual total compensation of this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employee for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accordance with the requirements of the Summary Compensation Table.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This pay ratio is a reasonable estimate calculated in a manner consistent with SEC rules based on our payroll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employment records and the methodology described above. Because the SEC’s rules for identifying the median compensated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employee and calculating the pay ratio based on that employee’s annual total compensation allow companies to adopt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variety of methodologies, to apply certain exclusions and to make reasonable estimates and assumptions that reflect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practices, the pay ratio reported by other companies may not be comparable to the pay ratio reported above,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 companies may have different employment and compensation practices and may utilize different methodologies,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exclusions, estimates and assumptions in calculating their own pay ratios.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Pay Versus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required by Section 953(a) of the Dodd-Frank Wall Street Reform and Consumer Protection Act and Item 402(v)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Regulation S-K, we are providing the following information about the relationship between executive "compensation actually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paid" (calculated in accordance with Item 402(v) of Regulation S-K) and certain financial performance of the Company.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further information concerning the Company’s pay for performance philosophy and how the Company’s aligns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 with the Company’s performance, refer to "Executive Compensation—Compensation Discussion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Analysis". </w:t>
      </w:r>
    </w:p>
    <w:tbl>
      <w:tblPr>
        <w:tblW w:w="88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1"/>
        <w:gridCol w:w="871"/>
        <w:gridCol w:w="946"/>
        <w:gridCol w:w="961"/>
        <w:gridCol w:w="946"/>
        <w:gridCol w:w="811"/>
        <w:gridCol w:w="871"/>
        <w:gridCol w:w="721"/>
        <w:gridCol w:w="721"/>
        <w:gridCol w:w="946"/>
        <w:gridCol w:w="616"/>
      </w:tblGrid>
      <w:tr>
        <w:trPr/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1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Year</w:t>
            </w:r>
          </w:p>
        </w:tc>
        <w:tc>
          <w:tcPr>
            <w:tcW w:w="871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 xml:space="preserve">for PEO (Hult)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(1)</w:t>
            </w:r>
          </w:p>
        </w:tc>
        <w:tc>
          <w:tcPr>
            <w:tcW w:w="946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to PEO (Hult) 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(2)</w:t>
            </w:r>
          </w:p>
        </w:tc>
        <w:tc>
          <w:tcPr>
            <w:tcW w:w="961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 xml:space="preserve">for PEO (Olesky)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(1)</w:t>
            </w:r>
          </w:p>
        </w:tc>
        <w:tc>
          <w:tcPr>
            <w:tcW w:w="946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 xml:space="preserve">to PEO (Olesky)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(2)</w:t>
            </w:r>
          </w:p>
        </w:tc>
        <w:tc>
          <w:tcPr>
            <w:tcW w:w="811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NEOs 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(1)</w:t>
            </w:r>
          </w:p>
        </w:tc>
        <w:tc>
          <w:tcPr>
            <w:tcW w:w="871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to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NEOs 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(2)</w:t>
            </w:r>
          </w:p>
        </w:tc>
        <w:tc>
          <w:tcPr>
            <w:tcW w:w="1442" w:type="dxa"/>
            <w:gridSpan w:val="2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Value of Initial Fixed $100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Investment Based On:</w:t>
            </w:r>
          </w:p>
        </w:tc>
        <w:tc>
          <w:tcPr>
            <w:tcW w:w="946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Net Income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(5)</w:t>
            </w:r>
          </w:p>
        </w:tc>
        <w:tc>
          <w:tcPr>
            <w:tcW w:w="616" w:type="dxa"/>
            <w:vMerge w:val="restart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Constant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Currency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Revenue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Change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(%)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(6)</w:t>
            </w:r>
          </w:p>
        </w:tc>
      </w:tr>
      <w:tr>
        <w:trPr/>
        <w:tc>
          <w:tcPr>
            <w:tcW w:w="421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1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1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1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2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Shareholder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Return 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(3)</w:t>
            </w:r>
          </w:p>
        </w:tc>
        <w:tc>
          <w:tcPr>
            <w:tcW w:w="721" w:type="dxa"/>
            <w:tcBorders>
              <w:top w:val="single" w:sz="8" w:space="0" w:color="002856"/>
              <w:bottom w:val="single" w:sz="8" w:space="0" w:color="002856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Peer Group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Shareholder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0"/>
                <w:u w:val="none"/>
                <w:effect w:val="none"/>
              </w:rPr>
              <w:t>Return 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7"/>
                <w:u w:val="none"/>
                <w:effect w:val="none"/>
              </w:rPr>
              <w:t>(4)</w:t>
            </w:r>
          </w:p>
        </w:tc>
        <w:tc>
          <w:tcPr>
            <w:tcW w:w="946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vMerge w:val="continue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2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8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$14,307,658</w:t>
            </w:r>
          </w:p>
        </w:tc>
        <w:tc>
          <w:tcPr>
            <w:tcW w:w="9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$25,769,303</w:t>
            </w:r>
          </w:p>
        </w:tc>
        <w:tc>
          <w:tcPr>
            <w:tcW w:w="9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81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$8,643,595</w:t>
            </w:r>
          </w:p>
        </w:tc>
        <w:tc>
          <w:tcPr>
            <w:tcW w:w="8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$14,815,455</w:t>
            </w:r>
          </w:p>
        </w:tc>
        <w:tc>
          <w:tcPr>
            <w:tcW w:w="72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$199.77</w:t>
            </w:r>
          </w:p>
        </w:tc>
        <w:tc>
          <w:tcPr>
            <w:tcW w:w="72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$131.91</w:t>
            </w:r>
          </w:p>
        </w:tc>
        <w:tc>
          <w:tcPr>
            <w:tcW w:w="9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$419,503,000</w:t>
            </w:r>
          </w:p>
        </w:tc>
        <w:tc>
          <w:tcPr>
            <w:tcW w:w="6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12.2%</w:t>
            </w:r>
          </w:p>
        </w:tc>
      </w:tr>
      <w:tr>
        <w:trPr/>
        <w:tc>
          <w:tcPr>
            <w:tcW w:w="4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2022</w:t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$17,370,247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$(6,603,081)</w:t>
            </w:r>
          </w:p>
        </w:tc>
        <w:tc>
          <w:tcPr>
            <w:tcW w:w="8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$5,461,901</w:t>
            </w:r>
          </w:p>
        </w:tc>
        <w:tc>
          <w:tcPr>
            <w:tcW w:w="8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$(613,799)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$142.08</w:t>
            </w:r>
          </w:p>
        </w:tc>
        <w:tc>
          <w:tcPr>
            <w:tcW w:w="7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$113.64</w:t>
            </w:r>
          </w:p>
        </w:tc>
        <w:tc>
          <w:tcPr>
            <w:tcW w:w="9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$359,613,000</w:t>
            </w:r>
          </w:p>
        </w:tc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14.0%</w:t>
            </w:r>
          </w:p>
        </w:tc>
      </w:tr>
      <w:tr>
        <w:trPr/>
        <w:tc>
          <w:tcPr>
            <w:tcW w:w="4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2021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$14,771,567</w:t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$110,340,110</w:t>
            </w:r>
          </w:p>
        </w:tc>
        <w:tc>
          <w:tcPr>
            <w:tcW w:w="8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$5,375,755</w:t>
            </w:r>
          </w:p>
        </w:tc>
        <w:tc>
          <w:tcPr>
            <w:tcW w:w="8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$23,246,352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$218.10</w:t>
            </w:r>
          </w:p>
        </w:tc>
        <w:tc>
          <w:tcPr>
            <w:tcW w:w="7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$131.62</w:t>
            </w:r>
          </w:p>
        </w:tc>
        <w:tc>
          <w:tcPr>
            <w:tcW w:w="9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$273,108,000</w:t>
            </w:r>
          </w:p>
        </w:tc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19.3%</w:t>
            </w:r>
          </w:p>
        </w:tc>
      </w:tr>
      <w:tr>
        <w:trPr/>
        <w:tc>
          <w:tcPr>
            <w:tcW w:w="42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2020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4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6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$12,312,994</w:t>
            </w:r>
          </w:p>
        </w:tc>
        <w:tc>
          <w:tcPr>
            <w:tcW w:w="94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$66,016,725</w:t>
            </w:r>
          </w:p>
        </w:tc>
        <w:tc>
          <w:tcPr>
            <w:tcW w:w="81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$4,759,476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$17,470,321</w:t>
            </w:r>
          </w:p>
        </w:tc>
        <w:tc>
          <w:tcPr>
            <w:tcW w:w="72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$135.50</w:t>
            </w:r>
          </w:p>
        </w:tc>
        <w:tc>
          <w:tcPr>
            <w:tcW w:w="72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$99.47</w:t>
            </w:r>
          </w:p>
        </w:tc>
        <w:tc>
          <w:tcPr>
            <w:tcW w:w="94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$218,390,000</w:t>
            </w:r>
          </w:p>
        </w:tc>
        <w:tc>
          <w:tcPr>
            <w:tcW w:w="61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14.5%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(1)Mr. Hult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became our principal executive officer ("PEO") effective January 1, 2023, succeeding Mr. Olesky. The names of each of the NEOs (excluding our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then-current PEO) included for purposes of calculating the average amounts in each applicable year are as follows (collectively, our "Non-PEO NEOs"): (i)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for 2023, Sara Furber, Thomas Pluta, Enrico Bruni and Justin Peterson; (ii) for 2022, Sara Furber, Billy Hult, Enrico Bruni and Justin Peterson; (iii) for 2021,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Robert Warshaw, Sara Furber, Billy Hult, Enrico Bruni and Justin Peterson; and (iv) for 2020, Robert Warshaw, Billy Hult, Enrico Bruni and Justin Peterson.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(2)The dollar amounts reported represent the amount of "compensation actually paid", as computed in accordance with Item 402(v) of Regulation S-K.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dollar amounts do not reflect the actual amount of compensation earned by or paid during the applicable year. In accordance with SEC rules, the following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adjustments were made to total compensation to determine the compensation actually paid:</w:t>
      </w:r>
    </w:p>
    <w:tbl>
      <w:tblPr>
        <w:tblW w:w="71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61"/>
        <w:gridCol w:w="466"/>
        <w:gridCol w:w="1051"/>
        <w:gridCol w:w="1366"/>
        <w:gridCol w:w="1021"/>
        <w:gridCol w:w="1051"/>
      </w:tblGrid>
      <w:tr>
        <w:trPr/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</w:t>
            </w:r>
          </w:p>
        </w:tc>
        <w:tc>
          <w:tcPr>
            <w:tcW w:w="105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Reported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Table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Total</w:t>
            </w:r>
          </w:p>
        </w:tc>
        <w:tc>
          <w:tcPr>
            <w:tcW w:w="13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Reported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Grant Date Fair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Equity Awards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SCT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(a)</w:t>
            </w:r>
          </w:p>
        </w:tc>
        <w:tc>
          <w:tcPr>
            <w:tcW w:w="102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Award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Adjustments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(b)</w:t>
            </w:r>
          </w:p>
        </w:tc>
        <w:tc>
          <w:tcPr>
            <w:tcW w:w="105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Actually Paid </w:t>
            </w:r>
          </w:p>
        </w:tc>
      </w:tr>
      <w:tr>
        <w:trPr/>
        <w:tc>
          <w:tcPr>
            <w:tcW w:w="216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Billy Hult</w:t>
            </w:r>
          </w:p>
        </w:tc>
        <w:tc>
          <w:tcPr>
            <w:tcW w:w="4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5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$14,307,658</w:t>
            </w:r>
          </w:p>
        </w:tc>
        <w:tc>
          <w:tcPr>
            <w:tcW w:w="13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$10,126,779</w:t>
            </w:r>
          </w:p>
        </w:tc>
        <w:tc>
          <w:tcPr>
            <w:tcW w:w="102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$21,588,424</w:t>
            </w:r>
          </w:p>
        </w:tc>
        <w:tc>
          <w:tcPr>
            <w:tcW w:w="105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$25,769,303</w:t>
            </w:r>
          </w:p>
        </w:tc>
      </w:tr>
      <w:tr>
        <w:trPr/>
        <w:tc>
          <w:tcPr>
            <w:tcW w:w="216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Average of Non-PEO NEOs</w:t>
            </w:r>
          </w:p>
        </w:tc>
        <w:tc>
          <w:tcPr>
            <w:tcW w:w="4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5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$8,643,595</w:t>
            </w:r>
          </w:p>
        </w:tc>
        <w:tc>
          <w:tcPr>
            <w:tcW w:w="13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$6,348,732</w:t>
            </w:r>
          </w:p>
        </w:tc>
        <w:tc>
          <w:tcPr>
            <w:tcW w:w="102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$12,520,592</w:t>
            </w:r>
          </w:p>
        </w:tc>
        <w:tc>
          <w:tcPr>
            <w:tcW w:w="105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$14,815,455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(a)Represents the grant date fair value of equity awards as reported in the "Stock Awards" columns in the Summary Compensation Table ("SCT") in this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Proxy Statement.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58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29" name="Image1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Image1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(b)The equity award adjustments include the addition (or subtraction, as applicable) of the following: (i) the year-end fair value of any equity awards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granted that are outstanding and unvested as of the end of the year; (ii) the amount of change as of the end of the year (from the end of the prior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fiscal year) in fair value of any awards granted in prior years that are outstanding and unvested as of the end of the year; (iii) for awards that are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granted and vest in the same year, the fair value as of the vesting date; (iv) for awards granted in prior years that vest in the year, the amount equal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to the change as of the vesting date (from the end of the prior fiscal year) in fair value; (v) for awards granted in prior years that are determined to fail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to meet the applicable vesting conditions during the year, a deduction for the amount equal to the fair value at the end of the prior fiscal year; and (vi)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dollar value of any dividends or other earnings paid on 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or option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awards in the year prior to the vesting date that are not otherwise reflected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in the fair value of such award or included in any other component of total compensation for the year. The valuation assumptions used to calculate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fair values did not materially differ from those disclosed at the time of grant. The amounts deducted or added in calculating the equity award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adjustments are as follows:</w:t>
      </w:r>
    </w:p>
    <w:tbl>
      <w:tblPr>
        <w:tblW w:w="821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406"/>
        <w:gridCol w:w="871"/>
        <w:gridCol w:w="871"/>
        <w:gridCol w:w="766"/>
        <w:gridCol w:w="991"/>
        <w:gridCol w:w="781"/>
        <w:gridCol w:w="766"/>
        <w:gridCol w:w="94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 End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Granted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the Year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 over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Change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Granted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Prior Year</w:t>
            </w:r>
          </w:p>
        </w:tc>
        <w:tc>
          <w:tcPr>
            <w:tcW w:w="7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as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Date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Vested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the Year</w:t>
            </w:r>
          </w:p>
        </w:tc>
        <w:tc>
          <w:tcPr>
            <w:tcW w:w="99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During the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Fiscal Year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Through the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Vesting Date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Granted in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Prior Fiscal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Years that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Vested in the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78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at the End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the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Prior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that Failed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to Meet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Conditions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in the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Year</w:t>
            </w:r>
          </w:p>
        </w:tc>
        <w:tc>
          <w:tcPr>
            <w:tcW w:w="76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Dividends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or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Earnings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Paid 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Stock 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Otherwise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Reflected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in Fair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Value</w:t>
            </w:r>
          </w:p>
        </w:tc>
        <w:tc>
          <w:tcPr>
            <w:tcW w:w="94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Award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Adjustments</w:t>
            </w:r>
          </w:p>
        </w:tc>
      </w:tr>
      <w:tr>
        <w:trPr/>
        <w:tc>
          <w:tcPr>
            <w:tcW w:w="18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Billy Hult</w:t>
            </w:r>
          </w:p>
        </w:tc>
        <w:tc>
          <w:tcPr>
            <w:tcW w:w="40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8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$18,482,789</w:t>
            </w:r>
          </w:p>
        </w:tc>
        <w:tc>
          <w:tcPr>
            <w:tcW w:w="8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$2,764,869</w:t>
            </w:r>
          </w:p>
        </w:tc>
        <w:tc>
          <w:tcPr>
            <w:tcW w:w="7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9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$244,691</w:t>
            </w:r>
          </w:p>
        </w:tc>
        <w:tc>
          <w:tcPr>
            <w:tcW w:w="78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76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$96,076</w:t>
            </w:r>
          </w:p>
        </w:tc>
        <w:tc>
          <w:tcPr>
            <w:tcW w:w="94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$21,588,424</w:t>
            </w:r>
          </w:p>
        </w:tc>
      </w:tr>
      <w:tr>
        <w:trPr/>
        <w:tc>
          <w:tcPr>
            <w:tcW w:w="181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Average of Non-PEO NEOs</w:t>
            </w:r>
          </w:p>
        </w:tc>
        <w:tc>
          <w:tcPr>
            <w:tcW w:w="40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2023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$11,557,099</w:t>
            </w:r>
          </w:p>
        </w:tc>
        <w:tc>
          <w:tcPr>
            <w:tcW w:w="87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$808,946</w:t>
            </w:r>
          </w:p>
        </w:tc>
        <w:tc>
          <w:tcPr>
            <w:tcW w:w="7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99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$110,823</w:t>
            </w:r>
          </w:p>
        </w:tc>
        <w:tc>
          <w:tcPr>
            <w:tcW w:w="78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$—</w:t>
            </w:r>
          </w:p>
        </w:tc>
        <w:tc>
          <w:tcPr>
            <w:tcW w:w="76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$43,724</w:t>
            </w:r>
          </w:p>
        </w:tc>
        <w:tc>
          <w:tcPr>
            <w:tcW w:w="94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$12,520,592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(3)The dollar amounts reported represent the amount of cumulative total return for the Class A common stock ("Company Cumulative TSR") calculated as of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the end of each measurement period based on an initial investment of $100 in the Class A common stock on December 31, 2019, assuming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reinvestment of all dividends.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(4)The dollar amounts reported represent the amount of cumulative total return for the Dow Jones US Financials Index (“Peer Group Cumulative TSR”)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calculated as of the end of each measurement period based on an initial investment of $100 in shares of the Dow Jones US Financials Index on December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31, 2019, assuming the reinvestment of all dividends.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(5)The dollar amounts reported represent the amount of net income reflected in the Company’s audited financial statements for the applicable year.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(6)The percentage amounts reported represent the constant currency revenue change, which is a non-GAAP financial measure, defined as total revenue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change excluding the effects of foreign currency fluctuations. Total revenue excluding the effects of foreign currency fluctuations is calculated by translating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current period and prior period’s total revenue using the annual average exchange rates for the prior period.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Financial Performance Measures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described in greater detail in "Executive Compensation—Compensation Discussion and Analysis",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compensation program reflects a variable pay-for-performance philosophy. The performance metrics that we use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both our long-term and short-term incentive awards are selected based on the objective of incentivizing our NEOs to increase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value of our enterprise for our shareholders. The most important financial performance measures used by the Company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link executive compensation actually paid to the Company’s NEOs for the most recently completed fiscal year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performance are as follows: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Constant Currency Revenue Change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Constant Currency Adjusted EBITDA Margin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Total Shareholder Return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Analysis of the Information Presented in the Pay versus Performance Table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described in more detail in the section "Executive Compensation—Compensation Discussion and Analysis",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Company’s executive compensation program reflects a variable pay-for-performance philosophy. While the Company utilizes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several performance measures to align executive compensation with Company performance, including non-financial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 measures, all of those Company measures are not presented in the Pay versus Performance table. Moreover,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 generally seeks to incentivize long-term performance and therefore does not specifically align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performance measures with compensation that is actually paid (as computed in accordance with SEC rules) for a particular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year. In accordance with Item 402(v) of Regulation S-K, the Company is providing the following descriptions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relationships between information presented in the Pay versus Performance table.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>Compensation Actually Paid and Cumulative TSR</w:t>
      </w:r>
      <w:r>
        <w:rPr>
          <w:strike w:val="false"/>
          <w:dstrike w:val="false"/>
          <w:color w:val="002856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year-end, the Company’s Cumulative TSR increased 41%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$199.77, while the Peer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Group Cumulative TSR increased 16%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$131.91, the compensation actually paid to the PEO increased $32.4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compared to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the average of the compensation actually paid to the Non-PEO NEOs increased $15.4 million.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significant increases in both the compensation actually paid to the PEO and the average of the Non-PEO NEOs, both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0" name="Image1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59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going from a negative number to a positive, was primarily driven by the increase in fair value of equity awards granted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both the current and prior years, compared to declines in the prior year, and is consistent with the increase in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Cumulative TSR and the significant component of executive compensation paid in equity.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the Company’s Cumulative TSR decreased 35% to $142.08, while the Peer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Group Cumulative TSR decreased 14% to $113.64, the compensation actually paid to the PEO decreased 106% during 2022,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as compared to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average of the compensation actually paid to the Non-PEO NEOs decreased 103%.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significant declines in both the compensation actually paid to the PEO and the average of the Non-PEO NEOs was primarily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driven by the decline in fair value of equity awards granted in both the current and prior years and is consistent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decline in the Company’s Cumulative TSR and the significant component of executive compensation paid in equity.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the Company’s Cumulative TSR increased 61% to $218.10, while the Peer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Group Cumulative TSR increased 32% to $131.62, the compensation actually paid to the PEO increased 67% during 2021, as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compared to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average of the compensation actually paid to the Non-PEO NEOs increased 33%. The significant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increases in both the compensation actually paid to the PEO and the average of the Non-PEO NEOs was primarily driven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increase in fair value of equity awards granted in both the current and prior years and is consistent with the increase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Company’s Cumulative TSR and the significant component of executive compensation paid in equity.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2019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the Company’s Cumulative TSR increased 36% to $135.50, while the Peer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Group Cumulative TSR decreased 1% to $99.47.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graphic below illustrates the relationship between compensation actually paid to the Company’s Cumulative TSR,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as well as the relationship between the Company’s Cumulative TSR to the Peer Group Cumulative TSR for each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periods described above.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486400" cy="2926080"/>
            <wp:effectExtent l="0" t="0" r="0" b="0"/>
            <wp:docPr id="131" name="Image1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131" descr="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Compensation Actually Paid and Net Income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net income increased 17%, the compensation actually paid to the PEO increased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$32.4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average of the compensation actually paid to the Non-PEO NEOs increased $15.4 million. The primary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driver of the increase in compensation actually paid in 2023, a significant component of which is compensation paid in equity,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the positive equity award adjustments driven by a current year increase in fair value of equity awards granted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current and prior years, in comparison to a prior year decline in fair value of equity awards granted in the current and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years. Therefore, the increase in net income, representing the Company’s strong performance during the year, did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directionally correlate with the increases in compensation actually paid during the year, as the increase in net income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correlated with the stock price appreciation during the year.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net income increased 32%, while the compensation actually paid to the PEO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decreased 106%, and the average of the compensation actually paid to the Non-PEO NEOs decreased 103%, as compared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2021. The increase in net income, representing the Company’s strong performance during the year, did not directionally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correlate with the declines in compensation actually paid as the increase in net income did not correlate with the stock price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depreciation during the year. Declines in the compensation actually paid were primarily driven by declines in the fair value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awards granted in both the current and prior years, resulting in negative equity award adjustments. Equity awards are a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2" name="Image1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significant component of executive compensation and therefore these adjustments have a significant impact on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actually paid.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net income increased 25%, the compensation actually paid to the PEO increased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67% and the average of the compensation actually paid to the Non-PEO NEOs increased 33%. The primary driver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increase in compensation actually paid in 2021, a significant component of which is compensation paid in equity, was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positive equity award adjustments driven by the increase in fair value of equity awards granted in both the current and prior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years. Therefore, the increase in net income, representing the Company’s strong performance during the year, did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directionally correlate with the increases in compensation actually paid during the year, as the increase in net income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correlated with the stock price appreciation during the year.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2019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net income increased 26%.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graphic below illustrates the relationship between compensation actually paid to the Company’s net income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each of the periods described above.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486400" cy="3474720"/>
            <wp:effectExtent l="0" t="0" r="0" b="0"/>
            <wp:docPr id="133" name="Image1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133" descr="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</w:pPr>
      <w:r>
        <w:rPr>
          <w:rFonts w:ascii="Times New Roman" w:hAnsi="Times New Roman"/>
          <w:b/>
          <w:i/>
          <w:strike w:val="false"/>
          <w:dstrike w:val="false"/>
          <w:color w:val="002856"/>
          <w:sz w:val="20"/>
          <w:u w:val="none"/>
          <w:effect w:val="none"/>
        </w:rPr>
        <w:t xml:space="preserve">Compensation Actually Paid and Constant Currency Revenue Change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constant currency revenue increased 12.2%, the compensation actually paid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PEO increased $32.4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the average of the compensation actually paid to the Non-PEO NEOs increased $15.4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million. Our constant currency revenue change directly correlated with the increase in the "Non-Equity Incentive Plan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Compensation" component of compensation actually paid to Mr. Hult, as his annual performance bonus was based, in part, 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constant currency revenue growth targets, which achieved the maximum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payout performance goals set by the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Committee for 2023. The number of PRSUs granted during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both the PEO and Non-PEO NEOs were also positively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impacted by achieving above the target constant currency revenue change goals set for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(which, when combined with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constant currency Adjusted EBITDA margin performance, resulted in the application of a total 181.3%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modifier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to the awards). However, the primary driver of the increase in compensation actually paid during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the positive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award adjustments, primarily driven by the current year increase in fair value of equity awards granted in both the current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prior years, in comparison to a prior year decline, as a result of stock price appreciation during the year and the significant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component of executive compensation paid in equity.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constant currency revenue increased 14%, while the compensation actually paid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the PEO decreased 106%, and the average of the compensation actually paid to the Non-PEO NEOs decreased 103%,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compared to 2021. Our constant currency revenue change directly correlated with the decline in the "Non-Equity Incentive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Plan Compensation" component of compensation actually paid to Messrs. Olesky and Hult (as one of the Non-PEO NEOs)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their annual performance bonuses were based, in part, on constant currency revenue growth targets, which did not reach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maximum payout performance goals set by the Compensation Committee for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where such maximum payout goals were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4" name="Image1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reached in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2020. The number of PRSUs granted during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both the PEO and Non-PEO NEOs were also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negatively impacted by not reaching the maximum payout performance goals set for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(impacting the performance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modifier applicable for the award). By linking the performance modifier for PRSUs to important metrics of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business performance, including constant currency revenue growth, the NEOs’ interests are aligned with those of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drive revenue and margin growth. Declines in the compensation actually paid were primarily driven by the decline in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of equity awards granted in both the current and prior years, resulting in negative equity award adjustments,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awards are a significant component of executive compensation and therefore these adjustments have a significant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impact on compensation actually paid.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constant currency revenue increased 19.3%, the compensation actually paid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PEO increased 67% and the average of the compensation actually paid to the Non-PEO NEOs increased 33%.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constant currency revenue change directly correlated with the increase in the "Non-Equity Incentive Plan Compensation"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component of compensation actually paid to Messrs. Olesky and Hult (as one of the Non-PEO NEOs) as their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performance bonuses were based, in part, on constant currency revenue growth targets, which achieved the maximum payout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performance goals set by the Compensation Committee for 2021. The number of PRSUs granted during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both the PEO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Non-PEO NEOs were also positively impacted by achieving the maximum payout performance goals set for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(resulting in the application of the maximum performance modifier for the award). However, the primary driver of the change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 compensation actually paid during 2021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was the positive equity award adjustments, primarily driven by the increase in fair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value of equity awards granted in both the current and prior years, as a result of stock price appreciation during the year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significant component of executive compensation paid in equity.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From 2019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year-end to 2020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year-end, constant currency revenue increase was 14.5%.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graphic below illustrates the relationship between compensation actually paid to the Company’s constant currency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revenue change for each of the periods described above.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486400" cy="2926080"/>
            <wp:effectExtent l="0" t="0" r="0" b="0"/>
            <wp:docPr id="135" name="Image1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Image135" descr="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26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Director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During fiscal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members of the Board were compensated for their service pursuant to the terms of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Non-Employee Director Compensation Policy.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each of Mr. Aigrain, Mr. Berns, Mr. Dixon, Mr. Ganeles, Ms. Madoff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Ms. Yared was entitled to an annual retainer of $100,000 and an annual grant of RSUs with a value of $150,000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time of grant. Pursuant to the Company's Non-Employee Director Compensation Policy, for new directors, the RSUs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granted in connection with the director’s appointment to the Board or at the next occurring annual meeting of stockholders,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Board’s discretion. For continuing directors, RSUs are granted on the date of the annual meeting of stockholders and vest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the one-year anniversary of the grant date. In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 following directors received grants in the amounts and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vesting schedules set forth below: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6" name="Image1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tbl>
      <w:tblPr>
        <w:tblW w:w="41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1"/>
        <w:gridCol w:w="1261"/>
        <w:gridCol w:w="1591"/>
      </w:tblGrid>
      <w:tr>
        <w:trPr/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2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# of RSUs granted</w:t>
            </w:r>
          </w:p>
        </w:tc>
        <w:tc>
          <w:tcPr>
            <w:tcW w:w="159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Vest Date</w:t>
            </w:r>
          </w:p>
        </w:tc>
      </w:tr>
      <w:tr>
        <w:trPr/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Jacques Aigrain</w:t>
            </w:r>
          </w:p>
        </w:tc>
        <w:tc>
          <w:tcPr>
            <w:tcW w:w="12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3,427</w:t>
            </w:r>
          </w:p>
        </w:tc>
        <w:tc>
          <w:tcPr>
            <w:tcW w:w="15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15, 2024</w:t>
            </w:r>
          </w:p>
        </w:tc>
      </w:tr>
      <w:tr>
        <w:trPr/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Steven Berns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2,280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15, 2024</w:t>
            </w:r>
          </w:p>
        </w:tc>
      </w:tr>
      <w:tr>
        <w:trPr/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Troy Dixon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2,486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15, 2024</w:t>
            </w:r>
          </w:p>
        </w:tc>
      </w:tr>
      <w:tr>
        <w:trPr/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Scott Ganeles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2,362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15, 2024</w:t>
            </w:r>
          </w:p>
        </w:tc>
      </w:tr>
      <w:tr>
        <w:trPr/>
        <w:tc>
          <w:tcPr>
            <w:tcW w:w="12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Paula Madoff</w:t>
            </w:r>
          </w:p>
        </w:tc>
        <w:tc>
          <w:tcPr>
            <w:tcW w:w="12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3,138</w:t>
            </w:r>
          </w:p>
        </w:tc>
        <w:tc>
          <w:tcPr>
            <w:tcW w:w="159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15, 2024</w:t>
            </w:r>
          </w:p>
        </w:tc>
      </w:tr>
      <w:tr>
        <w:trPr/>
        <w:tc>
          <w:tcPr>
            <w:tcW w:w="12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Lee Olesky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26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4,620</w:t>
            </w:r>
          </w:p>
        </w:tc>
        <w:tc>
          <w:tcPr>
            <w:tcW w:w="159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December 31, 2023</w:t>
            </w:r>
          </w:p>
        </w:tc>
      </w:tr>
      <w:tr>
        <w:trPr/>
        <w:tc>
          <w:tcPr>
            <w:tcW w:w="129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Rana Yared</w:t>
            </w:r>
          </w:p>
        </w:tc>
        <w:tc>
          <w:tcPr>
            <w:tcW w:w="126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1,627</w:t>
            </w:r>
          </w:p>
        </w:tc>
        <w:tc>
          <w:tcPr>
            <w:tcW w:w="159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 15, 2024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(1) Mr. Olesky forfeited 2,310 shares of the grant in connection with his retirement on June 30, 2023.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Pursuant to the Company’s Non-Employee Director Compensation Policy, for cash compensation, Chairpersons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eligible to receive an additional $50,000 for the Chairperson of the Board, $30,000 for the Chairperson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Committee, $25,000 for the Chairperson of the Compensation Committee and $20,000 for the Chairperson of the Nominating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Corporate Governance Committee. Non-Chairperson committee members are eligible to receive $15,000 for service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Audit Committee, $12,500 for service on the Compensation Committee and $10,000 for service on the Nominating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Corporate Governance Committee. In addition, the Lead Independent Director is entitled to receive $30,000 for their service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lead independent director. For equity compensation, the Chairperson is entitled to receive an additional annual equity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award composed of RSUs valued at $150,000, for a total annual award value of $300,000. The Lead Independent Director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entitled to receive an additional award composed of RSUs valued at $30,000, for a total annual award value of $180,000.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 to the above, all non-employee directors were reimbursed for out-of-pocket expenses incurred in attending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Board and committee meetings and for the reasonable and documented expenses incurred to attend programs designed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 continuing education.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summarizes the compensation paid to directors for the fiscal year ended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except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for Mr. Hult and Mr. Pluta, whose compensation is summarized above in the table entitled "Executive Compensation Tables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—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Summary Compensation Table". </w:t>
      </w:r>
    </w:p>
    <w:tbl>
      <w:tblPr>
        <w:tblW w:w="45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21"/>
        <w:gridCol w:w="1126"/>
        <w:gridCol w:w="1036"/>
        <w:gridCol w:w="736"/>
      </w:tblGrid>
      <w:tr>
        <w:trPr/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1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Fees Earned or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Paid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in Cash ($)</w:t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 xml:space="preserve">Stock Awards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($)</w:t>
            </w: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9"/>
                <w:u w:val="none"/>
                <w:effect w:val="none"/>
              </w:rPr>
              <w:t>(1)</w:t>
            </w:r>
          </w:p>
        </w:tc>
        <w:tc>
          <w:tcPr>
            <w:tcW w:w="73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Total ($)</w:t>
            </w:r>
          </w:p>
        </w:tc>
      </w:tr>
      <w:tr>
        <w:trPr/>
        <w:tc>
          <w:tcPr>
            <w:tcW w:w="162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Jacques Aigrain</w:t>
            </w:r>
          </w:p>
        </w:tc>
        <w:tc>
          <w:tcPr>
            <w:tcW w:w="11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160,000</w:t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249,500</w:t>
            </w:r>
          </w:p>
        </w:tc>
        <w:tc>
          <w:tcPr>
            <w:tcW w:w="7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409,500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Balbir Bakhshi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Steven Berns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130,000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166,000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296,000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Troy Dixon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98,750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181,000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279,750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Scott Ganeles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127,500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172,000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299,500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Catherine Johnson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Paula Madoff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182,500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228,500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411,000</w:t>
            </w:r>
          </w:p>
        </w:tc>
      </w:tr>
      <w:tr>
        <w:trPr/>
        <w:tc>
          <w:tcPr>
            <w:tcW w:w="162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Lee Olesky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1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75,000</w:t>
            </w:r>
          </w:p>
        </w:tc>
        <w:tc>
          <w:tcPr>
            <w:tcW w:w="10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300,000</w:t>
            </w:r>
          </w:p>
        </w:tc>
        <w:tc>
          <w:tcPr>
            <w:tcW w:w="73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375,000</w:t>
            </w:r>
          </w:p>
        </w:tc>
      </w:tr>
      <w:tr>
        <w:trPr/>
        <w:tc>
          <w:tcPr>
            <w:tcW w:w="162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Murray Roos</w:t>
            </w:r>
          </w:p>
        </w:tc>
        <w:tc>
          <w:tcPr>
            <w:tcW w:w="11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621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6"/>
              </w:rPr>
              <w:t>Rana Yared</w:t>
            </w:r>
          </w:p>
        </w:tc>
        <w:tc>
          <w:tcPr>
            <w:tcW w:w="112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115,000</w:t>
            </w:r>
          </w:p>
        </w:tc>
        <w:tc>
          <w:tcPr>
            <w:tcW w:w="103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118,500</w:t>
            </w:r>
          </w:p>
        </w:tc>
        <w:tc>
          <w:tcPr>
            <w:tcW w:w="736" w:type="dxa"/>
            <w:tcBorders>
              <w:bottom w:val="single" w:sz="8" w:space="0" w:color="002856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233,500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(1)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242424"/>
          <w:sz w:val="14"/>
          <w:u w:val="none"/>
          <w:effect w:val="none"/>
        </w:rPr>
        <w:t xml:space="preserve">The amounts included in the "Stock Awards" column represent the grant date fair value of RSUs computed in accordance with FASB ASC Topic 718.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242424"/>
          <w:sz w:val="14"/>
          <w:u w:val="none"/>
          <w:effect w:val="none"/>
        </w:rPr>
        <w:t xml:space="preserve">Details and assumptions used in calculating the grant date fair value of the restricted stock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unit awards may be found in Note 13—Stock-Based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Plans to our consolidated financial statements in our Annual Report on Form 10-K for the fiscal year ended December 31, 2023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 xml:space="preserve">. In addition,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as of December 31, 2023, Mr. Aigrain held 1,418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  <w:shd w:fill="FFFFFF" w:val="clear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  <w:shd w:fill="FFFFFF" w:val="clear"/>
        </w:rPr>
        <w:t>RSUs, Mr. Berns h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eld 731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RSUs, Mr. Ganeles held 8,729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and Ms. Madoff held 8,729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Neither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 Dixon nor Ms. Yared held RSUs pursuant to the Equity Plan as of December 31, 2023.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(2)Mr. Dixon was appointed to the Board effective as of March 1, 2023.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(3)Ms. Johnson was appointed to the Board effective as of May 15, 2023.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(4)Mr. Olesky retired from the Board effective as of June 30, 2023.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Lisa Opoku was appointed to the Board on March 7, 2024. She is eligible to receive annual cash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compensation of $100,000 and an annual grant of RSUs with an aggregate value of $150,000, each prorated to reflect days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service.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Executive Compensation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7" name="Image1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1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63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Securities Authorized for Issuance Under Equity </w:t>
      </w:r>
    </w:p>
    <w:p>
      <w:pPr>
        <w:pStyle w:val="TextBody"/>
        <w:bidi w:val="0"/>
        <w:spacing w:lineRule="atLeast" w:line="400" w:before="0" w:after="0"/>
        <w:jc w:val="left"/>
        <w:rPr>
          <w:sz w:val="40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Compensation Plans</w:t>
      </w:r>
      <w:r>
        <w:rPr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following table provides information about shares of the Class A common stock authorized for issuance under all 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our equity compensation plans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December 31, 2023: </w:t>
      </w:r>
    </w:p>
    <w:tbl>
      <w:tblPr>
        <w:tblW w:w="930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16"/>
        <w:gridCol w:w="1231"/>
        <w:gridCol w:w="226"/>
        <w:gridCol w:w="1231"/>
        <w:gridCol w:w="226"/>
        <w:gridCol w:w="1606"/>
        <w:gridCol w:w="271"/>
      </w:tblGrid>
      <w:tr>
        <w:trPr/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1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Plan Category</w:t>
            </w:r>
          </w:p>
        </w:tc>
        <w:tc>
          <w:tcPr>
            <w:tcW w:w="12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securities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be issued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upon exercise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outstanding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options, warrants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(a)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exercise price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of outstanding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options, warrants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(b)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securities remaining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available for future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issuance under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compensation plans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(excluding securities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reflected in column (a))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(c)</w:t>
            </w:r>
          </w:p>
        </w:tc>
        <w:tc>
          <w:tcPr>
            <w:tcW w:w="271" w:type="dxa"/>
            <w:tcBorders>
              <w:bottom w:val="single" w:sz="8" w:space="0" w:color="002856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1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compensation plans approved by security holders</w:t>
            </w:r>
          </w:p>
        </w:tc>
        <w:tc>
          <w:tcPr>
            <w:tcW w:w="123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3,563,390</w:t>
            </w:r>
          </w:p>
        </w:tc>
        <w:tc>
          <w:tcPr>
            <w:tcW w:w="2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23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$24.37</w:t>
            </w:r>
          </w:p>
        </w:tc>
        <w:tc>
          <w:tcPr>
            <w:tcW w:w="22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606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5,889,066</w:t>
            </w:r>
          </w:p>
        </w:tc>
        <w:tc>
          <w:tcPr>
            <w:tcW w:w="271" w:type="dxa"/>
            <w:tcBorders>
              <w:top w:val="single" w:sz="8" w:space="0" w:color="002856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</w:tr>
      <w:tr>
        <w:trPr/>
        <w:tc>
          <w:tcPr>
            <w:tcW w:w="45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Equity compensation plans not approved by security holders</w:t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1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Total</w:t>
            </w:r>
          </w:p>
        </w:tc>
        <w:tc>
          <w:tcPr>
            <w:tcW w:w="123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3,563,390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6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5,889,066</w:t>
            </w:r>
          </w:p>
        </w:tc>
        <w:tc>
          <w:tcPr>
            <w:tcW w:w="271" w:type="dxa"/>
            <w:tcBorders>
              <w:bottom w:val="single" w:sz="8" w:space="0" w:color="002856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(1)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Includes 1,023,384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shares of common stock that may be issued pursuant to outstanding RSUs, 251,113 shares of common stock that may be issued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pursuant to outstanding PSUs and 1,276,717 shares of common stock that may be issued pursuant to outstanding PRSUs under the Equity Plan; and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1,012,176 shares of common stock that may be issued pursuant to outstanding stock options under the Option Plan. 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The number of PRSUs set forth above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includes PRSUs for which performance has already been measured (and achieved based on a performance modifier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181.3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 xml:space="preserve">%) but, as of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December 31,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2023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, remained subject to time-based vesting.</w:t>
      </w:r>
    </w:p>
    <w:p>
      <w:pPr>
        <w:pStyle w:val="TextBody"/>
        <w:bidi w:val="0"/>
        <w:spacing w:lineRule="atLeast" w:line="142" w:before="0" w:after="0"/>
        <w:jc w:val="left"/>
        <w:rPr>
          <w:rFonts w:ascii="Arial" w:hAnsi="Arial"/>
          <w:b w:val="false"/>
          <w:i w:val="false"/>
          <w:caps w:val="false"/>
          <w:smallCaps w:val="false"/>
          <w:sz w:val="1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(2)The weighted average exercise price does not take into account RSU, PRSU or PSU awards.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z w:val="14"/>
        </w:rPr>
        <w:t>(3)In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cludes 5,407,444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shares of common stock that remain available for issuance under the Equity Plan; and 481,622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 xml:space="preserve">shares of common stock that remain </w:t>
      </w:r>
    </w:p>
    <w:p>
      <w:pPr>
        <w:pStyle w:val="TextBody"/>
        <w:bidi w:val="0"/>
        <w:spacing w:lineRule="atLeast" w:line="142" w:before="0" w:after="0"/>
        <w:jc w:val="left"/>
        <w:rPr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available for issuance under the Option Plan</w:t>
      </w:r>
      <w:r>
        <w:rPr>
          <w:rFonts w:ascii="Arial" w:hAnsi="Arial"/>
          <w:b w:val="false"/>
          <w:i w:val="false"/>
          <w:caps w:val="false"/>
          <w:smallCaps w:val="false"/>
          <w:sz w:val="14"/>
        </w:rPr>
        <w:t>. No additional awards are permitted to be issued under the PRSU Plan.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64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8" name="Image1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Certain Relationships and Related Person Transactions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POLICIES AND PROCEDURES FOR RELATED PERSON TRANSACTIONS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 has adopted a written policy providing that the Audit Committee will review and approve (or disapprove)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ratify transactions in excess of $120,000 of value in which we participate and in which a related person (as defined below) has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will have a direct or indirect material interest. Under this policy, the Audit Committee is to obtain all information it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believes to be relevant to a review and approval or ratification of these transactions. After consideration of the relevant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information, the Audit Committee is to approve only those related person transactions that the Audit Committee determines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are not inconsistent with the best interests of the Company. In particular, our policy with respect to related person transactions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requires our Audit Committee to consider the relationship of the related person to the Company, the nature and extent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related party’s interest in the transaction, the material terms of the transaction, the importance and fairness of the transaction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both to the Company and to the related person, the business rationale for engaging in the transaction, whether the transaction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would likely impair the judgment of a director or executive officer to act in the best interest of the Company and whether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value and the terms of the transaction are substantially similar as compared to those of similar transactions previously entered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into by the Company with non-related persons, if any. In general, a "related person" is any person who is or was 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officers, directors or director nominees or is a holder of more than 5% of our common stock, or an immediate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family member of any of the foregoing persons.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 following is a description of transactions since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January 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which we were or are to be a participant,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which the amount involved exceeded or will exceed $120,000, and in which any of our executive officers, directors or 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more than 5% of any class of our voting securities, or immediate family member thereof, had or will have a direct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indirect material interest. We believe the terms obtained or consideration that we paid or received, as applicable, in connection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the transactions described below were comparable to terms available or amounts that would be paid or received,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applicable, in arm’s-length transactions with unrelated third parties. To the extent there are pre-IPO transactions described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below they were entered into prior to the adoption of our related person transactions policy.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Certain of the disclosures in this section are summaries of certain provisions of our related party agreements and are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qualified in their entirety by reference to all of the provisions of such agreements. Because these descriptions are only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summaries of the applicable agreements, they do not necessarily contain all of the information that you may find useful.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TRANSACTIONS WITH REFINITIV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maintain a shared services agreement with Refinitiv, which indirectly owns a majority of our voting power.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terms of the shared services and other agreements, Refinitiv provides us with certain market data, office space, finance,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HR and other administrative services. The shared services agreement was amended in June 2016 to continue to be in effect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perpetuity, except that the agreement will automatically terminate upon termination of the market data license agreement.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addition, either party can terminate the shared services agreement with respect to one or more services upon written notice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delivered, in the case of termination effective at the end of the then-current calendar year, 90 days prior to the end of such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calendar year or, in the case of termination effective at any other date, at least six months prior to such date.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the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ended December 31, 2023, we incurred fees of approximately $3.0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relating to these services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October 2023, we signed an amended and restated two-year market data license agreement with an affiliate of LSEG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(referred to as "LSEG Data &amp; Analytics", formerly referred to as "Refinitiv"), pursuant to which LSEG will continue to use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distribute certain of our data directly to LSEG customers through its flagship financial platforms, LSEG Workspace,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Datascope, LSEG Pricing Service and Tick History. The 2023 agreement, which was effective on November 1, 2023,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replaced an existing agreement that was initiated in 2010 and most recently renewed in 2018. The agreement includes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customary termination provisions, including in the event of a material breach that is not cured within 30 days of receipt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written notice.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During the year ended December 31, 2023, we earned approximately $64.3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of revenue under this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agreement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From time to time, we enter into transactions with certain of our 5% stockholders listed under the heading “Security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Ownership of Certain Beneficial Owners and Management”, including Refinitiv and its affiliates, that are not considered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related party transactions required to be disclosed under SEC rules.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RELATED PERSON TRANSACTIONS ENTERED INTO IN CONNECTION WITH THE IPO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connection with the Reorganization Transactions, we engaged in certain transactions with certain of our directors,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officers and other persons and entities, including those which are holders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5%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more of our voting securities.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39" name="Image1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1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65</w:t>
            </w:r>
          </w:p>
        </w:tc>
      </w:tr>
    </w:tbl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TWM LLC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operate our business through TWM LLC and its subsidiaries. In connection with the IPO, we and the owners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TWM LLC prior to the Reorganization Transactions (including the Refinitiv Owners, the Bank Members named therein (such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Bank Members, the "Bank Stockholders") and members of management, the "Original LLC Owners") that received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 entered into TWM LLC’s fifth amended and restated limited liability company agreement, which we refer to as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"TWM LLC Agreement".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13,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there are no remaining Bank Stockholders. The operations of TWM LLC,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the rights and obligations of the holders of LLC Interests, are set forth in the TWM LLC Agreement.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Appointment as Manager.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the TWM LLC Agreement, we are a member and the sole manager of TWM LLC.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sole manager, we are able to control all of the day-to-day business affairs and decision-making of TWM LLC without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approval of any other member, unless otherwise stated in the TWM LLC Agreement. As such, we, through our officers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directors, are responsible for all operational and administrative decisions of TWM LLC and the day-to-day management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TWM LLC’s business. Pursuant to the terms of the TWM LLC Agreement, we cannot, under any circumstances, be removed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the sole manager of TWM LLC except by our election.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Compensation.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We</w:t>
      </w:r>
      <w:r>
        <w:rPr/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are not entitled to compensation for our services as manager. We are entitled to reimbursement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TWM LLC for fees and expenses incurred on behalf of TWM LLC, including all expenses associated with maintaining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existence as a separate legal entity.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Recapitalization.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TWM LLC Agreement recapitalized the units held by the members of TWM LLC at the time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Reorganization Transactions into a single class of common membership units, which we refer to as the "LLC Interests".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TWM LLC Agreement also reflects a split of LLC Interests such that one LLC Interest could be acquired with the net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proceeds received in the IPO from the sale of one share of the Class A common stock. Each LLC Interest entitles the holder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pro rata share of the net profits and net losses and distributions of TWM LLC.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Distributions.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connection with any tax period, the TWM LLC Agreement requires TWM LLC to make distributions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its members, on a pro rata basis in proportion to the number of LLC Interests held by each member, of cash until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 (other than us) has received an amount at least equal to its assumed tax liability and we have received an amount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sufficient to enable us to timely satisfy all of our U.S. federal, state and local and non-U.S. tax liabilities. To the extent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member would not receive its percentage interest of the aggregate tax distribution, the tax distribution for such member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will be increased to ensure that all distributions are made pro rata in accordance with such member’s percentage interest. Tax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distributions will also be made only to the extent all distributions from TWM LLC for the relevant period were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insufficient to enable each member to cover its tax liabilities as calculated in the manner described above. The TWM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 also allows for distributions to be made by TWM LLC to its members on a pro rata basis out of distributable cash.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expect TWM LLC may make distributions out of distributable cash periodically to the extent permitted by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agreements governing our indebtedness, as applicable, and necessary to enable us to cover our operating expenses and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obligations, including any payments under the Tax Receivable Agreement, as well as to make expected dividend payments, if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any, to the holders of the Class A common stock and Class B common stock.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LLC Interest Redemption Right.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Subject to certain restrictions set forth therein, the TWM LLC Agreement provides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redemption right to the Original LLC Owners (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including certain of the Bank Stockholders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members of management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excluding the Refinitiv LLC Owner) that continue to own LLC Interests after the completion of the IPO and Reorganization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Transactions (the "Other LLC Owners", and together with the Refinitiv LLC Owner, the "Continuing LLC Owners"), which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entitles them to have their LLC Interests redeemed, at the election of each such person, for newly issued shares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common stock or Class B common stock, as applicable, on a one-for-one basis (subject to customary adjustments,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stock splits, stock dividends and reclassifications) or, at our option, as determined by or at the direction of our Board,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which includes directors who hold LLC Interests or are affiliated with holders of LLC Interests and may include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 in the future, a cash payment equal to a volume weighted average market price of one share of Class A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 for each LLC Interest redeemed or exchanged (subject to customary adjustments, including for stock splits,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dividends and reclassifications). In the event we elect to make a cash payment, a Continuing LLC Owner has the option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rescind its redemption request within a specified time period. Upon the exercise of the redemption right, the redeeming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 will surrender its LLC Interests to TWM LLC. The TWM LLC Agreement requires that we contribute cash or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the Class A common stock or Class B common stock to TWM LLC in exchange for an amount of newly issued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 in TWM LLC that will be issued to us equal to the number of LLC Interests redeemed (and thereafter cancelled)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from the Continuing LLC Owner to the extent required so as to maintain a one-to-one ratio between the number of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 owned by us and the number of outstanding Class A common stock and Class B common stock. TWM LLC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then distribute the cash or shares of our Class A common stock or Class B common stock, as the case may be, to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Continuing LLC Owner to complete the redemption. In the event of such election by a Continuing LLC Owner we may,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option, effect a direct exchange of cash or Class A common stock or Class B common stock for such LLC Interests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redeeming members in lieu of such redemption. Whether by redemption or exchange, we are obligated to ensure that at all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times the number of LLC Interests that we own equals the aggregate number of shares of Class A common stock and Class B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Certain Relationships and Related Person Transactions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66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0" name="Image1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common stock issued by us (subject to certain exceptions for treasury shares and shares underlying certain convertible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exchangeable securities).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Issuance of LLC Interests Upon Exercise of Options or Issuance of Other Equity Compensation.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Upon the exercise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options issued by us, or the issuance of other types of equity compensation by us (such as the issuance of restricted or non-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restricted stock, payment of bonuses in stock or settlement of stock appreciation rights in stock), we will be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acquire from TWM LLC a number of LLC Interests equal to the number of shares of Class A common stock being issued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connection with the exercise of such options or issuance of other types of equity compensation. When we issue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A common stock in settlement of stock options granted to persons that are not officers or employees of TWM LLC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its subsidiaries, we will make, or be deemed to make, a capital contribution to TWM LLC equal to the aggregate value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 of Class A common stock and TWM LLC will issue to us a number of LLC Interests equal to the number of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A common stock we issued. When we issue shares of Class A common stock in settlement of stock options granted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persons that are officers or employees of TWM LLC or its subsidiaries, we will be deemed to have sold directly to the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exercising such award a portion of the value of each share of Class A common stock equal to the exercise price per share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will be deemed to have sold directly to TWM LLC (or the applicable subsidiary of TWM LLC) the difference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exercise price and market price per share for each such share of Class A common stock. In cases where we grant other types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equity compensation to employees of TWM LLC or its subsidiaries, on each applicable vesting date we will be deemed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have sold to TWM LLC (or such subsidiary) the number of vested shares at a price equal to the market price per share, TWM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LLC (or such subsidiary) will deliver the shares to the applicable person and we will be deemed to have made a capital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contribution in TWM LLC equal to the purchase price for such shares in exchange for an equal number of LLC Interests.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/>
          <w:sz w:val="20"/>
        </w:rPr>
      </w:pPr>
      <w:r>
        <w:rPr>
          <w:rFonts w:ascii="Times New Roman" w:hAnsi="Times New Roman"/>
          <w:b w:val="false"/>
          <w:i/>
          <w:sz w:val="20"/>
        </w:rPr>
        <w:t xml:space="preserve">Maintenance of one-to-one ratio of shares of Class A common stock, Class B common stock and LLC Interests owned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by Tradeweb.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TWM LLC Agreement requires that TWM LLC at all times maintain (x) a one-to-one ratio between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number of shares of Class A common stock and Class B common stock issued by us and the number of LLC Interests owned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by us and (y) a one-to-one ratio between the number of shares of Class C common stock and Class D common stock issued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us and the number of LLC Interests owned by the holders of such Class C common stock and Class D common stock.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Transfer Restrictions.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</w:t>
      </w:r>
      <w:r>
        <w:rPr/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TWM LLC Agreement generally does not permit transfers of LLC Interests by members,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subject to limited exceptions. Any transferee of LLC Interests must assume, by operation of law or written agreement, all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obligations of a transferring member with respect to the transferred units, even if the transferee is not admitted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 of TWM LLC.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Dissolution.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TWM LLC Agreement provides that the decision of the manager (pursuant to a unanimous decision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Board) together with the Majority Members (as defined in the TWM LLC Agreement) will be required to voluntarily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dissolve TWM LLC. In addition to a voluntary dissolution, TWM LLC will be dissolved upon the entry of a decree of judicial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dissolution or other circumstances in accordance with Delaware law. Upon a dissolution event, the proceeds of a liquidation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will be distributed to satisfy all of TWM LLC’s debts, liabilities and obligations (including all expenses incurred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liquidation) and the remaining assets of TWM LLC will be distributed to the members pro-rata in accordance with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respective percentage ownership interests in TWM LLC (as determined based on the number of LLC Interests held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member relative to the aggregate number of all outstanding LLC Interests).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Confidentiality.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Each member agrees to maintain the confidentiality of TWM LLC’s confidential information.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obligation excludes (i) information that is independently obtained or developed by the members, (ii) information that is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public domain or otherwise disclosed to a member not in violation of a confidentiality obligation and (iii) disclosures required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by law or judicial process or approved by our or TWM LLC’s chief executive officer, chief financial officer or general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counsel.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Indemnification and Exculpation.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TWM LLC Agreement provides for indemnification of the manager and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TWM LLC and its subsidiaries. To the extent permitted by applicable law, TWM LLC will indemnify us, as its sole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manager, and our authorized officers from and against any losses, liabilities, damages, expenses, fees or penalties incurred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acts or omissions of these persons, provided that the acts or omissions of these indemnified persons are not the result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gross negligence, bad faith, willful misconduct or knowing violation of law, or for any present or future breaches of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representations, warranties, covenants or obligations in the TWM LLC Agreement or in the other agreements with TWM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LLC.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We, as the sole manager of TWM LLC, and our affiliates and our respective agents, will not be liable to TWM LLC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its members for damages incurred by any acts or omissions of these persons, provided that the acts or omissions of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exculpated persons are not the result of bad faith, willful misconduct or knowing violation of law, or for any present or future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breaches of any representations, warranties, covenants or obligations in the TWM LLC Agreement in the other agreements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 TWM LLC.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Amendments.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TWM LLC Agreement may be amended with the consent of the holders of a majority in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power of the outstanding LLC Interests, including the sole manager, and in case of any amendment that materially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adversely modifies the LLC Interests (or the rights, preferences or privileges thereof) then held by any members in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materially disproportionate manner to those then held by any other members, the consent of a majority in interest of such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Certain Relationships and Related Person Transactions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1" name="Image1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1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disproportionately affected members. Notwithstanding the foregoing, no amendment to any of the provisions that expressly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require the approval or action of certain members may be made without the consent of such members and no amendment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provisions governing the authority and actions of the sole manager or the dissolution of TWM LLC may be amended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without the consent of the sole manager.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Tax Receivable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expect to obtain an increase in our share of the tax basis of the assets of TWM LLC (i) when a Continuing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Owner receives shares of Class A common stock or Class B common stock, as applicable, or, at our election, cash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connection with an exercise of such Continuing LLC Owner’s right to have its LLC Interests redeemed by TWM LLC or,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election, exchanged and (ii) in connection with the disposition by a Continuing LLC Owner of its LLC Interests for cash,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including in connection with the IPO and our October 2019 and April 2020 follow-on offerings (such basis increase,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"Basis Adjustments"). We intend to treat such acquisition of LLC Interests as our direct purchase of LLC Interests from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Continuing LLC Owner for U.S. federal income and other applicable tax purposes, regardless of whether such LLC Interests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are redeemed by TWM LLC or sold to us. A Basis Adjustment may have the effect of reducing the amounts that we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otherwise pay in the future to various tax authorities. The Basis Adjustments may reduce our tax liability by increasing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deductions (for example, our depreciation, depletion and amortization deductions) or decreasing gains (or increasing losses)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on future dispositions of certain capital assets to the extent tax basis is allocated to those capital assets.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connection with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IPO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we entered into the Tax Receivable Agreement (the "TRA") with TWM LLC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Continuing LLC Owners. The TRA provides for the payment by us to the Continuing LLC Owners who dispose of LLC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Interests for cash in connection with any offering, or receive shares of our Class A common stock or Class B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cash, as applicable, in connection with an exchange or redemption of LLC Interests, of 50% of the amount of U.S. federal,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state and local income or franchise tax savings, if any, that we actually realize, or in some circumstances are deemed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realize, as a result of the transactions with such Continuing LLC Owners, including increases in the tax basis of the assets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TWM LLC attributable to payments made under the TRA and deductions attributable to imputed interest and other payments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interest pursuant to the TRA. TWM LLC will have in effect an election under Section 754 of the Code effective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taxable year in which a redemption or exchange of LLC Interests for shares of Class A common stock or Class B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stock, as applicable, or cash occurs. These TRA payments are not conditioned upon any continued ownership interest in either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TWM LLC or us by any Continuing LLC Owner. The rights of each Continuing LLC Owner under the TRA are assignable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transferees of its LLC Interests (other than us as transferee pursuant to subsequent redemptions (or exchanges)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transferred LLC Interests). We expect to benefit from the remaining 50% of tax benefits, if any, that we may actually realize.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actual Basis Adjustments, as well as any amounts paid to the Continuing LLC Owners under the TRA, will vary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depending on a number of factors, including: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timing of any subsequent redemptions or exchanges—for instance, the increase in any tax deductions will vary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depending on the fair value, which may fluctuate over time, of the depreciable or amortizable assets of TWM LLC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time of each redemption or exchange;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price of shares of the Class A common stock at the time of redemptions or exchanges—the Basis Adjustments, as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well as any related increase in any tax deductions, is directly related to the price of shares of the Class A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 at the time of each redemption or exchange;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amount and timing of our income—the TRA generally will require us to pay 50% of the tax benefits as and when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those benefits are treated as realized under the terms of the TRA. If we do not have taxable income, we generally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not be required (absent a change in control or other circumstances requiring an early termination payment) to make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payments under the TRA for that taxable year because no tax benefits will have been actually realized. However,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tax benefits that do not result in realized tax benefits in a given taxable year will likely generate tax attributes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may be utilized to generate tax benefits in future taxable years. The utilization of any such tax attributes will result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payments under the TRA.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purposes of the TRA, cash savings in income and franchise tax will be computed by comparing our actual income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franchise tax liability to the amount of such taxes that we would have been required to pay (with an assumed tax rate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state and local tax purposes) had there been no Basis Adjustments and had the TRA not been entered into. The TRA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generally apply to each of our taxable years, beginning with the first taxable year ending after the IPO. There is no maximum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term for the TRA; however, the TRA may be terminated by us pursuant to an early termination procedure that requires us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pay the Continuing LLC Owners an amount equal to the estimated present value of the remaining payments under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 (calculated based on certain assumptions, including regarding tax rates and utilization of the Basis Adjustments).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payment obligations under the TRA are obligations of Tradeweb and not of TWM LLC. Although the actual timing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amount of any payments that may be made under the TRA will vary, we expect that the payments could be substantial.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payments made by us to Continuing LLC Owners under the TRA will generally reduce the amount of overall cash flow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might have otherwise been available to us or to TWM LLC and, to the extent that we are unable to make payments under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Certain Relationships and Related Person Transactions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68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2" name="Image1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TRA for any reason, the unpaid amounts generally will be deferred and will accrue interest until paid by us. Total amounts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due to the Continuing LLC Owners as of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 the TRA were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$457.5 million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substantially all due over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fifteen years following the purchase of LLC Interests from Continuing LLC Owners or redemption or exchanges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Continuing LLC Owners of LLC Interests.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Decisions made by us in the course of running our business, such as with respect to mergers, asset sales, other forms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business combinations or other changes in control, may influence the timing and amount of payments that are received by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Continuing LLC Owner under the TRA. For example, the earlier disposition of assets following a transaction that results in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Basis Adjustment will generally accelerate payments under the TRA and increase the present value of such payments.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TRA provides that if (i) we materially breach any of our material obligations under the TRA (including by failing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make payments thereunder when we have available cash to do so), (ii) certain change in control transactions were to occur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(iii) we elect an early termination of the TRA, our obligations, or our successor’s obligations, under the TRA accelerate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become due and payable, based on certain assumptions, including an assumption that we have sufficient taxable income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fully utilize all potential future tax benefits that are subject to the TRA.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a result, (i) we could be required to make cash payments to the Continuing LLC Owners that are greater than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specified percentage of the actual benefits we ultimately realize in respect of the tax benefits that are subject to the TRA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(ii) we would be required to make an immediate cash payment equal to the present value of the anticipated future tax benefits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are the subject of the TRA, which payment may be made significantly in advance of the actual realization, if any,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future tax benefits.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these situations, our obligations under the TRA could have a material adverse effect on our liquidity and could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effect of delaying, deferring or preventing certain change in control transactions. There can be no assurance that we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able to finance our obligations under the TRA.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Payments under the TRA will be based on the tax reporting positions that we determine. We will not be reimbursed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any cash payments previously made to any Continuing LLC Owner pursuant to the TRA if any tax benefits initially claimed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by us are subsequently challenged by a taxing authority and ultimately disallowed. Instead, in such circumstances, any excess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cash payments made by us to a Continuing LLC Owner will be netted against any future cash payments that we might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otherwise be required to make under the terms of the TRA. However, we might not determine that we have effectively made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 excess cash payment to the Continuing LLC Owners for a number of years following the initial time of such payment.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result, it is possible that we could make cash payments under the TRA that are substantially greater than our actual cash tax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savings.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Stockholders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connection with the IPO, we entered into the Stockholders Agreement with the Refinitiv Owners. This agreement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provides that, subject to applicable law, including the fiduciary duties of the Board, we will nominate a number of individuals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designated by the Refinitiv Owners for election as our directors at any meeting of our stockholders (each a "Refinitiv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Director") such that, upon the election of each such individual, and each other individual nominated by or at the direction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 or a duly-authorized committee of the Board, as a director of our company, the number of Refinitiv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serving as directors of our company will be equal to: (i) if the Refinitiv Owners and their affiliates together continue to hold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least 50% of the combined voting power of our outstanding common stock as of the record date for such meeting, the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number of directors comprising our entire Board; (ii) if the Refinitiv Owners and their affiliates together continue to hold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least 40% (but less than 50%) of the combined voting power of our outstanding common stock as of the record date for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meeting, the lowest whole number that is greater than 40% of the total number of directors comprising our Board; (iii) if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Refinitiv Owners and their affiliates together continue to beneficially own at least 30% (but less than 40%) of the combined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voting power of our outstanding common stock as of the record date for such meeting, the lowest whole number that is greater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than 30% of the total number of directors comprising our Board; (iv) if the Refinitiv Owners and their affiliates together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continue to hold at least 20% (but less than 30%) of the combined voting power of our outstanding common stock as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record date for such meeting, the lowest whole number that is greater than 20% of the total number of directors comprising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Board; and (v) if the Refinitiv Owners and their affiliates together continue to hold at least 10% (but less than 20%)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combined voting power of our outstanding common stock as of the record date for such meeting, the lowest whole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(such number always being equal to or greater than one) that is greater than 10% of the total number of directors comprising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Board. In the case of a vacancy on our Board created by the removal, resignation or otherwise of a Refinitiv Director,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Stockholders Agreement, to the extent the Refinitiv Owners continue to be entitled to nominate such Refinitiv Director and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extent permitted by applicable law, including the fiduciary duties of the Board and our governing documents, requires us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to nominate an individual designated by the Refinitiv Owners for election to fill the vacancy. For so long as the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 remains in effect, subject to applicable law, including the fiduciary duties of the Board, Refinitiv Directors may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removed only with the consent of the Refinitiv Owners. For more information regarding Refinitiv's director designation,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Certain Relationships and Related Person Transactions</w:t>
      </w:r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3" name="Image1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1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69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information sharing and other rights, please see the full text of the Stockholders Agreement, which is available as Exhibit 10.1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to the 2023 Annual Report.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</w:pPr>
      <w:r>
        <w:rPr>
          <w:rFonts w:ascii="Arial" w:hAnsi="Arial"/>
          <w:b/>
          <w:i w:val="false"/>
          <w:caps w:val="false"/>
          <w:smallCaps w:val="false"/>
          <w:strike w:val="false"/>
          <w:dstrike w:val="false"/>
          <w:color w:val="002856"/>
          <w:sz w:val="18"/>
          <w:u w:val="none"/>
          <w:effect w:val="none"/>
        </w:rPr>
        <w:t xml:space="preserve">Registration Rights Agreement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connection with the IPO, we entered into the Registration Rights Agreement with the Refinitiv Owners and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Bank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Stockholders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Pursuant to the Registration Rights Agreement, we granted the Refinitiv Owners, the Bank Stockholders,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affiliates and certain of their transferees the right, under certain circumstances and subject to the terms of any lock-up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agreement they have entered into and certain other restrictions, to require us to register under the Securities Act their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Class A common stock, including shares of Class A common stock received upon redemption or exchange of LLC Interests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exchange of shares of Class B common stock, which we refer to as "registrable shares". After registration pursuant to these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rights, these shares of Class A common stock will become freely tradable without restriction under the Securities Act.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13,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, there are no remaining Bank Stockholders.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Demand Rights: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From time to time, the Refinitiv Owners may request that we register all or a portion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registrable shares for sale under the Securities Act, including pursuant to a shelf registration statement (provided, in all cases,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aggregate number of registrable shares that are requested to be included in any such registration equals at least $100.0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million). In addition, from time to time when a shelf registration statement is effective, the Refinitiv Owners may request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facilitate a shelf takedown of all or a portion of their registrable shares (provided the aggregate number of registrable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shares that are requested to be included in any such takedown equals at least $100.0 million). We will not be required to effect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registration as requested by any of the Refinitiv Owners if in the good faith judgment of our Board, such registration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would materially interfere with certain existing or potential material transactions or events involving the company and should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be delayed or is reasonably likely to require premature disclosure of information that could have a material adverse effect 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us. These demand rights will also be subject to cutbacks, priorities and other limitations and exceptions.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>Piggyback Registration Right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s: In addition, if at any time we register any shares of the Class A common stock (other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than pursuant to registrations on Form S-4 or Form S-8), the holders of registrable shares are entitled to include,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certain exceptions and limitations, all or a portion of their registrable shares in the registration. In the event that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registration in which the holders of registrable shares participate pursuant to the Registration Rights Agreement is an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underwritten public offering, the number of registrable shares to be included may, in specified circumstances, be limited.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 w:val="false"/>
          <w:i/>
          <w:sz w:val="20"/>
        </w:rPr>
        <w:t xml:space="preserve">Other Provisions: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will pay all registration and offering expenses, including, among other things, reasonable fees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disbursements of a single special counsel for the participating holders of registrable shares related to any demand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piggyback registration. The Registration Rights Agreement contains customary cross-indemnification provisions,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which we are obligated to indemnify any selling stockholders in the event of material misstatements or omissions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registration statement attributable to us and they are obligated to indemnify us for material misstatements or omissions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registration statement attributable to them. The Registration Rights Agreement does not specify any cash penalties or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penalties associated with any delays in registering any shares.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2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7DB6"/>
          <w:sz w:val="22"/>
          <w:u w:val="none"/>
          <w:effect w:val="none"/>
        </w:rPr>
        <w:t xml:space="preserve">INDEMNIFICATION AGREEMENTS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Our directors and executive officers are parties to indemnification agreements with us. These agreements require us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indemnify these individuals to the fullest extent permitted by Delaware law against liabilities that may arise by reason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service to us and to advance expenses incurred as a result of any proceeding against them as to which they could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indemnified. Insofar as indemnification for liabilities arising under the Securities Act may be permitted to directors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executive officers, we have been informed that in the opinion of the SEC such indemnification is against public policy and is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therefore unenforceable. There is currently no pending material litigation or proceeding involving any of our directors,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officers or employees for which indemnification is sought.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6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3366"/>
          <w:sz w:val="16"/>
          <w:u w:val="none"/>
          <w:effect w:val="none"/>
        </w:rPr>
        <w:t>Certain Relationships and Related Person Transactions</w:t>
      </w:r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70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4" name="Image1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Expenses of Solicitation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accompanying proxy is solicited by and on behalf of the Board and the cost of such solicitation will be borne by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Company. Solicitations may be made by mail, personal interview, telephone and electronic communications by directors,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officers and other Company employees without additional compensation. Broadridge Financial Solutions, Inc. will distribute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proxy materials to banks, brokers and other nominees for forwarding to beneficial owners and will request brokerage houses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other custodians, nominees and fiduciaries to forward soliciting material to the beneficial owners of the common stock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held on the record date by such persons. We will reimburse brokerage houses and other custodians, nominees and fiduciaries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for their expenses in forwarding solicitation materials.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Other Matters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As of the date of this Proxy Statement there are no other matters that we intend to present, or have reason to believe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others will present, at the Annual Meeting. If, however, other matters properly come before the Annual Meeting,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accompanying proxy authorizes the persons named as proxies or their substitutes to vote on such matters as they determine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appropriate.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Proposals of Stockholders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Proposals of stockholders to be considered for inclusion in the proxy statement and proxy card for the 2025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Meeting of Stockholders pursuant to Rule 14a-8 under the Exchange Act must be submitted in writing to the Secretary of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Tradeweb Markets Inc., at Tradeweb Markets Inc., 1177 Avenue of the Americas, New York, New York 10036 and must be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received no later than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November 28, 2024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 addition, our Bylaws include advance notice provisions that require stockholders wishing to bring nominations for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directors or other business before an annual meeting to provide proper notice in accordance with the terms of the advance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notice provisions. The Bylaws’ advance notice provisions do not apply if the stockholder only seeks to include such matters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the proxy statement pursuant to Rule 14a-8.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Bylaws’ advance notice provisions require that, among other things, stockholders give timely written notice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Secretary of the Company regarding such nominations or other business and provide the information and satisfy the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requirements set forth in the Bylaws. To be timely, a stockholder who intends to present nominations or a proposal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2025 Annual Meeting of Stockholders other than proposals pursuant to Rule 14a-8 must provide the information set forth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Bylaws to the Secretary of the Company no earlier than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January 10,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no later than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February 9, 2025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However, in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the event that the date of the annual meeting of stockholders is advanced by more than 30 days, or delayed by more than 70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days, from the anniversary date of the previous year’s annual meeting of stockholders, notice by the stockholder to be timely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must be so delivered not earlier than the close of business on the 120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6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day prior to such Annual Meeting of Stockholders and </w:t>
      </w:r>
    </w:p>
    <w:p>
      <w:pPr>
        <w:pStyle w:val="TextBody"/>
        <w:bidi w:val="0"/>
        <w:spacing w:lineRule="atLeast" w:line="240" w:before="0" w:after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not later than the close of business on the later of the 90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6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>day prior to such annual meeting of stockholders or the 10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16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day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following the day on which public announcement of the date of such annual meeting of stockholders is first made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Company. If a stockholder fails to meet these deadlines and fails to satisfy the requirements of Rule 14a-4 under the Exchange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Act, we may exercise discretionary voting authority under proxies we solicit to vote on any such proposal as we determine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appropriate or disregard the nomination or proposal of business, as applicable. In addition to satisfying the deadlines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requirements set forth in the advance notice provisions of our Bylaws, a stockholder who intends to solicit proxies in support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of nominees submitted under these advance notice provisions must provide the notice required under Rule 14a-19 that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complies with requirements set forth in Rule 14a-19(b) to the Secretary of the Company no later than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March 11, 2025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We reserve the right to reject, rule out of order or take other appropriate action with respect to any nomination 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proposal that does not comply with these and other applicable requirements.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23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1"/>
        <w:gridCol w:w="326"/>
        <w:gridCol w:w="301"/>
      </w:tblGrid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PROXY STATEMENT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5" name="Image1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1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71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400" w:before="0" w:after="0"/>
        <w:jc w:val="left"/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Householding; Availability of Annual Report on </w:t>
      </w:r>
    </w:p>
    <w:p>
      <w:pPr>
        <w:pStyle w:val="TextBody"/>
        <w:bidi w:val="0"/>
        <w:spacing w:lineRule="atLeast" w:line="400" w:before="0" w:after="0"/>
        <w:jc w:val="left"/>
        <w:rPr>
          <w:sz w:val="40"/>
        </w:rPr>
      </w:pP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>Form 10-K</w:t>
      </w:r>
      <w:r>
        <w:rPr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 </w:t>
      </w:r>
      <w:r>
        <w:rPr>
          <w:rFonts w:ascii="Arial" w:hAnsi="Arial"/>
          <w:b w:val="false"/>
          <w:i w:val="false"/>
          <w:caps w:val="false"/>
          <w:smallCaps w:val="false"/>
          <w:strike w:val="false"/>
          <w:dstrike w:val="false"/>
          <w:color w:val="002856"/>
          <w:sz w:val="40"/>
          <w:u w:val="none"/>
          <w:effect w:val="none"/>
        </w:rPr>
        <w:t xml:space="preserve">and Proxy Statement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 copy of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Report accompanies this Proxy Statement. If you and others who share your mailing address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own common stock in street name, meaning through a bank, brokerage firm or other nominee, you may have received a notice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that your household will receive only one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Report and Proxy Statement or Notice, as applicable,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Company. This practice, known as "householding", is designed to reduce the volume of duplicate information and reduce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printing and postage costs. Unless you responded that you did not want to participate in householding, you were deemed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have consented to it and a single copy of this Proxy Statement and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Report (and/or a single copy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Notice) has been sent to your address. Each street name stockholder receiving this Proxy Statement by mail will continue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receive a separate voting instruction form.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If you would like to revoke your consent to householding and in the future receive your own set of proxy materials (or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your own Notice, as applicable), or if your household is currently receiving multiple copies of the same items and you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like in the future to receive only a single copy at your address, please contact the Householding Department by mail at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Broadridge Householding Dept., 51 Mercedes Way, Edgewood, New Jersey 11717 or by calling 1-866-540-7095 and indicate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your name, the name of each of your brokerage firms or banks where your shares are held, and your account numbers.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revocation of a consent to householding will be effective 30 days following its receipt. You will also have an opportunity to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opt in or opt out of householding by contacting your bank or broker.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If you would like an additional copy of the </w:t>
      </w:r>
      <w:r>
        <w:rPr>
          <w:rFonts w:ascii="Times New Roman" w:hAnsi="Times New Roman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Annual Report, this Proxy Statement or the Notice, these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documents are available in digital form for download or review by visiting </w:t>
      </w:r>
      <w:r>
        <w:rPr>
          <w:rFonts w:ascii="Times New Roman" w:hAnsi="Times New Roman"/>
          <w:b/>
          <w:i w:val="false"/>
          <w:caps w:val="false"/>
          <w:smallCaps w:val="false"/>
          <w:sz w:val="20"/>
          <w:u w:val="single"/>
        </w:rPr>
        <w:t>www.proxyvote.com</w:t>
      </w: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. Alternatively, we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promptly send a copy of these documents to you without charge upon request by email to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Times New Roman" w:hAnsi="Times New Roman"/>
          <w:b/>
          <w:i w:val="false"/>
          <w:caps w:val="false"/>
          <w:smallCaps w:val="false"/>
          <w:sz w:val="20"/>
          <w:u w:val="single"/>
        </w:rPr>
        <w:t>sendmaterial@proxyvote.com</w:t>
      </w: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, or by calling 1-800-579-1639. Please note, however, that if you did not receive a printed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copy of our proxy materials and you wish to receive a paper proxy card or voting instruction form or other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/>
          <w:i w:val="false"/>
          <w:caps w:val="false"/>
          <w:smallCaps w:val="false"/>
          <w:sz w:val="20"/>
        </w:rPr>
        <w:t xml:space="preserve">materials for the purposes of the Annual Meeting, you should follow the instructions included in your Notice.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If you own shares in street name, you can also register to receive all future stockholder communications electronically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instead of in print. This means that links to the 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Annual Report, Proxy Statement and other correspondence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delivered to you via email. Holders in street name can register for electronic delivery directly with their bank, brokerage firm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or other nominee. Electronic delivery of stockholder communications helps save the Company money by reducing printing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Times New Roman" w:hAnsi="Times New Roman"/>
          <w:b w:val="false"/>
          <w:i w:val="false"/>
          <w:caps w:val="false"/>
          <w:smallCaps w:val="false"/>
          <w:sz w:val="2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z w:val="20"/>
        </w:rPr>
        <w:t xml:space="preserve">and postage costs. </w:t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tbl>
      <w:tblPr>
        <w:tblW w:w="14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1"/>
        <w:gridCol w:w="326"/>
        <w:gridCol w:w="886"/>
      </w:tblGrid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</w:pPr>
            <w:r>
              <w:rPr>
                <w:rFonts w:ascii="Arial" w:hAnsi="Arial"/>
                <w:b w:val="false"/>
                <w:i w:val="false"/>
                <w:caps w:val="false"/>
                <w:smallCaps w:val="false"/>
                <w:sz w:val="14"/>
              </w:rPr>
              <w:t>72</w:t>
            </w:r>
          </w:p>
        </w:tc>
        <w:tc>
          <w:tcPr>
            <w:tcW w:w="32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76200"/>
                  <wp:effectExtent l="0" t="0" r="0" b="0"/>
                  <wp:docPr id="146" name="Image1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</w:pPr>
            <w:r>
              <w:rPr>
                <w:rFonts w:ascii="Arial" w:hAnsi="Arial"/>
                <w:b/>
                <w:i w:val="false"/>
                <w:caps w:val="false"/>
                <w:smallCaps w:val="false"/>
                <w:strike w:val="false"/>
                <w:dstrike w:val="false"/>
                <w:color w:val="002856"/>
                <w:sz w:val="14"/>
                <w:u w:val="none"/>
                <w:effect w:val="none"/>
              </w:rPr>
              <w:t>TRADEWEB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23660" cy="8312785"/>
            <wp:effectExtent l="0" t="0" r="0" b="0"/>
            <wp:docPr id="147" name="Image1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147" descr="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660" cy="831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423660" cy="8312785"/>
            <wp:effectExtent l="0" t="0" r="0" b="0"/>
            <wp:docPr id="148" name="Image1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48" descr="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660" cy="831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283"/>
        <w:jc w:val="left"/>
        <w:rPr/>
      </w:pPr>
      <w:hyperlink w:anchor="id0c1cd12e3ab4e278f2f44b531e6626d_19">
        <w:r>
          <w:rPr>
            <w:rStyle w:val="InternetLink"/>
            <w:rFonts w:ascii="Times New Roman" w:hAnsi="Times New Roman"/>
            <w:b/>
            <w:i w:val="false"/>
            <w:caps w:val="false"/>
            <w:smallCaps w:val="false"/>
            <w:color w:val="0000FF"/>
            <w:sz w:val="20"/>
            <w:u w:val="single"/>
          </w:rPr>
          <w:t>Table of Contents</w:t>
        </w:r>
      </w:hyperlink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Wingdings">
    <w:charset w:val="02"/>
    <w:family w:val="auto"/>
    <w:pitch w:val="default"/>
  </w:font>
  <w:font w:name="Arial">
    <w:charset w:val="01"/>
    <w:family w:val="auto"/>
    <w:pitch w:val="default"/>
  </w:font>
  <w:font w:name="Slate Regular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gif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7.gif"/><Relationship Id="rId13" Type="http://schemas.openxmlformats.org/officeDocument/2006/relationships/image" Target="media/image11.gif"/><Relationship Id="rId14" Type="http://schemas.openxmlformats.org/officeDocument/2006/relationships/image" Target="media/image11.gif"/><Relationship Id="rId15" Type="http://schemas.openxmlformats.org/officeDocument/2006/relationships/image" Target="media/image12.jpeg"/><Relationship Id="rId16" Type="http://schemas.openxmlformats.org/officeDocument/2006/relationships/image" Target="media/image13.jpeg"/><Relationship Id="rId17" Type="http://schemas.openxmlformats.org/officeDocument/2006/relationships/image" Target="media/image14.jpeg"/><Relationship Id="rId18" Type="http://schemas.openxmlformats.org/officeDocument/2006/relationships/image" Target="media/image15.jpeg"/><Relationship Id="rId19" Type="http://schemas.openxmlformats.org/officeDocument/2006/relationships/image" Target="media/image16.gif"/><Relationship Id="rId20" Type="http://schemas.openxmlformats.org/officeDocument/2006/relationships/image" Target="media/image17.jpeg"/><Relationship Id="rId21" Type="http://schemas.openxmlformats.org/officeDocument/2006/relationships/image" Target="media/image18.jpeg"/><Relationship Id="rId22" Type="http://schemas.openxmlformats.org/officeDocument/2006/relationships/image" Target="media/image19.jpeg"/><Relationship Id="rId23" Type="http://schemas.openxmlformats.org/officeDocument/2006/relationships/image" Target="media/image20.jpeg"/><Relationship Id="rId24" Type="http://schemas.openxmlformats.org/officeDocument/2006/relationships/image" Target="media/image21.jpeg"/><Relationship Id="rId25" Type="http://schemas.openxmlformats.org/officeDocument/2006/relationships/image" Target="media/image16.gif"/><Relationship Id="rId26" Type="http://schemas.openxmlformats.org/officeDocument/2006/relationships/image" Target="media/image22.jpeg"/><Relationship Id="rId27" Type="http://schemas.openxmlformats.org/officeDocument/2006/relationships/image" Target="media/image23.jpeg"/><Relationship Id="rId28" Type="http://schemas.openxmlformats.org/officeDocument/2006/relationships/image" Target="media/image24.jpeg"/><Relationship Id="rId29" Type="http://schemas.openxmlformats.org/officeDocument/2006/relationships/image" Target="media/image25.jpeg"/><Relationship Id="rId30" Type="http://schemas.openxmlformats.org/officeDocument/2006/relationships/image" Target="media/image26.jpeg"/><Relationship Id="rId31" Type="http://schemas.openxmlformats.org/officeDocument/2006/relationships/image" Target="media/image27.jpeg"/><Relationship Id="rId32" Type="http://schemas.openxmlformats.org/officeDocument/2006/relationships/image" Target="media/image28.jpeg"/><Relationship Id="rId33" Type="http://schemas.openxmlformats.org/officeDocument/2006/relationships/image" Target="media/image29.gif"/><Relationship Id="rId34" Type="http://schemas.openxmlformats.org/officeDocument/2006/relationships/image" Target="media/image30.gif"/><Relationship Id="rId35" Type="http://schemas.openxmlformats.org/officeDocument/2006/relationships/image" Target="media/image31.gif"/><Relationship Id="rId36" Type="http://schemas.openxmlformats.org/officeDocument/2006/relationships/image" Target="media/image32.jpeg"/><Relationship Id="rId37" Type="http://schemas.openxmlformats.org/officeDocument/2006/relationships/image" Target="media/image30.gif"/><Relationship Id="rId38" Type="http://schemas.openxmlformats.org/officeDocument/2006/relationships/image" Target="media/image33.jpeg"/><Relationship Id="rId39" Type="http://schemas.openxmlformats.org/officeDocument/2006/relationships/image" Target="media/image7.gif"/><Relationship Id="rId40" Type="http://schemas.openxmlformats.org/officeDocument/2006/relationships/image" Target="media/image34.gif"/><Relationship Id="rId41" Type="http://schemas.openxmlformats.org/officeDocument/2006/relationships/image" Target="media/image30.gif"/><Relationship Id="rId42" Type="http://schemas.openxmlformats.org/officeDocument/2006/relationships/image" Target="media/image29.gif"/><Relationship Id="rId43" Type="http://schemas.openxmlformats.org/officeDocument/2006/relationships/image" Target="media/image30.gif"/><Relationship Id="rId44" Type="http://schemas.openxmlformats.org/officeDocument/2006/relationships/image" Target="media/image35.jpeg"/><Relationship Id="rId45" Type="http://schemas.openxmlformats.org/officeDocument/2006/relationships/image" Target="media/image36.jpeg"/><Relationship Id="rId46" Type="http://schemas.openxmlformats.org/officeDocument/2006/relationships/image" Target="media/image37.jpeg"/><Relationship Id="rId47" Type="http://schemas.openxmlformats.org/officeDocument/2006/relationships/image" Target="media/image38.jpeg"/><Relationship Id="rId48" Type="http://schemas.openxmlformats.org/officeDocument/2006/relationships/image" Target="media/image39.gif"/><Relationship Id="rId49" Type="http://schemas.openxmlformats.org/officeDocument/2006/relationships/image" Target="media/image40.gif"/><Relationship Id="rId50" Type="http://schemas.openxmlformats.org/officeDocument/2006/relationships/image" Target="media/image41.gif"/><Relationship Id="rId51" Type="http://schemas.openxmlformats.org/officeDocument/2006/relationships/image" Target="media/image42.gif"/><Relationship Id="rId52" Type="http://schemas.openxmlformats.org/officeDocument/2006/relationships/image" Target="media/image43.gif"/><Relationship Id="rId53" Type="http://schemas.openxmlformats.org/officeDocument/2006/relationships/image" Target="media/image44.gif"/><Relationship Id="rId54" Type="http://schemas.openxmlformats.org/officeDocument/2006/relationships/image" Target="media/image45.gif"/><Relationship Id="rId55" Type="http://schemas.openxmlformats.org/officeDocument/2006/relationships/image" Target="media/image46.jpeg"/><Relationship Id="rId56" Type="http://schemas.openxmlformats.org/officeDocument/2006/relationships/image" Target="media/image47.jpeg"/><Relationship Id="rId57" Type="http://schemas.openxmlformats.org/officeDocument/2006/relationships/image" Target="media/image46.jpeg"/><Relationship Id="rId58" Type="http://schemas.openxmlformats.org/officeDocument/2006/relationships/image" Target="media/image47.jpeg"/><Relationship Id="rId59" Type="http://schemas.openxmlformats.org/officeDocument/2006/relationships/image" Target="media/image46.jpeg"/><Relationship Id="rId60" Type="http://schemas.openxmlformats.org/officeDocument/2006/relationships/image" Target="media/image48.jpeg"/><Relationship Id="rId61" Type="http://schemas.openxmlformats.org/officeDocument/2006/relationships/image" Target="media/image49.jpeg"/><Relationship Id="rId62" Type="http://schemas.openxmlformats.org/officeDocument/2006/relationships/image" Target="media/image48.jpeg"/><Relationship Id="rId63" Type="http://schemas.openxmlformats.org/officeDocument/2006/relationships/image" Target="media/image50.jpeg"/><Relationship Id="rId64" Type="http://schemas.openxmlformats.org/officeDocument/2006/relationships/image" Target="media/image47.jpeg"/><Relationship Id="rId65" Type="http://schemas.openxmlformats.org/officeDocument/2006/relationships/image" Target="media/image48.jpeg"/><Relationship Id="rId66" Type="http://schemas.openxmlformats.org/officeDocument/2006/relationships/image" Target="media/image51.jpeg"/><Relationship Id="rId67" Type="http://schemas.openxmlformats.org/officeDocument/2006/relationships/image" Target="media/image48.jpeg"/><Relationship Id="rId68" Type="http://schemas.openxmlformats.org/officeDocument/2006/relationships/image" Target="media/image52.jpeg"/><Relationship Id="rId69" Type="http://schemas.openxmlformats.org/officeDocument/2006/relationships/image" Target="media/image46.jpeg"/><Relationship Id="rId70" Type="http://schemas.openxmlformats.org/officeDocument/2006/relationships/image" Target="media/image48.jpeg"/><Relationship Id="rId71" Type="http://schemas.openxmlformats.org/officeDocument/2006/relationships/image" Target="media/image53.jpeg"/><Relationship Id="rId72" Type="http://schemas.openxmlformats.org/officeDocument/2006/relationships/image" Target="media/image48.jpeg"/><Relationship Id="rId73" Type="http://schemas.openxmlformats.org/officeDocument/2006/relationships/image" Target="media/image54.jpeg"/><Relationship Id="rId74" Type="http://schemas.openxmlformats.org/officeDocument/2006/relationships/image" Target="media/image47.jpeg"/><Relationship Id="rId75" Type="http://schemas.openxmlformats.org/officeDocument/2006/relationships/image" Target="media/image48.jpeg"/><Relationship Id="rId76" Type="http://schemas.openxmlformats.org/officeDocument/2006/relationships/image" Target="media/image55.jpeg"/><Relationship Id="rId77" Type="http://schemas.openxmlformats.org/officeDocument/2006/relationships/image" Target="media/image48.jpeg"/><Relationship Id="rId78" Type="http://schemas.openxmlformats.org/officeDocument/2006/relationships/image" Target="media/image56.jpeg"/><Relationship Id="rId79" Type="http://schemas.openxmlformats.org/officeDocument/2006/relationships/image" Target="media/image46.jpeg"/><Relationship Id="rId80" Type="http://schemas.openxmlformats.org/officeDocument/2006/relationships/image" Target="media/image48.jpeg"/><Relationship Id="rId81" Type="http://schemas.openxmlformats.org/officeDocument/2006/relationships/image" Target="media/image57.jpeg"/><Relationship Id="rId82" Type="http://schemas.openxmlformats.org/officeDocument/2006/relationships/image" Target="media/image48.jpeg"/><Relationship Id="rId83" Type="http://schemas.openxmlformats.org/officeDocument/2006/relationships/image" Target="media/image58.jpeg"/><Relationship Id="rId84" Type="http://schemas.openxmlformats.org/officeDocument/2006/relationships/image" Target="media/image47.jpeg"/><Relationship Id="rId85" Type="http://schemas.openxmlformats.org/officeDocument/2006/relationships/image" Target="media/image48.jpeg"/><Relationship Id="rId86" Type="http://schemas.openxmlformats.org/officeDocument/2006/relationships/image" Target="media/image59.jpeg"/><Relationship Id="rId87" Type="http://schemas.openxmlformats.org/officeDocument/2006/relationships/image" Target="media/image48.jpeg"/><Relationship Id="rId88" Type="http://schemas.openxmlformats.org/officeDocument/2006/relationships/image" Target="media/image60.jpeg"/><Relationship Id="rId89" Type="http://schemas.openxmlformats.org/officeDocument/2006/relationships/image" Target="media/image46.jpeg"/><Relationship Id="rId90" Type="http://schemas.openxmlformats.org/officeDocument/2006/relationships/image" Target="media/image47.jpeg"/><Relationship Id="rId91" Type="http://schemas.openxmlformats.org/officeDocument/2006/relationships/image" Target="media/image46.jpeg"/><Relationship Id="rId92" Type="http://schemas.openxmlformats.org/officeDocument/2006/relationships/image" Target="media/image47.jpeg"/><Relationship Id="rId93" Type="http://schemas.openxmlformats.org/officeDocument/2006/relationships/image" Target="media/image46.jpeg"/><Relationship Id="rId94" Type="http://schemas.openxmlformats.org/officeDocument/2006/relationships/image" Target="media/image47.jpeg"/><Relationship Id="rId95" Type="http://schemas.openxmlformats.org/officeDocument/2006/relationships/image" Target="media/image46.jpeg"/><Relationship Id="rId96" Type="http://schemas.openxmlformats.org/officeDocument/2006/relationships/image" Target="media/image47.jpeg"/><Relationship Id="rId97" Type="http://schemas.openxmlformats.org/officeDocument/2006/relationships/image" Target="media/image46.jpeg"/><Relationship Id="rId98" Type="http://schemas.openxmlformats.org/officeDocument/2006/relationships/image" Target="media/image47.jpeg"/><Relationship Id="rId99" Type="http://schemas.openxmlformats.org/officeDocument/2006/relationships/image" Target="media/image46.jpeg"/><Relationship Id="rId100" Type="http://schemas.openxmlformats.org/officeDocument/2006/relationships/image" Target="media/image47.jpeg"/><Relationship Id="rId101" Type="http://schemas.openxmlformats.org/officeDocument/2006/relationships/image" Target="media/image46.jpeg"/><Relationship Id="rId102" Type="http://schemas.openxmlformats.org/officeDocument/2006/relationships/image" Target="media/image47.jpeg"/><Relationship Id="rId103" Type="http://schemas.openxmlformats.org/officeDocument/2006/relationships/image" Target="media/image46.jpeg"/><Relationship Id="rId104" Type="http://schemas.openxmlformats.org/officeDocument/2006/relationships/image" Target="media/image47.jpeg"/><Relationship Id="rId105" Type="http://schemas.openxmlformats.org/officeDocument/2006/relationships/image" Target="media/image46.jpeg"/><Relationship Id="rId106" Type="http://schemas.openxmlformats.org/officeDocument/2006/relationships/image" Target="media/image47.jpeg"/><Relationship Id="rId107" Type="http://schemas.openxmlformats.org/officeDocument/2006/relationships/image" Target="media/image46.jpeg"/><Relationship Id="rId108" Type="http://schemas.openxmlformats.org/officeDocument/2006/relationships/image" Target="media/image47.jpeg"/><Relationship Id="rId109" Type="http://schemas.openxmlformats.org/officeDocument/2006/relationships/image" Target="media/image46.jpeg"/><Relationship Id="rId110" Type="http://schemas.openxmlformats.org/officeDocument/2006/relationships/image" Target="media/image47.jpeg"/><Relationship Id="rId111" Type="http://schemas.openxmlformats.org/officeDocument/2006/relationships/image" Target="media/image46.jpeg"/><Relationship Id="rId112" Type="http://schemas.openxmlformats.org/officeDocument/2006/relationships/image" Target="media/image61.gif"/><Relationship Id="rId113" Type="http://schemas.openxmlformats.org/officeDocument/2006/relationships/image" Target="media/image62.gif"/><Relationship Id="rId114" Type="http://schemas.openxmlformats.org/officeDocument/2006/relationships/image" Target="media/image47.jpeg"/><Relationship Id="rId115" Type="http://schemas.openxmlformats.org/officeDocument/2006/relationships/image" Target="media/image46.jpeg"/><Relationship Id="rId116" Type="http://schemas.openxmlformats.org/officeDocument/2006/relationships/image" Target="media/image47.jpeg"/><Relationship Id="rId117" Type="http://schemas.openxmlformats.org/officeDocument/2006/relationships/image" Target="media/image46.jpeg"/><Relationship Id="rId118" Type="http://schemas.openxmlformats.org/officeDocument/2006/relationships/image" Target="media/image47.jpeg"/><Relationship Id="rId119" Type="http://schemas.openxmlformats.org/officeDocument/2006/relationships/image" Target="media/image46.jpeg"/><Relationship Id="rId120" Type="http://schemas.openxmlformats.org/officeDocument/2006/relationships/image" Target="media/image47.jpeg"/><Relationship Id="rId121" Type="http://schemas.openxmlformats.org/officeDocument/2006/relationships/image" Target="media/image46.jpeg"/><Relationship Id="rId122" Type="http://schemas.openxmlformats.org/officeDocument/2006/relationships/image" Target="media/image47.jpeg"/><Relationship Id="rId123" Type="http://schemas.openxmlformats.org/officeDocument/2006/relationships/image" Target="media/image46.jpeg"/><Relationship Id="rId124" Type="http://schemas.openxmlformats.org/officeDocument/2006/relationships/image" Target="media/image47.jpeg"/><Relationship Id="rId125" Type="http://schemas.openxmlformats.org/officeDocument/2006/relationships/image" Target="media/image46.jpeg"/><Relationship Id="rId126" Type="http://schemas.openxmlformats.org/officeDocument/2006/relationships/image" Target="media/image47.jpeg"/><Relationship Id="rId127" Type="http://schemas.openxmlformats.org/officeDocument/2006/relationships/image" Target="media/image46.jpeg"/><Relationship Id="rId128" Type="http://schemas.openxmlformats.org/officeDocument/2006/relationships/image" Target="media/image47.jpeg"/><Relationship Id="rId129" Type="http://schemas.openxmlformats.org/officeDocument/2006/relationships/image" Target="media/image46.jpeg"/><Relationship Id="rId130" Type="http://schemas.openxmlformats.org/officeDocument/2006/relationships/image" Target="media/image47.jpeg"/><Relationship Id="rId131" Type="http://schemas.openxmlformats.org/officeDocument/2006/relationships/image" Target="media/image46.jpeg"/><Relationship Id="rId132" Type="http://schemas.openxmlformats.org/officeDocument/2006/relationships/image" Target="media/image63.gif"/><Relationship Id="rId133" Type="http://schemas.openxmlformats.org/officeDocument/2006/relationships/image" Target="media/image47.jpeg"/><Relationship Id="rId134" Type="http://schemas.openxmlformats.org/officeDocument/2006/relationships/image" Target="media/image64.gif"/><Relationship Id="rId135" Type="http://schemas.openxmlformats.org/officeDocument/2006/relationships/image" Target="media/image46.jpeg"/><Relationship Id="rId136" Type="http://schemas.openxmlformats.org/officeDocument/2006/relationships/image" Target="media/image65.gif"/><Relationship Id="rId137" Type="http://schemas.openxmlformats.org/officeDocument/2006/relationships/image" Target="media/image47.jpeg"/><Relationship Id="rId138" Type="http://schemas.openxmlformats.org/officeDocument/2006/relationships/image" Target="media/image46.jpeg"/><Relationship Id="rId139" Type="http://schemas.openxmlformats.org/officeDocument/2006/relationships/image" Target="media/image47.jpeg"/><Relationship Id="rId140" Type="http://schemas.openxmlformats.org/officeDocument/2006/relationships/image" Target="media/image46.jpeg"/><Relationship Id="rId141" Type="http://schemas.openxmlformats.org/officeDocument/2006/relationships/image" Target="media/image47.jpeg"/><Relationship Id="rId142" Type="http://schemas.openxmlformats.org/officeDocument/2006/relationships/image" Target="media/image46.jpeg"/><Relationship Id="rId143" Type="http://schemas.openxmlformats.org/officeDocument/2006/relationships/image" Target="media/image47.jpeg"/><Relationship Id="rId144" Type="http://schemas.openxmlformats.org/officeDocument/2006/relationships/image" Target="media/image46.jpeg"/><Relationship Id="rId145" Type="http://schemas.openxmlformats.org/officeDocument/2006/relationships/image" Target="media/image47.jpeg"/><Relationship Id="rId146" Type="http://schemas.openxmlformats.org/officeDocument/2006/relationships/image" Target="media/image46.jpeg"/><Relationship Id="rId147" Type="http://schemas.openxmlformats.org/officeDocument/2006/relationships/image" Target="media/image47.jpeg"/><Relationship Id="rId148" Type="http://schemas.openxmlformats.org/officeDocument/2006/relationships/image" Target="media/image66.jpeg"/><Relationship Id="rId149" Type="http://schemas.openxmlformats.org/officeDocument/2006/relationships/image" Target="media/image67.jpeg"/><Relationship Id="rId150" Type="http://schemas.openxmlformats.org/officeDocument/2006/relationships/fontTable" Target="fontTable.xml"/><Relationship Id="rId15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11</Pages>
  <Words>44999</Words>
  <Characters>244831</Characters>
  <CharactersWithSpaces>287299</CharactersWithSpaces>
  <Paragraphs>5401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