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778334.xml.htm"/>
      <w:bookmarkStart w:id="1" w:name="kswkform4_17737783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Clack 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Administrative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22,953</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2,434 unvested RSUs in respect of the Class A Common Stock that are scheduled to vest on January 1, 2027, (ii) 2,434 unvested RSUs in respect of Class A Common Stock that are scheduled to vest on January 1, 2028, (iii) 6,627 unvested RSUs in respect of Class A Common Stock that are scheduled to vest in equal installments on March 17, 2026, March 17, 2027 and March 17, 2028 and (iv) 6,429 unvested RSUs in respect of Class A Common Stock that are scheduled to vest in equal installments on March 15, 2027, March 15, 2028 and March 15, 2029,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Amy Clack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0787"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3956</Characters>
  <CharactersWithSpaces>4643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