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8,540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53,129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October 1,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8" w:lineRule="exact"/>
        <w:rPr>
          <w:rFonts w:ascii="Arial" w:cs="Arial" w:eastAsia="Arial" w:hAnsi="Arial"/>
          <w:sz w:val="12"/>
          <w:szCs w:val="12"/>
          <w:color w:val="008000"/>
        </w:rPr>
      </w:pPr>
    </w:p>
    <w:p>
      <w:pPr>
        <w:ind w:left="40" w:right="1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19,350 RSUs in respect of Class A Common Stock which are scheduled to vest on March 31, 2022, (ii) 16,672 RSUs in respect of Class A Common Stock which are scheduled to vest on March 31, 2023, (iii) 4,948 RSUs in respect of Class A Common Stock which are scheduled to vest on March 31, 2024, (iv) 3,619 RSUs in respect of Class A Common Stock which are scheduled to vest on March 31, 2025, and (v) 8,540 RSUs in respect of Class A Common Stock which are scheduled to vest on January 1, 2024, in each case subject to the reporting person's continued employment through the applicable vesting date.</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2022-02-25T17:35:57Z</dcterms:created>
  <dcterms:modified xsi:type="dcterms:W3CDTF">2022-02-25T17:35:57Z</dcterms:modified>
</cp:coreProperties>
</file>