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Tradeweb Markets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40" w:type="dxa"/>
            <w:vAlign w:val="bottom"/>
            <w:gridSpan w:val="3"/>
          </w:tcPr>
          <w:p>
            <w:pPr>
              <w:ind w:left="80"/>
              <w:spacing w:after="0"/>
              <w:rPr>
                <w:sz w:val="20"/>
                <w:szCs w:val="20"/>
                <w:color w:val="auto"/>
              </w:rPr>
            </w:pPr>
            <w:r>
              <w:rPr>
                <w:rFonts w:ascii="Arial" w:cs="Arial" w:eastAsia="Arial" w:hAnsi="Arial"/>
                <w:sz w:val="17"/>
                <w:szCs w:val="17"/>
                <w:color w:val="0000FF"/>
              </w:rPr>
              <w:t>11/25/2020</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11/25/2020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2,000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50,760</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includes (i) 3,371 restricted stock units ("RSUs") in respect of the issuer's Class A common stock (the "Class A Common Stock") which are scheduled to vest on March 15, 2024, (ii) 14,832 RSUs in respect of Class A Common Stock which are scheduled to vest on January 1, 2024, (iii) 6,409 RSUs in respect of Class A Common Stock which are scheduled to vest in equal installments on March 15, 2024 and March 15, 2025, (iv) 12,419 unvested RSUs in respect of Class A Common Stock that are scheduled to vest on January 1, 2025, and (v) 13,729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Justin</w:t>
      </w:r>
      <w:r>
        <w:rPr>
          <w:sz w:val="20"/>
          <w:szCs w:val="20"/>
          <w:color w:val="auto"/>
        </w:rPr>
        <w:tab/>
      </w:r>
      <w:r>
        <w:rPr>
          <w:rFonts w:ascii="Arial" w:cs="Arial" w:eastAsia="Arial" w:hAnsi="Arial"/>
          <w:sz w:val="15"/>
          <w:szCs w:val="15"/>
          <w:color w:val="0000FF"/>
        </w:rPr>
        <w:t>11/13/2023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2023-11-13T16:46:38Z</dcterms:created>
  <dcterms:modified xsi:type="dcterms:W3CDTF">2023-11-13T16:46:38Z</dcterms:modified>
</cp:coreProperties>
</file>