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930693.xml.htm"/>
      <w:bookmarkStart w:id="1" w:name="kswkform4_17709306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Clack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and CRO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09"/>
        <w:gridCol w:w="459"/>
        <w:gridCol w:w="839"/>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114.68</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17,363</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16,524</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2,434 unvested restricted stock units ("RSUs") in respect of the issuer's Class A common stock ("Class A Common Stock") that are scheduled to vest on January 1, 2027, (ii) 2,434 unvested RSUs in respect of Class A Common Stock that are scheduled to vest on January 1, 2028, and (iii) 6,627 unvested RSUs in respect of Class A Common Stock that are scheduled to vest in equal installments on March 17, 2026, March 17, 2027 and March 17,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Amy Clack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078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3710</Characters>
  <CharactersWithSpaces>4343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