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21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Hult William</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10/09/2020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0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8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6" w:lineRule="exact"/>
        <w:rPr>
          <w:sz w:val="24"/>
          <w:szCs w:val="24"/>
          <w:color w:val="auto"/>
        </w:rPr>
      </w:pPr>
    </w:p>
    <w:p>
      <w:pPr>
        <w:sectPr>
          <w:pgSz w:w="11900" w:h="16838" w:orient="portrait"/>
          <w:cols w:equalWidth="0" w:num="3">
            <w:col w:w="3200" w:space="720"/>
            <w:col w:w="3104" w:space="720"/>
            <w:col w:w="3336"/>
          </w:cols>
          <w:pgMar w:left="460" w:top="222" w:right="359" w:bottom="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186690</wp:posOffset>
            </wp:positionV>
            <wp:extent cx="6967220" cy="2176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176145"/>
                    </a:xfrm>
                    <a:prstGeom prst="rect">
                      <a:avLst/>
                    </a:prstGeom>
                    <a:noFill/>
                  </pic:spPr>
                </pic:pic>
              </a:graphicData>
            </a:graphic>
          </wp:anchor>
        </w:drawing>
      </w:r>
    </w:p>
    <w:p>
      <w:pPr>
        <w:spacing w:after="0" w:line="355" w:lineRule="exact"/>
        <w:rPr>
          <w:sz w:val="24"/>
          <w:szCs w:val="24"/>
          <w:color w:val="auto"/>
        </w:rPr>
      </w:pPr>
    </w:p>
    <w:p>
      <w:pPr>
        <w:sectPr>
          <w:pgSz w:w="11900" w:h="16838" w:orient="portrait"/>
          <w:cols w:equalWidth="0" w:num="2">
            <w:col w:w="3760" w:space="160"/>
            <w:col w:w="716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46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00" w:type="dxa"/>
            <w:vAlign w:val="bottom"/>
            <w:gridSpan w:val="2"/>
          </w:tcPr>
          <w:p>
            <w:pPr>
              <w:jc w:val="center"/>
              <w:ind w:left="30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8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288"/>
              <w:spacing w:after="0"/>
              <w:rPr>
                <w:sz w:val="20"/>
                <w:szCs w:val="20"/>
                <w:color w:val="auto"/>
              </w:rPr>
            </w:pPr>
            <w:r>
              <w:rPr>
                <w:rFonts w:ascii="Arial" w:cs="Arial" w:eastAsia="Arial" w:hAnsi="Arial"/>
                <w:sz w:val="17"/>
                <w:szCs w:val="17"/>
                <w:color w:val="0000FF"/>
                <w:w w:val="91"/>
              </w:rPr>
              <w:t>10/09/2020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6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477,475</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288"/>
              <w:spacing w:after="0"/>
              <w:rPr>
                <w:sz w:val="20"/>
                <w:szCs w:val="20"/>
                <w:color w:val="auto"/>
              </w:rPr>
            </w:pPr>
            <w:r>
              <w:rPr>
                <w:rFonts w:ascii="Arial" w:cs="Arial" w:eastAsia="Arial" w:hAnsi="Arial"/>
                <w:sz w:val="17"/>
                <w:szCs w:val="17"/>
                <w:color w:val="0000FF"/>
                <w:w w:val="91"/>
              </w:rPr>
              <w:t>10/09/2020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ind w:left="6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60.04</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477,375</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288"/>
              <w:spacing w:after="0"/>
              <w:rPr>
                <w:sz w:val="20"/>
                <w:szCs w:val="20"/>
                <w:color w:val="auto"/>
              </w:rPr>
            </w:pPr>
            <w:r>
              <w:rPr>
                <w:rFonts w:ascii="Arial" w:cs="Arial" w:eastAsia="Arial" w:hAnsi="Arial"/>
                <w:sz w:val="17"/>
                <w:szCs w:val="17"/>
                <w:color w:val="0000FF"/>
                <w:w w:val="91"/>
              </w:rPr>
              <w:t>10/12/2020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2,600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6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479,975</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288"/>
              <w:spacing w:after="0"/>
              <w:rPr>
                <w:sz w:val="20"/>
                <w:szCs w:val="20"/>
                <w:color w:val="auto"/>
              </w:rPr>
            </w:pPr>
            <w:r>
              <w:rPr>
                <w:rFonts w:ascii="Arial" w:cs="Arial" w:eastAsia="Arial" w:hAnsi="Arial"/>
                <w:sz w:val="17"/>
                <w:szCs w:val="17"/>
                <w:color w:val="0000FF"/>
                <w:w w:val="91"/>
              </w:rPr>
              <w:t>10/12/2020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2,600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60.0248</w:t>
            </w:r>
            <w:r>
              <w:rPr>
                <w:rFonts w:ascii="Arial" w:cs="Arial" w:eastAsia="Arial" w:hAnsi="Arial"/>
                <w:sz w:val="21"/>
                <w:szCs w:val="21"/>
                <w:color w:val="008000"/>
                <w:w w:val="88"/>
                <w:vertAlign w:val="superscript"/>
              </w:rPr>
              <w:t>(3)</w:t>
            </w:r>
          </w:p>
        </w:tc>
        <w:tc>
          <w:tcPr>
            <w:tcW w:w="116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477,375</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288"/>
              <w:spacing w:after="0"/>
              <w:rPr>
                <w:sz w:val="20"/>
                <w:szCs w:val="20"/>
                <w:color w:val="auto"/>
              </w:rPr>
            </w:pPr>
            <w:r>
              <w:rPr>
                <w:rFonts w:ascii="Arial" w:cs="Arial" w:eastAsia="Arial" w:hAnsi="Arial"/>
                <w:sz w:val="17"/>
                <w:szCs w:val="17"/>
                <w:color w:val="0000FF"/>
                <w:w w:val="91"/>
              </w:rPr>
              <w:t>10/13/2020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6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477,975</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288"/>
              <w:spacing w:after="0"/>
              <w:rPr>
                <w:sz w:val="20"/>
                <w:szCs w:val="20"/>
                <w:color w:val="auto"/>
              </w:rPr>
            </w:pPr>
            <w:r>
              <w:rPr>
                <w:rFonts w:ascii="Arial" w:cs="Arial" w:eastAsia="Arial" w:hAnsi="Arial"/>
                <w:sz w:val="17"/>
                <w:szCs w:val="17"/>
                <w:color w:val="0000FF"/>
                <w:w w:val="91"/>
              </w:rPr>
              <w:t>10/13/2020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26"/>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60.31</w:t>
            </w:r>
            <w:r>
              <w:rPr>
                <w:rFonts w:ascii="Arial" w:cs="Arial" w:eastAsia="Arial" w:hAnsi="Arial"/>
                <w:sz w:val="21"/>
                <w:szCs w:val="21"/>
                <w:color w:val="008000"/>
                <w:w w:val="86"/>
                <w:vertAlign w:val="superscript"/>
              </w:rPr>
              <w:t>(4)</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477,375</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0" w:type="dxa"/>
            <w:vAlign w:val="bottom"/>
            <w:gridSpan w:val="9"/>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33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vMerge w:val="restart"/>
          </w:tcPr>
          <w:p>
            <w:pPr>
              <w:ind w:left="8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1"/>
              </w:rPr>
              <w:t>100</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89"/>
              </w:rPr>
              <w:t>10/09/2020</w:t>
            </w:r>
          </w:p>
        </w:tc>
        <w:tc>
          <w:tcPr>
            <w:tcW w:w="1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jc w:val="center"/>
              <w:ind w:left="280"/>
              <w:spacing w:after="0" w:line="144" w:lineRule="exact"/>
              <w:rPr>
                <w:sz w:val="20"/>
                <w:szCs w:val="20"/>
                <w:color w:val="auto"/>
              </w:rPr>
            </w:pPr>
            <w:r>
              <w:rPr>
                <w:rFonts w:ascii="Arial" w:cs="Arial" w:eastAsia="Arial" w:hAnsi="Arial"/>
                <w:sz w:val="13"/>
                <w:szCs w:val="13"/>
                <w:color w:val="0000FF"/>
                <w:w w:val="92"/>
              </w:rPr>
              <w:t>100</w:t>
            </w:r>
          </w:p>
        </w:tc>
        <w:tc>
          <w:tcPr>
            <w:tcW w:w="820" w:type="dxa"/>
            <w:vAlign w:val="bottom"/>
            <w:vMerge w:val="continue"/>
          </w:tcPr>
          <w:p>
            <w:pPr>
              <w:spacing w:after="0"/>
              <w:rPr>
                <w:sz w:val="6"/>
                <w:szCs w:val="6"/>
                <w:color w:val="auto"/>
              </w:rPr>
            </w:pPr>
          </w:p>
        </w:tc>
        <w:tc>
          <w:tcPr>
            <w:tcW w:w="76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w w:val="98"/>
              </w:rPr>
              <w:t>10/26/2028</w:t>
            </w:r>
          </w:p>
        </w:tc>
        <w:tc>
          <w:tcPr>
            <w:tcW w:w="54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gridSpan w:val="2"/>
            <w:vMerge w:val="restart"/>
          </w:tcPr>
          <w:p>
            <w:pPr>
              <w:ind w:left="220"/>
              <w:spacing w:after="0" w:line="144" w:lineRule="exact"/>
              <w:rPr>
                <w:sz w:val="20"/>
                <w:szCs w:val="20"/>
                <w:color w:val="auto"/>
              </w:rPr>
            </w:pPr>
            <w:r>
              <w:rPr>
                <w:rFonts w:ascii="Arial" w:cs="Arial" w:eastAsia="Arial" w:hAnsi="Arial"/>
                <w:sz w:val="13"/>
                <w:szCs w:val="13"/>
                <w:color w:val="0000FF"/>
              </w:rPr>
              <w:t>1,113,090</w:t>
            </w: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vMerge w:val="restart"/>
          </w:tcPr>
          <w:p>
            <w:pPr>
              <w:ind w:left="8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2,600</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89"/>
              </w:rPr>
              <w:t>10/12/2020</w:t>
            </w:r>
          </w:p>
        </w:tc>
        <w:tc>
          <w:tcPr>
            <w:tcW w:w="1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jc w:val="center"/>
              <w:ind w:left="300"/>
              <w:spacing w:after="0" w:line="144" w:lineRule="exact"/>
              <w:rPr>
                <w:sz w:val="20"/>
                <w:szCs w:val="20"/>
                <w:color w:val="auto"/>
              </w:rPr>
            </w:pPr>
            <w:r>
              <w:rPr>
                <w:rFonts w:ascii="Arial" w:cs="Arial" w:eastAsia="Arial" w:hAnsi="Arial"/>
                <w:sz w:val="13"/>
                <w:szCs w:val="13"/>
                <w:color w:val="0000FF"/>
                <w:w w:val="92"/>
              </w:rPr>
              <w:t>2,600</w:t>
            </w:r>
          </w:p>
        </w:tc>
        <w:tc>
          <w:tcPr>
            <w:tcW w:w="820" w:type="dxa"/>
            <w:vAlign w:val="bottom"/>
            <w:vMerge w:val="continue"/>
          </w:tcPr>
          <w:p>
            <w:pPr>
              <w:spacing w:after="0"/>
              <w:rPr>
                <w:sz w:val="6"/>
                <w:szCs w:val="6"/>
                <w:color w:val="auto"/>
              </w:rPr>
            </w:pPr>
          </w:p>
        </w:tc>
        <w:tc>
          <w:tcPr>
            <w:tcW w:w="76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w w:val="98"/>
              </w:rPr>
              <w:t>10/26/2028</w:t>
            </w:r>
          </w:p>
        </w:tc>
        <w:tc>
          <w:tcPr>
            <w:tcW w:w="54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gridSpan w:val="2"/>
            <w:vMerge w:val="restart"/>
          </w:tcPr>
          <w:p>
            <w:pPr>
              <w:ind w:left="220"/>
              <w:spacing w:after="0" w:line="144" w:lineRule="exact"/>
              <w:rPr>
                <w:sz w:val="20"/>
                <w:szCs w:val="20"/>
                <w:color w:val="auto"/>
              </w:rPr>
            </w:pPr>
            <w:r>
              <w:rPr>
                <w:rFonts w:ascii="Arial" w:cs="Arial" w:eastAsia="Arial" w:hAnsi="Arial"/>
                <w:sz w:val="13"/>
                <w:szCs w:val="13"/>
                <w:color w:val="0000FF"/>
              </w:rPr>
              <w:t>1,110,490</w:t>
            </w: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vMerge w:val="restart"/>
          </w:tcPr>
          <w:p>
            <w:pPr>
              <w:ind w:left="8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1"/>
              </w:rPr>
              <w:t>600</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89"/>
              </w:rPr>
              <w:t>10/13/2020</w:t>
            </w:r>
          </w:p>
        </w:tc>
        <w:tc>
          <w:tcPr>
            <w:tcW w:w="1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jc w:val="center"/>
              <w:ind w:left="280"/>
              <w:spacing w:after="0" w:line="144" w:lineRule="exact"/>
              <w:rPr>
                <w:sz w:val="20"/>
                <w:szCs w:val="20"/>
                <w:color w:val="auto"/>
              </w:rPr>
            </w:pPr>
            <w:r>
              <w:rPr>
                <w:rFonts w:ascii="Arial" w:cs="Arial" w:eastAsia="Arial" w:hAnsi="Arial"/>
                <w:sz w:val="13"/>
                <w:szCs w:val="13"/>
                <w:color w:val="0000FF"/>
                <w:w w:val="92"/>
              </w:rPr>
              <w:t>600</w:t>
            </w:r>
          </w:p>
        </w:tc>
        <w:tc>
          <w:tcPr>
            <w:tcW w:w="820" w:type="dxa"/>
            <w:vAlign w:val="bottom"/>
            <w:vMerge w:val="continue"/>
          </w:tcPr>
          <w:p>
            <w:pPr>
              <w:spacing w:after="0"/>
              <w:rPr>
                <w:sz w:val="6"/>
                <w:szCs w:val="6"/>
                <w:color w:val="auto"/>
              </w:rPr>
            </w:pPr>
          </w:p>
        </w:tc>
        <w:tc>
          <w:tcPr>
            <w:tcW w:w="76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w w:val="98"/>
              </w:rPr>
              <w:t>10/26/2028</w:t>
            </w:r>
          </w:p>
        </w:tc>
        <w:tc>
          <w:tcPr>
            <w:tcW w:w="54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gridSpan w:val="2"/>
            <w:vMerge w:val="restart"/>
          </w:tcPr>
          <w:p>
            <w:pPr>
              <w:ind w:left="220"/>
              <w:spacing w:after="0" w:line="144" w:lineRule="exact"/>
              <w:rPr>
                <w:sz w:val="20"/>
                <w:szCs w:val="20"/>
                <w:color w:val="auto"/>
              </w:rPr>
            </w:pPr>
            <w:r>
              <w:rPr>
                <w:rFonts w:ascii="Arial" w:cs="Arial" w:eastAsia="Arial" w:hAnsi="Arial"/>
                <w:sz w:val="13"/>
                <w:szCs w:val="13"/>
                <w:color w:val="0000FF"/>
              </w:rPr>
              <w:t>1,109,890</w:t>
            </w: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-3051810</wp:posOffset>
            </wp:positionV>
            <wp:extent cx="7033260" cy="3094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309435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12, 2020.</w:t>
      </w:r>
    </w:p>
    <w:p>
      <w:pPr>
        <w:spacing w:after="0" w:line="45" w:lineRule="exact"/>
        <w:rPr>
          <w:rFonts w:ascii="Arial" w:cs="Arial" w:eastAsia="Arial" w:hAnsi="Arial"/>
          <w:sz w:val="13"/>
          <w:szCs w:val="13"/>
          <w:color w:val="008000"/>
        </w:rPr>
      </w:pPr>
    </w:p>
    <w:p>
      <w:pPr>
        <w:ind w:left="40" w:right="180" w:firstLine="3"/>
        <w:spacing w:after="0" w:line="271"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173,181 unvested restricted stock units ("RSUs") in respect of the issuer's Class A common stock ("Class A Common Stock") which are scheduled to vest on January 1, 2021, (ii) 249,102 unvested RSUs in respect of Class A Common Stock which are scheduled to vest on January 1, 2022, and (iii) 43,092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jc w:val="both"/>
        <w:ind w:left="40" w:right="2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$60.00 to $60.10, inclusive. The reporting person undertakes to provide the issuer, any security holder of the issuer, or the staff of the Securities and Exchange Commission, upon request, full information regarding the number of shares sold at each separate price within the range set forth in footnotes 3 and 4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$60.18 to $60.47,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10/13/2020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2020-10-13T18:42:21Z</dcterms:created>
  <dcterms:modified xsi:type="dcterms:W3CDTF">2020-10-13T18:42:21Z</dcterms:modified>
</cp:coreProperties>
</file>