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4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SCHEDULE 13G</w:t>
      </w:r>
    </w:p>
    <w:p>
      <w:pPr>
        <w:spacing w:after="0" w:line="30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(Amendment No. _ )</w:t>
      </w:r>
      <w:r>
        <w:rPr>
          <w:rFonts w:ascii="Times New Roman" w:cs="Times New Roman" w:eastAsia="Times New Roman" w:hAnsi="Times New Roman"/>
          <w:sz w:val="35"/>
          <w:szCs w:val="35"/>
          <w:b w:val="1"/>
          <w:bCs w:val="1"/>
          <w:color w:val="auto"/>
          <w:vertAlign w:val="superscript"/>
        </w:rPr>
        <w:t>*</w:t>
      </w:r>
    </w:p>
    <w:p>
      <w:pPr>
        <w:spacing w:after="0" w:line="200" w:lineRule="exact"/>
        <w:rPr>
          <w:sz w:val="24"/>
          <w:szCs w:val="24"/>
          <w:color w:val="auto"/>
        </w:rPr>
      </w:pPr>
    </w:p>
    <w:p>
      <w:pPr>
        <w:spacing w:after="0" w:line="39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Tradeweb Markets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22"/>
          <w:szCs w:val="22"/>
          <w:color w:val="auto"/>
        </w:rPr>
        <w:t>(Name of Issuer)</w:t>
      </w:r>
    </w:p>
    <w:p>
      <w:pPr>
        <w:spacing w:after="0" w:line="206"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0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892672106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22"/>
          <w:szCs w:val="22"/>
          <w:color w:val="auto"/>
        </w:rPr>
        <w:t>(CUSIP Number)</w:t>
      </w:r>
    </w:p>
    <w:p>
      <w:pPr>
        <w:spacing w:after="0" w:line="206"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22"/>
          <w:szCs w:val="22"/>
          <w:color w:val="auto"/>
        </w:rPr>
        <w:t>December 30,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48" w:lineRule="auto"/>
        <w:tabs>
          <w:tab w:leader="none" w:pos="478" w:val="left"/>
        </w:tabs>
        <w:numPr>
          <w:ilvl w:val="1"/>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Rule 13d-1(b) [ ] Rule 13d-1(c)</w:t>
      </w:r>
    </w:p>
    <w:p>
      <w:pPr>
        <w:spacing w:after="0" w:line="1" w:lineRule="exact"/>
        <w:rPr>
          <w:rFonts w:ascii="Times New Roman" w:cs="Times New Roman" w:eastAsia="Times New Roman" w:hAnsi="Times New Roman"/>
          <w:sz w:val="21"/>
          <w:szCs w:val="21"/>
          <w:color w:val="auto"/>
        </w:rPr>
      </w:pPr>
    </w:p>
    <w:p>
      <w:pPr>
        <w:ind w:left="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  Rule 13d-1(d)</w:t>
      </w:r>
    </w:p>
    <w:p>
      <w:pPr>
        <w:spacing w:after="0" w:line="269" w:lineRule="exact"/>
        <w:rPr>
          <w:rFonts w:ascii="Times New Roman" w:cs="Times New Roman" w:eastAsia="Times New Roman" w:hAnsi="Times New Roman"/>
          <w:sz w:val="21"/>
          <w:szCs w:val="21"/>
          <w:color w:val="auto"/>
        </w:rPr>
      </w:pPr>
    </w:p>
    <w:p>
      <w:pPr>
        <w:spacing w:after="0" w:line="214" w:lineRule="auto"/>
        <w:rPr>
          <w:rFonts w:ascii="Times New Roman" w:cs="Times New Roman" w:eastAsia="Times New Roman" w:hAnsi="Times New Roman"/>
          <w:sz w:val="21"/>
          <w:szCs w:val="21"/>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0" w:lineRule="exact"/>
        <w:rPr>
          <w:sz w:val="24"/>
          <w:szCs w:val="24"/>
          <w:color w:val="auto"/>
        </w:rPr>
      </w:pPr>
    </w:p>
    <w:p>
      <w:pPr>
        <w:ind w:right="180"/>
        <w:spacing w:after="0" w:line="244" w:lineRule="auto"/>
        <w:rPr>
          <w:sz w:val="20"/>
          <w:szCs w:val="20"/>
          <w:color w:val="auto"/>
        </w:rPr>
      </w:pPr>
      <w:r>
        <w:rPr>
          <w:rFonts w:ascii="Times New Roman" w:cs="Times New Roman" w:eastAsia="Times New Roman" w:hAnsi="Times New Roman"/>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16" w:right="459" w:bottom="144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892672106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82"/>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1.</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Wellington Management Group LLP</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2.</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7"/>
              </w:rPr>
              <w:t>CHECK THE APPROPRIATE BOX IF A MEMBER OF A GROUP</w:t>
            </w:r>
          </w:p>
        </w:tc>
      </w:tr>
      <w:tr>
        <w:trPr>
          <w:trHeight w:val="447"/>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(a) [ ]</w:t>
            </w:r>
          </w:p>
        </w:tc>
      </w:tr>
      <w:tr>
        <w:trPr>
          <w:trHeight w:val="282"/>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3.</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4.</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Massachusetts</w:t>
            </w:r>
          </w:p>
        </w:tc>
      </w:tr>
    </w:tbl>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520" w:type="dxa"/>
            <w:vAlign w:val="bottom"/>
          </w:tcPr>
          <w:p>
            <w:pPr>
              <w:spacing w:after="0"/>
              <w:rPr>
                <w:sz w:val="24"/>
                <w:szCs w:val="24"/>
                <w:color w:val="auto"/>
              </w:rPr>
            </w:pPr>
          </w:p>
        </w:tc>
        <w:tc>
          <w:tcPr>
            <w:tcW w:w="6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5. SOLE VOTING POWER</w:t>
            </w:r>
          </w:p>
        </w:tc>
        <w:tc>
          <w:tcPr>
            <w:tcW w:w="27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520" w:type="dxa"/>
            <w:vAlign w:val="bottom"/>
          </w:tcPr>
          <w:p>
            <w:pPr>
              <w:spacing w:after="0"/>
              <w:rPr>
                <w:sz w:val="21"/>
                <w:szCs w:val="21"/>
                <w:color w:val="auto"/>
              </w:rPr>
            </w:pP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6. SHARED VOTING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5,532,443</w:t>
            </w:r>
          </w:p>
        </w:tc>
        <w:tc>
          <w:tcPr>
            <w:tcW w:w="0" w:type="dxa"/>
            <w:vAlign w:val="bottom"/>
          </w:tcPr>
          <w:p>
            <w:pPr>
              <w:spacing w:after="0"/>
              <w:rPr>
                <w:sz w:val="1"/>
                <w:szCs w:val="1"/>
                <w:color w:val="auto"/>
              </w:rPr>
            </w:pPr>
          </w:p>
        </w:tc>
      </w:tr>
      <w:tr>
        <w:trPr>
          <w:trHeight w:val="174"/>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520" w:type="dxa"/>
            <w:vAlign w:val="bottom"/>
          </w:tcPr>
          <w:p>
            <w:pPr>
              <w:spacing w:after="0"/>
              <w:rPr>
                <w:sz w:val="15"/>
                <w:szCs w:val="15"/>
                <w:color w:val="auto"/>
              </w:rPr>
            </w:pPr>
          </w:p>
        </w:tc>
        <w:tc>
          <w:tcPr>
            <w:tcW w:w="6300" w:type="dxa"/>
            <w:vAlign w:val="bottom"/>
            <w:vMerge w:val="continue"/>
          </w:tcPr>
          <w:p>
            <w:pPr>
              <w:spacing w:after="0"/>
              <w:rPr>
                <w:sz w:val="15"/>
                <w:szCs w:val="15"/>
                <w:color w:val="auto"/>
              </w:rPr>
            </w:pPr>
          </w:p>
        </w:tc>
        <w:tc>
          <w:tcPr>
            <w:tcW w:w="2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17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300" w:type="dxa"/>
            <w:vAlign w:val="bottom"/>
          </w:tcPr>
          <w:p>
            <w:pPr>
              <w:spacing w:after="0"/>
              <w:rPr>
                <w:sz w:val="5"/>
                <w:szCs w:val="5"/>
                <w:color w:val="auto"/>
              </w:rPr>
            </w:pPr>
          </w:p>
        </w:tc>
        <w:tc>
          <w:tcPr>
            <w:tcW w:w="2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24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 EACH</w:t>
            </w: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7. SOLE DISPOSITIVE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47"/>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520" w:type="dxa"/>
            <w:vAlign w:val="bottom"/>
          </w:tcPr>
          <w:p>
            <w:pPr>
              <w:spacing w:after="0"/>
              <w:rPr>
                <w:sz w:val="12"/>
                <w:szCs w:val="12"/>
                <w:color w:val="auto"/>
              </w:rPr>
            </w:pPr>
          </w:p>
        </w:tc>
        <w:tc>
          <w:tcPr>
            <w:tcW w:w="6300" w:type="dxa"/>
            <w:vAlign w:val="bottom"/>
            <w:vMerge w:val="continue"/>
          </w:tcPr>
          <w:p>
            <w:pPr>
              <w:spacing w:after="0"/>
              <w:rPr>
                <w:sz w:val="12"/>
                <w:szCs w:val="12"/>
                <w:color w:val="auto"/>
              </w:rPr>
            </w:pPr>
          </w:p>
        </w:tc>
        <w:tc>
          <w:tcPr>
            <w:tcW w:w="2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172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6300" w:type="dxa"/>
            <w:vAlign w:val="bottom"/>
          </w:tcPr>
          <w:p>
            <w:pPr>
              <w:spacing w:after="0"/>
              <w:rPr>
                <w:sz w:val="8"/>
                <w:szCs w:val="8"/>
                <w:color w:val="auto"/>
              </w:rPr>
            </w:pPr>
          </w:p>
        </w:tc>
        <w:tc>
          <w:tcPr>
            <w:tcW w:w="2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520" w:type="dxa"/>
            <w:vAlign w:val="bottom"/>
          </w:tcPr>
          <w:p>
            <w:pPr>
              <w:spacing w:after="0"/>
              <w:rPr>
                <w:sz w:val="24"/>
                <w:szCs w:val="24"/>
                <w:color w:val="auto"/>
              </w:rPr>
            </w:pP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6,173,424</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300" w:type="dxa"/>
            <w:vAlign w:val="bottom"/>
            <w:vMerge w:val="continue"/>
          </w:tcPr>
          <w:p>
            <w:pPr>
              <w:spacing w:after="0"/>
              <w:rPr>
                <w:sz w:val="7"/>
                <w:szCs w:val="7"/>
                <w:color w:val="auto"/>
              </w:rPr>
            </w:pP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6,173,424</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 ]</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5.56%</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HC</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300" w:type="dxa"/>
            <w:vAlign w:val="bottom"/>
            <w:tcBorders>
              <w:bottom w:val="single" w:sz="8" w:color="808080"/>
            </w:tcBorders>
          </w:tcPr>
          <w:p>
            <w:pPr>
              <w:spacing w:after="0"/>
              <w:rPr>
                <w:sz w:val="8"/>
                <w:szCs w:val="8"/>
                <w:color w:val="auto"/>
              </w:rPr>
            </w:pPr>
          </w:p>
        </w:tc>
        <w:tc>
          <w:tcPr>
            <w:tcW w:w="2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2" w:name="page3"/>
    <w:bookmarkEnd w:id="2"/>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CUSIP No. 892672106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82"/>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1.</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Wellington Group Holdings LLP</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2.</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7"/>
              </w:rPr>
              <w:t>CHECK THE APPROPRIATE BOX IF A MEMBER OF A GROUP</w:t>
            </w:r>
          </w:p>
        </w:tc>
      </w:tr>
      <w:tr>
        <w:trPr>
          <w:trHeight w:val="447"/>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(a) [ ]</w:t>
            </w:r>
          </w:p>
        </w:tc>
      </w:tr>
      <w:tr>
        <w:trPr>
          <w:trHeight w:val="282"/>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3.</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4.</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Delaware</w:t>
            </w:r>
          </w:p>
        </w:tc>
      </w:tr>
    </w:tbl>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520" w:type="dxa"/>
            <w:vAlign w:val="bottom"/>
          </w:tcPr>
          <w:p>
            <w:pPr>
              <w:spacing w:after="0"/>
              <w:rPr>
                <w:sz w:val="24"/>
                <w:szCs w:val="24"/>
                <w:color w:val="auto"/>
              </w:rPr>
            </w:pPr>
          </w:p>
        </w:tc>
        <w:tc>
          <w:tcPr>
            <w:tcW w:w="6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5. SOLE VOTING POWER</w:t>
            </w:r>
          </w:p>
        </w:tc>
        <w:tc>
          <w:tcPr>
            <w:tcW w:w="27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520" w:type="dxa"/>
            <w:vAlign w:val="bottom"/>
          </w:tcPr>
          <w:p>
            <w:pPr>
              <w:spacing w:after="0"/>
              <w:rPr>
                <w:sz w:val="21"/>
                <w:szCs w:val="21"/>
                <w:color w:val="auto"/>
              </w:rPr>
            </w:pP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6. SHARED VOTING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5,532,443</w:t>
            </w:r>
          </w:p>
        </w:tc>
        <w:tc>
          <w:tcPr>
            <w:tcW w:w="0" w:type="dxa"/>
            <w:vAlign w:val="bottom"/>
          </w:tcPr>
          <w:p>
            <w:pPr>
              <w:spacing w:after="0"/>
              <w:rPr>
                <w:sz w:val="1"/>
                <w:szCs w:val="1"/>
                <w:color w:val="auto"/>
              </w:rPr>
            </w:pPr>
          </w:p>
        </w:tc>
      </w:tr>
      <w:tr>
        <w:trPr>
          <w:trHeight w:val="174"/>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520" w:type="dxa"/>
            <w:vAlign w:val="bottom"/>
          </w:tcPr>
          <w:p>
            <w:pPr>
              <w:spacing w:after="0"/>
              <w:rPr>
                <w:sz w:val="15"/>
                <w:szCs w:val="15"/>
                <w:color w:val="auto"/>
              </w:rPr>
            </w:pPr>
          </w:p>
        </w:tc>
        <w:tc>
          <w:tcPr>
            <w:tcW w:w="6300" w:type="dxa"/>
            <w:vAlign w:val="bottom"/>
            <w:vMerge w:val="continue"/>
          </w:tcPr>
          <w:p>
            <w:pPr>
              <w:spacing w:after="0"/>
              <w:rPr>
                <w:sz w:val="15"/>
                <w:szCs w:val="15"/>
                <w:color w:val="auto"/>
              </w:rPr>
            </w:pPr>
          </w:p>
        </w:tc>
        <w:tc>
          <w:tcPr>
            <w:tcW w:w="2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17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300" w:type="dxa"/>
            <w:vAlign w:val="bottom"/>
          </w:tcPr>
          <w:p>
            <w:pPr>
              <w:spacing w:after="0"/>
              <w:rPr>
                <w:sz w:val="5"/>
                <w:szCs w:val="5"/>
                <w:color w:val="auto"/>
              </w:rPr>
            </w:pPr>
          </w:p>
        </w:tc>
        <w:tc>
          <w:tcPr>
            <w:tcW w:w="2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24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 EACH</w:t>
            </w: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7. SOLE DISPOSITIVE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47"/>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520" w:type="dxa"/>
            <w:vAlign w:val="bottom"/>
          </w:tcPr>
          <w:p>
            <w:pPr>
              <w:spacing w:after="0"/>
              <w:rPr>
                <w:sz w:val="12"/>
                <w:szCs w:val="12"/>
                <w:color w:val="auto"/>
              </w:rPr>
            </w:pPr>
          </w:p>
        </w:tc>
        <w:tc>
          <w:tcPr>
            <w:tcW w:w="6300" w:type="dxa"/>
            <w:vAlign w:val="bottom"/>
            <w:vMerge w:val="continue"/>
          </w:tcPr>
          <w:p>
            <w:pPr>
              <w:spacing w:after="0"/>
              <w:rPr>
                <w:sz w:val="12"/>
                <w:szCs w:val="12"/>
                <w:color w:val="auto"/>
              </w:rPr>
            </w:pPr>
          </w:p>
        </w:tc>
        <w:tc>
          <w:tcPr>
            <w:tcW w:w="2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172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6300" w:type="dxa"/>
            <w:vAlign w:val="bottom"/>
          </w:tcPr>
          <w:p>
            <w:pPr>
              <w:spacing w:after="0"/>
              <w:rPr>
                <w:sz w:val="8"/>
                <w:szCs w:val="8"/>
                <w:color w:val="auto"/>
              </w:rPr>
            </w:pPr>
          </w:p>
        </w:tc>
        <w:tc>
          <w:tcPr>
            <w:tcW w:w="2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520" w:type="dxa"/>
            <w:vAlign w:val="bottom"/>
          </w:tcPr>
          <w:p>
            <w:pPr>
              <w:spacing w:after="0"/>
              <w:rPr>
                <w:sz w:val="24"/>
                <w:szCs w:val="24"/>
                <w:color w:val="auto"/>
              </w:rPr>
            </w:pP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6,173,424</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300" w:type="dxa"/>
            <w:vAlign w:val="bottom"/>
            <w:vMerge w:val="continue"/>
          </w:tcPr>
          <w:p>
            <w:pPr>
              <w:spacing w:after="0"/>
              <w:rPr>
                <w:sz w:val="7"/>
                <w:szCs w:val="7"/>
                <w:color w:val="auto"/>
              </w:rPr>
            </w:pP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6,173,424</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 ]</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5.56%</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HC</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300" w:type="dxa"/>
            <w:vAlign w:val="bottom"/>
            <w:tcBorders>
              <w:bottom w:val="single" w:sz="8" w:color="808080"/>
            </w:tcBorders>
          </w:tcPr>
          <w:p>
            <w:pPr>
              <w:spacing w:after="0"/>
              <w:rPr>
                <w:sz w:val="8"/>
                <w:szCs w:val="8"/>
                <w:color w:val="auto"/>
              </w:rPr>
            </w:pPr>
          </w:p>
        </w:tc>
        <w:tc>
          <w:tcPr>
            <w:tcW w:w="2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3" w:name="page4"/>
    <w:bookmarkEnd w:id="3"/>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892672106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82"/>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1.</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Wellington Investment Advisors Holdings LLP</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2.</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7"/>
              </w:rPr>
              <w:t>CHECK THE APPROPRIATE BOX IF A MEMBER OF A GROUP</w:t>
            </w:r>
          </w:p>
        </w:tc>
      </w:tr>
      <w:tr>
        <w:trPr>
          <w:trHeight w:val="447"/>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(a) [ ]</w:t>
            </w:r>
          </w:p>
        </w:tc>
      </w:tr>
      <w:tr>
        <w:trPr>
          <w:trHeight w:val="282"/>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3.</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4.</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Delaware</w:t>
            </w:r>
          </w:p>
        </w:tc>
      </w:tr>
    </w:tbl>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520" w:type="dxa"/>
            <w:vAlign w:val="bottom"/>
          </w:tcPr>
          <w:p>
            <w:pPr>
              <w:spacing w:after="0"/>
              <w:rPr>
                <w:sz w:val="24"/>
                <w:szCs w:val="24"/>
                <w:color w:val="auto"/>
              </w:rPr>
            </w:pPr>
          </w:p>
        </w:tc>
        <w:tc>
          <w:tcPr>
            <w:tcW w:w="6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5. SOLE VOTING POWER</w:t>
            </w:r>
          </w:p>
        </w:tc>
        <w:tc>
          <w:tcPr>
            <w:tcW w:w="27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520" w:type="dxa"/>
            <w:vAlign w:val="bottom"/>
          </w:tcPr>
          <w:p>
            <w:pPr>
              <w:spacing w:after="0"/>
              <w:rPr>
                <w:sz w:val="21"/>
                <w:szCs w:val="21"/>
                <w:color w:val="auto"/>
              </w:rPr>
            </w:pP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6. SHARED VOTING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5,532,443</w:t>
            </w:r>
          </w:p>
        </w:tc>
        <w:tc>
          <w:tcPr>
            <w:tcW w:w="0" w:type="dxa"/>
            <w:vAlign w:val="bottom"/>
          </w:tcPr>
          <w:p>
            <w:pPr>
              <w:spacing w:after="0"/>
              <w:rPr>
                <w:sz w:val="1"/>
                <w:szCs w:val="1"/>
                <w:color w:val="auto"/>
              </w:rPr>
            </w:pPr>
          </w:p>
        </w:tc>
      </w:tr>
      <w:tr>
        <w:trPr>
          <w:trHeight w:val="174"/>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520" w:type="dxa"/>
            <w:vAlign w:val="bottom"/>
          </w:tcPr>
          <w:p>
            <w:pPr>
              <w:spacing w:after="0"/>
              <w:rPr>
                <w:sz w:val="15"/>
                <w:szCs w:val="15"/>
                <w:color w:val="auto"/>
              </w:rPr>
            </w:pPr>
          </w:p>
        </w:tc>
        <w:tc>
          <w:tcPr>
            <w:tcW w:w="6300" w:type="dxa"/>
            <w:vAlign w:val="bottom"/>
            <w:vMerge w:val="continue"/>
          </w:tcPr>
          <w:p>
            <w:pPr>
              <w:spacing w:after="0"/>
              <w:rPr>
                <w:sz w:val="15"/>
                <w:szCs w:val="15"/>
                <w:color w:val="auto"/>
              </w:rPr>
            </w:pPr>
          </w:p>
        </w:tc>
        <w:tc>
          <w:tcPr>
            <w:tcW w:w="2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17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300" w:type="dxa"/>
            <w:vAlign w:val="bottom"/>
          </w:tcPr>
          <w:p>
            <w:pPr>
              <w:spacing w:after="0"/>
              <w:rPr>
                <w:sz w:val="5"/>
                <w:szCs w:val="5"/>
                <w:color w:val="auto"/>
              </w:rPr>
            </w:pPr>
          </w:p>
        </w:tc>
        <w:tc>
          <w:tcPr>
            <w:tcW w:w="2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24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 EACH</w:t>
            </w: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7. SOLE DISPOSITIVE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47"/>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520" w:type="dxa"/>
            <w:vAlign w:val="bottom"/>
          </w:tcPr>
          <w:p>
            <w:pPr>
              <w:spacing w:after="0"/>
              <w:rPr>
                <w:sz w:val="12"/>
                <w:szCs w:val="12"/>
                <w:color w:val="auto"/>
              </w:rPr>
            </w:pPr>
          </w:p>
        </w:tc>
        <w:tc>
          <w:tcPr>
            <w:tcW w:w="6300" w:type="dxa"/>
            <w:vAlign w:val="bottom"/>
            <w:vMerge w:val="continue"/>
          </w:tcPr>
          <w:p>
            <w:pPr>
              <w:spacing w:after="0"/>
              <w:rPr>
                <w:sz w:val="12"/>
                <w:szCs w:val="12"/>
                <w:color w:val="auto"/>
              </w:rPr>
            </w:pPr>
          </w:p>
        </w:tc>
        <w:tc>
          <w:tcPr>
            <w:tcW w:w="2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172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6300" w:type="dxa"/>
            <w:vAlign w:val="bottom"/>
          </w:tcPr>
          <w:p>
            <w:pPr>
              <w:spacing w:after="0"/>
              <w:rPr>
                <w:sz w:val="8"/>
                <w:szCs w:val="8"/>
                <w:color w:val="auto"/>
              </w:rPr>
            </w:pPr>
          </w:p>
        </w:tc>
        <w:tc>
          <w:tcPr>
            <w:tcW w:w="2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520" w:type="dxa"/>
            <w:vAlign w:val="bottom"/>
          </w:tcPr>
          <w:p>
            <w:pPr>
              <w:spacing w:after="0"/>
              <w:rPr>
                <w:sz w:val="24"/>
                <w:szCs w:val="24"/>
                <w:color w:val="auto"/>
              </w:rPr>
            </w:pP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6,173,424</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300" w:type="dxa"/>
            <w:vAlign w:val="bottom"/>
            <w:vMerge w:val="continue"/>
          </w:tcPr>
          <w:p>
            <w:pPr>
              <w:spacing w:after="0"/>
              <w:rPr>
                <w:sz w:val="7"/>
                <w:szCs w:val="7"/>
                <w:color w:val="auto"/>
              </w:rPr>
            </w:pP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6,173,424</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 ]</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5.56%</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HC</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300" w:type="dxa"/>
            <w:vAlign w:val="bottom"/>
            <w:tcBorders>
              <w:bottom w:val="single" w:sz="8" w:color="808080"/>
            </w:tcBorders>
          </w:tcPr>
          <w:p>
            <w:pPr>
              <w:spacing w:after="0"/>
              <w:rPr>
                <w:sz w:val="8"/>
                <w:szCs w:val="8"/>
                <w:color w:val="auto"/>
              </w:rPr>
            </w:pPr>
          </w:p>
        </w:tc>
        <w:tc>
          <w:tcPr>
            <w:tcW w:w="2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4" w:name="page5"/>
    <w:bookmarkEnd w:id="4"/>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892672106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82"/>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1.</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Wellington Management Company LLP</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2.</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7"/>
              </w:rPr>
              <w:t>CHECK THE APPROPRIATE BOX IF A MEMBER OF A GROUP</w:t>
            </w:r>
          </w:p>
        </w:tc>
      </w:tr>
      <w:tr>
        <w:trPr>
          <w:trHeight w:val="447"/>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(a) [ ]</w:t>
            </w:r>
          </w:p>
        </w:tc>
      </w:tr>
      <w:tr>
        <w:trPr>
          <w:trHeight w:val="282"/>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3.</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4.</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Delaware</w:t>
            </w:r>
          </w:p>
        </w:tc>
      </w:tr>
    </w:tbl>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480" w:type="dxa"/>
            <w:vAlign w:val="bottom"/>
          </w:tcPr>
          <w:p>
            <w:pPr>
              <w:spacing w:after="0"/>
              <w:rPr>
                <w:sz w:val="24"/>
                <w:szCs w:val="24"/>
                <w:color w:val="auto"/>
              </w:rPr>
            </w:pPr>
          </w:p>
        </w:tc>
        <w:tc>
          <w:tcPr>
            <w:tcW w:w="634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5. SOLE VOTING POWER</w:t>
            </w:r>
          </w:p>
        </w:tc>
        <w:tc>
          <w:tcPr>
            <w:tcW w:w="27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480" w:type="dxa"/>
            <w:vAlign w:val="bottom"/>
          </w:tcPr>
          <w:p>
            <w:pPr>
              <w:spacing w:after="0"/>
              <w:rPr>
                <w:sz w:val="21"/>
                <w:szCs w:val="21"/>
                <w:color w:val="auto"/>
              </w:rPr>
            </w:pPr>
          </w:p>
        </w:tc>
        <w:tc>
          <w:tcPr>
            <w:tcW w:w="63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6. SHARED VOTING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5,465,454</w:t>
            </w:r>
          </w:p>
        </w:tc>
        <w:tc>
          <w:tcPr>
            <w:tcW w:w="0" w:type="dxa"/>
            <w:vAlign w:val="bottom"/>
          </w:tcPr>
          <w:p>
            <w:pPr>
              <w:spacing w:after="0"/>
              <w:rPr>
                <w:sz w:val="1"/>
                <w:szCs w:val="1"/>
                <w:color w:val="auto"/>
              </w:rPr>
            </w:pPr>
          </w:p>
        </w:tc>
      </w:tr>
      <w:tr>
        <w:trPr>
          <w:trHeight w:val="174"/>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480" w:type="dxa"/>
            <w:vAlign w:val="bottom"/>
          </w:tcPr>
          <w:p>
            <w:pPr>
              <w:spacing w:after="0"/>
              <w:rPr>
                <w:sz w:val="15"/>
                <w:szCs w:val="15"/>
                <w:color w:val="auto"/>
              </w:rPr>
            </w:pPr>
          </w:p>
        </w:tc>
        <w:tc>
          <w:tcPr>
            <w:tcW w:w="6340" w:type="dxa"/>
            <w:vAlign w:val="bottom"/>
            <w:vMerge w:val="continue"/>
          </w:tcPr>
          <w:p>
            <w:pPr>
              <w:spacing w:after="0"/>
              <w:rPr>
                <w:sz w:val="15"/>
                <w:szCs w:val="15"/>
                <w:color w:val="auto"/>
              </w:rPr>
            </w:pPr>
          </w:p>
        </w:tc>
        <w:tc>
          <w:tcPr>
            <w:tcW w:w="2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172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6340" w:type="dxa"/>
            <w:vAlign w:val="bottom"/>
          </w:tcPr>
          <w:p>
            <w:pPr>
              <w:spacing w:after="0"/>
              <w:rPr>
                <w:sz w:val="5"/>
                <w:szCs w:val="5"/>
                <w:color w:val="auto"/>
              </w:rPr>
            </w:pPr>
          </w:p>
        </w:tc>
        <w:tc>
          <w:tcPr>
            <w:tcW w:w="2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20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 EACH</w:t>
            </w:r>
          </w:p>
        </w:tc>
        <w:tc>
          <w:tcPr>
            <w:tcW w:w="63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7. SOLE DISPOSITIVE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47"/>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480" w:type="dxa"/>
            <w:vAlign w:val="bottom"/>
          </w:tcPr>
          <w:p>
            <w:pPr>
              <w:spacing w:after="0"/>
              <w:rPr>
                <w:sz w:val="12"/>
                <w:szCs w:val="12"/>
                <w:color w:val="auto"/>
              </w:rPr>
            </w:pPr>
          </w:p>
        </w:tc>
        <w:tc>
          <w:tcPr>
            <w:tcW w:w="6340" w:type="dxa"/>
            <w:vAlign w:val="bottom"/>
            <w:vMerge w:val="continue"/>
          </w:tcPr>
          <w:p>
            <w:pPr>
              <w:spacing w:after="0"/>
              <w:rPr>
                <w:sz w:val="12"/>
                <w:szCs w:val="12"/>
                <w:color w:val="auto"/>
              </w:rPr>
            </w:pPr>
          </w:p>
        </w:tc>
        <w:tc>
          <w:tcPr>
            <w:tcW w:w="2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1720" w:type="dxa"/>
            <w:vAlign w:val="bottom"/>
            <w:vMerge w:val="continue"/>
          </w:tcPr>
          <w:p>
            <w:pPr>
              <w:spacing w:after="0"/>
              <w:rPr>
                <w:sz w:val="8"/>
                <w:szCs w:val="8"/>
                <w:color w:val="auto"/>
              </w:rPr>
            </w:pPr>
          </w:p>
        </w:tc>
        <w:tc>
          <w:tcPr>
            <w:tcW w:w="480" w:type="dxa"/>
            <w:vAlign w:val="bottom"/>
          </w:tcPr>
          <w:p>
            <w:pPr>
              <w:spacing w:after="0"/>
              <w:rPr>
                <w:sz w:val="8"/>
                <w:szCs w:val="8"/>
                <w:color w:val="auto"/>
              </w:rPr>
            </w:pPr>
          </w:p>
        </w:tc>
        <w:tc>
          <w:tcPr>
            <w:tcW w:w="6340" w:type="dxa"/>
            <w:vAlign w:val="bottom"/>
          </w:tcPr>
          <w:p>
            <w:pPr>
              <w:spacing w:after="0"/>
              <w:rPr>
                <w:sz w:val="8"/>
                <w:szCs w:val="8"/>
                <w:color w:val="auto"/>
              </w:rPr>
            </w:pPr>
          </w:p>
        </w:tc>
        <w:tc>
          <w:tcPr>
            <w:tcW w:w="2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480" w:type="dxa"/>
            <w:vAlign w:val="bottom"/>
          </w:tcPr>
          <w:p>
            <w:pPr>
              <w:spacing w:after="0"/>
              <w:rPr>
                <w:sz w:val="24"/>
                <w:szCs w:val="24"/>
                <w:color w:val="auto"/>
              </w:rPr>
            </w:pPr>
          </w:p>
        </w:tc>
        <w:tc>
          <w:tcPr>
            <w:tcW w:w="63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5,988,072</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340" w:type="dxa"/>
            <w:vAlign w:val="bottom"/>
            <w:vMerge w:val="continue"/>
          </w:tcPr>
          <w:p>
            <w:pPr>
              <w:spacing w:after="0"/>
              <w:rPr>
                <w:sz w:val="7"/>
                <w:szCs w:val="7"/>
                <w:color w:val="auto"/>
              </w:rPr>
            </w:pP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5,988,072</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 ]</w:t>
            </w:r>
          </w:p>
        </w:tc>
        <w:tc>
          <w:tcPr>
            <w:tcW w:w="63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5.39%</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IA</w:t>
            </w:r>
          </w:p>
        </w:tc>
        <w:tc>
          <w:tcPr>
            <w:tcW w:w="63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6340" w:type="dxa"/>
            <w:vAlign w:val="bottom"/>
            <w:tcBorders>
              <w:bottom w:val="single" w:sz="8" w:color="808080"/>
            </w:tcBorders>
          </w:tcPr>
          <w:p>
            <w:pPr>
              <w:spacing w:after="0"/>
              <w:rPr>
                <w:sz w:val="8"/>
                <w:szCs w:val="8"/>
                <w:color w:val="auto"/>
              </w:rPr>
            </w:pPr>
          </w:p>
        </w:tc>
        <w:tc>
          <w:tcPr>
            <w:tcW w:w="2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5" w:name="page6"/>
    <w:bookmarkEnd w:id="5"/>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w:t>
      </w:r>
    </w:p>
    <w:p>
      <w:pPr>
        <w:spacing w:after="0" w:line="125" w:lineRule="exact"/>
        <w:rPr>
          <w:sz w:val="20"/>
          <w:szCs w:val="20"/>
          <w:color w:val="auto"/>
        </w:rPr>
      </w:pPr>
    </w:p>
    <w:p>
      <w:pPr>
        <w:ind w:left="1760" w:right="7280" w:hanging="401"/>
        <w:spacing w:after="0" w:line="286" w:lineRule="auto"/>
        <w:tabs>
          <w:tab w:leader="none" w:pos="1760" w:val="left"/>
        </w:tabs>
        <w:numPr>
          <w:ilvl w:val="0"/>
          <w:numId w:val="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Name of Issuer </w:t>
      </w:r>
      <w:r>
        <w:rPr>
          <w:rFonts w:ascii="Times New Roman" w:cs="Times New Roman" w:eastAsia="Times New Roman" w:hAnsi="Times New Roman"/>
          <w:sz w:val="21"/>
          <w:szCs w:val="21"/>
          <w:color w:val="auto"/>
        </w:rPr>
        <w:t>Tradeweb Markets Inc.</w:t>
      </w:r>
    </w:p>
    <w:p>
      <w:pPr>
        <w:spacing w:after="0" w:line="45" w:lineRule="exact"/>
        <w:rPr>
          <w:rFonts w:ascii="Times New Roman" w:cs="Times New Roman" w:eastAsia="Times New Roman" w:hAnsi="Times New Roman"/>
          <w:sz w:val="21"/>
          <w:szCs w:val="21"/>
          <w:b w:val="1"/>
          <w:bCs w:val="1"/>
          <w:color w:val="auto"/>
        </w:rPr>
      </w:pPr>
    </w:p>
    <w:p>
      <w:pPr>
        <w:ind w:left="1760" w:right="4960" w:hanging="401"/>
        <w:spacing w:after="0" w:line="243" w:lineRule="auto"/>
        <w:tabs>
          <w:tab w:leader="none" w:pos="176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Address of Issuer's Principal Executive Offices </w:t>
      </w:r>
      <w:r>
        <w:rPr>
          <w:rFonts w:ascii="Times New Roman" w:cs="Times New Roman" w:eastAsia="Times New Roman" w:hAnsi="Times New Roman"/>
          <w:sz w:val="22"/>
          <w:szCs w:val="22"/>
          <w:color w:val="auto"/>
        </w:rPr>
        <w:t>1177 Avenue of the Americas</w:t>
      </w:r>
    </w:p>
    <w:p>
      <w:pPr>
        <w:spacing w:after="0" w:line="1" w:lineRule="exact"/>
        <w:rPr>
          <w:rFonts w:ascii="Times New Roman" w:cs="Times New Roman" w:eastAsia="Times New Roman" w:hAnsi="Times New Roman"/>
          <w:sz w:val="22"/>
          <w:szCs w:val="22"/>
          <w:b w:val="1"/>
          <w:bCs w:val="1"/>
          <w:color w:val="auto"/>
        </w:rPr>
      </w:pPr>
    </w:p>
    <w:p>
      <w:pPr>
        <w:ind w:left="17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New York, NY 10036</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w:t>
      </w:r>
    </w:p>
    <w:p>
      <w:pPr>
        <w:spacing w:after="0" w:line="125" w:lineRule="exact"/>
        <w:rPr>
          <w:sz w:val="20"/>
          <w:szCs w:val="20"/>
          <w:color w:val="auto"/>
        </w:rPr>
      </w:pPr>
    </w:p>
    <w:p>
      <w:pPr>
        <w:ind w:left="1760" w:hanging="401"/>
        <w:spacing w:after="0"/>
        <w:tabs>
          <w:tab w:leader="none" w:pos="176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Name of Person Filing</w:t>
      </w:r>
    </w:p>
    <w:p>
      <w:pPr>
        <w:spacing w:after="0" w:line="18" w:lineRule="exact"/>
        <w:rPr>
          <w:rFonts w:ascii="Times New Roman" w:cs="Times New Roman" w:eastAsia="Times New Roman" w:hAnsi="Times New Roman"/>
          <w:sz w:val="22"/>
          <w:szCs w:val="22"/>
          <w:b w:val="1"/>
          <w:bCs w:val="1"/>
          <w:color w:val="auto"/>
        </w:rPr>
      </w:pPr>
    </w:p>
    <w:p>
      <w:pPr>
        <w:ind w:left="1760" w:right="5180"/>
        <w:spacing w:after="0" w:line="234"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Wellington Management Group LLP Wellington Group Holdings LLP Wellington Investment Advisors Holdings LLP Wellington Management Company LLP</w:t>
      </w:r>
    </w:p>
    <w:p>
      <w:pPr>
        <w:spacing w:after="0" w:line="92" w:lineRule="exact"/>
        <w:rPr>
          <w:rFonts w:ascii="Times New Roman" w:cs="Times New Roman" w:eastAsia="Times New Roman" w:hAnsi="Times New Roman"/>
          <w:sz w:val="22"/>
          <w:szCs w:val="22"/>
          <w:b w:val="1"/>
          <w:bCs w:val="1"/>
          <w:color w:val="auto"/>
        </w:rPr>
      </w:pPr>
    </w:p>
    <w:p>
      <w:pPr>
        <w:ind w:left="1760" w:right="3880" w:hanging="401"/>
        <w:spacing w:after="0" w:line="243" w:lineRule="auto"/>
        <w:tabs>
          <w:tab w:leader="none" w:pos="176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Address of Principal Business Office or, if None, Residence </w:t>
      </w:r>
      <w:r>
        <w:rPr>
          <w:rFonts w:ascii="Times New Roman" w:cs="Times New Roman" w:eastAsia="Times New Roman" w:hAnsi="Times New Roman"/>
          <w:sz w:val="22"/>
          <w:szCs w:val="22"/>
          <w:color w:val="auto"/>
        </w:rPr>
        <w:t>c/o Wellington Management Company LLP</w:t>
      </w:r>
    </w:p>
    <w:p>
      <w:pPr>
        <w:spacing w:after="0" w:line="1" w:lineRule="exact"/>
        <w:rPr>
          <w:rFonts w:ascii="Times New Roman" w:cs="Times New Roman" w:eastAsia="Times New Roman" w:hAnsi="Times New Roman"/>
          <w:sz w:val="22"/>
          <w:szCs w:val="22"/>
          <w:b w:val="1"/>
          <w:bCs w:val="1"/>
          <w:color w:val="auto"/>
        </w:rPr>
      </w:pPr>
    </w:p>
    <w:p>
      <w:pPr>
        <w:ind w:left="1760" w:right="7540"/>
        <w:spacing w:after="0" w:line="258"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1"/>
          <w:szCs w:val="21"/>
          <w:color w:val="auto"/>
        </w:rPr>
        <w:t>280 Congress Street Boston, MA 02210</w:t>
      </w:r>
    </w:p>
    <w:p>
      <w:pPr>
        <w:spacing w:after="0" w:line="73" w:lineRule="exact"/>
        <w:rPr>
          <w:rFonts w:ascii="Times New Roman" w:cs="Times New Roman" w:eastAsia="Times New Roman" w:hAnsi="Times New Roman"/>
          <w:sz w:val="22"/>
          <w:szCs w:val="22"/>
          <w:b w:val="1"/>
          <w:bCs w:val="1"/>
          <w:color w:val="auto"/>
        </w:rPr>
      </w:pPr>
    </w:p>
    <w:p>
      <w:pPr>
        <w:ind w:left="1760" w:hanging="401"/>
        <w:spacing w:after="0"/>
        <w:tabs>
          <w:tab w:leader="none" w:pos="176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Citizenship</w:t>
      </w:r>
    </w:p>
    <w:p>
      <w:pPr>
        <w:spacing w:after="0" w:line="18" w:lineRule="exact"/>
        <w:rPr>
          <w:rFonts w:ascii="Times New Roman" w:cs="Times New Roman" w:eastAsia="Times New Roman" w:hAnsi="Times New Roman"/>
          <w:sz w:val="22"/>
          <w:szCs w:val="22"/>
          <w:b w:val="1"/>
          <w:bCs w:val="1"/>
          <w:color w:val="auto"/>
        </w:rPr>
      </w:pPr>
    </w:p>
    <w:p>
      <w:pPr>
        <w:ind w:left="1760" w:right="4180"/>
        <w:spacing w:after="0" w:line="234"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Wellington Management Group LLP - Massachusetts Wellington Group Holdings LLP - Delaware Wellington Investment Advisors Holdings LLP - Delaware Wellington Management Company LLP - Delaware</w:t>
      </w:r>
    </w:p>
    <w:p>
      <w:pPr>
        <w:spacing w:after="0" w:line="92" w:lineRule="exact"/>
        <w:rPr>
          <w:rFonts w:ascii="Times New Roman" w:cs="Times New Roman" w:eastAsia="Times New Roman" w:hAnsi="Times New Roman"/>
          <w:sz w:val="22"/>
          <w:szCs w:val="22"/>
          <w:b w:val="1"/>
          <w:bCs w:val="1"/>
          <w:color w:val="auto"/>
        </w:rPr>
      </w:pPr>
    </w:p>
    <w:p>
      <w:pPr>
        <w:ind w:left="1760" w:right="6880" w:hanging="401"/>
        <w:spacing w:after="0" w:line="262" w:lineRule="auto"/>
        <w:tabs>
          <w:tab w:leader="none" w:pos="176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Title of Class of Securities </w:t>
      </w:r>
      <w:r>
        <w:rPr>
          <w:rFonts w:ascii="Times New Roman" w:cs="Times New Roman" w:eastAsia="Times New Roman" w:hAnsi="Times New Roman"/>
          <w:sz w:val="22"/>
          <w:szCs w:val="22"/>
          <w:color w:val="auto"/>
        </w:rPr>
        <w:t>Common Stock</w:t>
      </w:r>
    </w:p>
    <w:p>
      <w:pPr>
        <w:spacing w:after="0" w:line="68" w:lineRule="exact"/>
        <w:rPr>
          <w:rFonts w:ascii="Times New Roman" w:cs="Times New Roman" w:eastAsia="Times New Roman" w:hAnsi="Times New Roman"/>
          <w:sz w:val="22"/>
          <w:szCs w:val="22"/>
          <w:b w:val="1"/>
          <w:bCs w:val="1"/>
          <w:color w:val="auto"/>
        </w:rPr>
      </w:pPr>
    </w:p>
    <w:p>
      <w:pPr>
        <w:ind w:left="1760" w:right="7800" w:hanging="401"/>
        <w:spacing w:after="0" w:line="286" w:lineRule="auto"/>
        <w:tabs>
          <w:tab w:leader="none" w:pos="176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CUSIP Number </w:t>
      </w:r>
      <w:r>
        <w:rPr>
          <w:rFonts w:ascii="Times New Roman" w:cs="Times New Roman" w:eastAsia="Times New Roman" w:hAnsi="Times New Roman"/>
          <w:sz w:val="21"/>
          <w:szCs w:val="21"/>
          <w:color w:val="auto"/>
        </w:rPr>
        <w:t>892672106</w:t>
      </w:r>
    </w:p>
    <w:p>
      <w:pPr>
        <w:spacing w:after="0" w:line="45" w:lineRule="exact"/>
        <w:rPr>
          <w:sz w:val="20"/>
          <w:szCs w:val="20"/>
          <w:color w:val="auto"/>
        </w:rPr>
      </w:pPr>
    </w:p>
    <w:p>
      <w:pPr>
        <w:ind w:left="1360" w:hanging="1349"/>
        <w:spacing w:after="0" w:line="262" w:lineRule="auto"/>
        <w:tabs>
          <w:tab w:leader="none" w:pos="1340" w:val="left"/>
        </w:tabs>
        <w:rPr>
          <w:sz w:val="20"/>
          <w:szCs w:val="20"/>
          <w:color w:val="auto"/>
        </w:rPr>
      </w:pPr>
      <w:r>
        <w:rPr>
          <w:rFonts w:ascii="Times New Roman" w:cs="Times New Roman" w:eastAsia="Times New Roman" w:hAnsi="Times New Roman"/>
          <w:sz w:val="22"/>
          <w:szCs w:val="22"/>
          <w:b w:val="1"/>
          <w:bCs w:val="1"/>
          <w:color w:val="auto"/>
        </w:rPr>
        <w:t>Item 3.</w:t>
      </w:r>
      <w:r>
        <w:rPr>
          <w:sz w:val="20"/>
          <w:szCs w:val="20"/>
          <w:color w:val="auto"/>
        </w:rPr>
        <w:tab/>
      </w:r>
      <w:r>
        <w:rPr>
          <w:rFonts w:ascii="Times New Roman" w:cs="Times New Roman" w:eastAsia="Times New Roman" w:hAnsi="Times New Roman"/>
          <w:sz w:val="22"/>
          <w:szCs w:val="22"/>
          <w:b w:val="1"/>
          <w:bCs w:val="1"/>
          <w:color w:val="auto"/>
        </w:rPr>
        <w:t>If This Statement is Filed Pursuant to Rule 13d-1(b), or 13d-2(b) or (c), Check Whether the Person Filing is a:</w:t>
      </w:r>
    </w:p>
    <w:p>
      <w:pPr>
        <w:spacing w:after="0" w:line="73" w:lineRule="exact"/>
        <w:rPr>
          <w:sz w:val="20"/>
          <w:szCs w:val="20"/>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Broker or dealer registered under Section 15 of the Act (15 U.S.C. 78o).</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Bank as defined in Section 3(a)(6) of the Act (15 U.S.C. 78c).</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Insurance Company as defined in Section 3(a)(19) of the Act (15 U.S.C. 78c).</w:t>
      </w:r>
    </w:p>
    <w:p>
      <w:pPr>
        <w:spacing w:after="0" w:line="125" w:lineRule="exact"/>
        <w:rPr>
          <w:rFonts w:ascii="Times New Roman" w:cs="Times New Roman" w:eastAsia="Times New Roman" w:hAnsi="Times New Roman"/>
          <w:sz w:val="22"/>
          <w:szCs w:val="22"/>
          <w:color w:val="auto"/>
        </w:rPr>
      </w:pPr>
    </w:p>
    <w:p>
      <w:pPr>
        <w:ind w:left="2220" w:right="120" w:hanging="861"/>
        <w:spacing w:after="0" w:line="258" w:lineRule="auto"/>
        <w:tabs>
          <w:tab w:leader="none" w:pos="1761"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Investment Company registered under Section 8 of the Investment Company Act of 1940 (15 U.S.C. 80a-8).</w:t>
      </w:r>
    </w:p>
    <w:p>
      <w:pPr>
        <w:spacing w:after="0" w:line="77"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[X]  An investment adviser in accordance with Rule 240.13d-1(b)(1)(ii)(E); *</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An employee benefit plan or endowment fund in accordance with Rule 240.13d-1(b)(1)(ii)(F);</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[X]  A parent holding company or control person in accordance with Rule 240.13d-1(b)(1)(ii)(G);</w:t>
      </w:r>
    </w:p>
    <w:p>
      <w:pPr>
        <w:spacing w:after="0" w:line="125" w:lineRule="exact"/>
        <w:rPr>
          <w:rFonts w:ascii="Times New Roman" w:cs="Times New Roman" w:eastAsia="Times New Roman" w:hAnsi="Times New Roman"/>
          <w:sz w:val="22"/>
          <w:szCs w:val="22"/>
          <w:color w:val="auto"/>
        </w:rPr>
      </w:pPr>
    </w:p>
    <w:p>
      <w:pPr>
        <w:ind w:left="2220" w:right="460" w:hanging="861"/>
        <w:spacing w:after="0" w:line="258" w:lineRule="auto"/>
        <w:tabs>
          <w:tab w:leader="none" w:pos="1761"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 savings association as defined in Section 3(b) of the Federal Deposit Insurance Act (12 U.S.C. 1813);</w:t>
      </w:r>
    </w:p>
    <w:p>
      <w:pPr>
        <w:spacing w:after="0" w:line="77" w:lineRule="exact"/>
        <w:rPr>
          <w:rFonts w:ascii="Times New Roman" w:cs="Times New Roman" w:eastAsia="Times New Roman" w:hAnsi="Times New Roman"/>
          <w:sz w:val="22"/>
          <w:szCs w:val="22"/>
          <w:color w:val="auto"/>
        </w:rPr>
      </w:pPr>
    </w:p>
    <w:p>
      <w:pPr>
        <w:ind w:left="2220" w:right="140" w:hanging="861"/>
        <w:spacing w:after="0" w:line="258" w:lineRule="auto"/>
        <w:tabs>
          <w:tab w:leader="none" w:pos="1761"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 church plan that is excluded from the definition of an investment company under Section 3(c)(14) of the Investment Company Act of 1940 (15 U.S.C. 80a-3);</w:t>
      </w:r>
    </w:p>
    <w:p>
      <w:pPr>
        <w:spacing w:after="0" w:line="77"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Group, in accordance with Rule 240.13d-1(b)(1)(ii)(J).</w:t>
      </w:r>
    </w:p>
    <w:p>
      <w:pPr>
        <w:spacing w:after="0" w:line="125" w:lineRule="exact"/>
        <w:rPr>
          <w:rFonts w:ascii="Times New Roman" w:cs="Times New Roman" w:eastAsia="Times New Roman" w:hAnsi="Times New Roman"/>
          <w:sz w:val="22"/>
          <w:szCs w:val="22"/>
          <w:color w:val="auto"/>
        </w:rPr>
      </w:pPr>
    </w:p>
    <w:p>
      <w:pPr>
        <w:ind w:left="1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this statement is filed pursuant to Rule 13d-1(c), check this box [ ]</w:t>
      </w:r>
    </w:p>
    <w:p>
      <w:pPr>
        <w:spacing w:after="0" w:line="1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Wellington Management Group LLP - HC</w:t>
      </w:r>
    </w:p>
    <w:p>
      <w:pPr>
        <w:spacing w:after="0" w:line="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Wellington Group Holdings LLP - HC</w:t>
      </w:r>
    </w:p>
    <w:p>
      <w:pPr>
        <w:ind w:left="1360"/>
        <w:spacing w:after="0" w:line="230" w:lineRule="auto"/>
        <w:rPr>
          <w:sz w:val="20"/>
          <w:szCs w:val="20"/>
          <w:color w:val="auto"/>
        </w:rPr>
      </w:pPr>
      <w:r>
        <w:rPr>
          <w:rFonts w:ascii="Times New Roman" w:cs="Times New Roman" w:eastAsia="Times New Roman" w:hAnsi="Times New Roman"/>
          <w:sz w:val="22"/>
          <w:szCs w:val="22"/>
          <w:color w:val="auto"/>
        </w:rPr>
        <w:t>Wellington Investment Advisors Holdings LLP - HC</w:t>
      </w:r>
    </w:p>
    <w:p>
      <w:pPr>
        <w:spacing w:after="0" w:line="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Wellington Management Company LLP - IA</w:t>
      </w:r>
    </w:p>
    <w:p>
      <w:pPr>
        <w:spacing w:after="0" w:line="97"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22"/>
          <w:szCs w:val="22"/>
          <w:b w:val="1"/>
          <w:bCs w:val="1"/>
          <w:color w:val="auto"/>
        </w:rPr>
        <w:t>Item 4.</w:t>
      </w:r>
      <w:r>
        <w:rPr>
          <w:sz w:val="20"/>
          <w:szCs w:val="20"/>
          <w:color w:val="auto"/>
        </w:rPr>
        <w:tab/>
      </w:r>
      <w:r>
        <w:rPr>
          <w:rFonts w:ascii="Times New Roman" w:cs="Times New Roman" w:eastAsia="Times New Roman" w:hAnsi="Times New Roman"/>
          <w:sz w:val="21"/>
          <w:szCs w:val="21"/>
          <w:b w:val="1"/>
          <w:bCs w:val="1"/>
          <w:color w:val="auto"/>
        </w:rPr>
        <w:t>Ownership.</w:t>
      </w:r>
    </w:p>
    <w:p>
      <w:pPr>
        <w:spacing w:after="0" w:line="129" w:lineRule="exact"/>
        <w:rPr>
          <w:sz w:val="20"/>
          <w:szCs w:val="20"/>
          <w:color w:val="auto"/>
        </w:rPr>
      </w:pPr>
    </w:p>
    <w:p>
      <w:pPr>
        <w:ind w:right="680"/>
        <w:spacing w:after="0" w:line="258" w:lineRule="auto"/>
        <w:rPr>
          <w:sz w:val="20"/>
          <w:szCs w:val="20"/>
          <w:color w:val="auto"/>
        </w:rPr>
      </w:pPr>
      <w:r>
        <w:rPr>
          <w:rFonts w:ascii="Times New Roman" w:cs="Times New Roman" w:eastAsia="Times New Roman" w:hAnsi="Times New Roman"/>
          <w:sz w:val="22"/>
          <w:szCs w:val="22"/>
          <w:color w:val="auto"/>
        </w:rPr>
        <w:t>Provide the following information regarding the aggregate number and percentage of the class of securities of the issuer identified in Item 1.</w:t>
      </w:r>
    </w:p>
    <w:p>
      <w:pPr>
        <w:spacing w:after="0" w:line="77" w:lineRule="exact"/>
        <w:rPr>
          <w:sz w:val="20"/>
          <w:szCs w:val="20"/>
          <w:color w:val="auto"/>
        </w:rPr>
      </w:pPr>
    </w:p>
    <w:p>
      <w:pPr>
        <w:ind w:left="1760" w:hanging="401"/>
        <w:spacing w:after="0"/>
        <w:tabs>
          <w:tab w:leader="none" w:pos="17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125" w:lineRule="exact"/>
        <w:rPr>
          <w:rFonts w:ascii="Times New Roman" w:cs="Times New Roman" w:eastAsia="Times New Roman" w:hAnsi="Times New Roman"/>
          <w:sz w:val="22"/>
          <w:szCs w:val="22"/>
          <w:color w:val="auto"/>
        </w:rPr>
      </w:pPr>
    </w:p>
    <w:p>
      <w:pPr>
        <w:ind w:left="1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the responses to Item 9 on the attached cover pages.</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125" w:lineRule="exact"/>
        <w:rPr>
          <w:rFonts w:ascii="Times New Roman" w:cs="Times New Roman" w:eastAsia="Times New Roman" w:hAnsi="Times New Roman"/>
          <w:sz w:val="22"/>
          <w:szCs w:val="22"/>
          <w:color w:val="auto"/>
        </w:rPr>
      </w:pPr>
    </w:p>
    <w:p>
      <w:pPr>
        <w:ind w:left="1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the responses to Item 11 on the attached cover pages.</w:t>
      </w:r>
    </w:p>
    <w:p>
      <w:pPr>
        <w:sectPr>
          <w:pgSz w:w="11900" w:h="16901" w:orient="portrait"/>
          <w:cols w:equalWidth="0" w:num="1">
            <w:col w:w="11040"/>
          </w:cols>
          <w:pgMar w:left="400" w:top="405" w:right="459" w:bottom="0" w:gutter="0" w:footer="0" w:header="0"/>
        </w:sectPr>
      </w:pPr>
    </w:p>
    <w:bookmarkStart w:id="6" w:name="page7"/>
    <w:bookmarkEnd w:id="6"/>
    <w:p>
      <w:pPr>
        <w:spacing w:after="0" w:line="65" w:lineRule="exact"/>
        <w:rPr>
          <w:sz w:val="20"/>
          <w:szCs w:val="20"/>
          <w:color w:val="auto"/>
        </w:rPr>
      </w:pPr>
    </w:p>
    <w:p>
      <w:pPr>
        <w:ind w:left="1760" w:hanging="401"/>
        <w:spacing w:after="0"/>
        <w:tabs>
          <w:tab w:leader="none" w:pos="176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such person has:</w:t>
      </w:r>
    </w:p>
    <w:p>
      <w:pPr>
        <w:spacing w:after="0" w:line="136" w:lineRule="exact"/>
        <w:rPr>
          <w:rFonts w:ascii="Times New Roman" w:cs="Times New Roman" w:eastAsia="Times New Roman" w:hAnsi="Times New Roman"/>
          <w:sz w:val="21"/>
          <w:szCs w:val="21"/>
          <w:color w:val="auto"/>
        </w:rPr>
      </w:pPr>
    </w:p>
    <w:p>
      <w:pPr>
        <w:ind w:left="2220" w:hanging="456"/>
        <w:spacing w:after="0"/>
        <w:tabs>
          <w:tab w:leader="none" w:pos="2220"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46" w:lineRule="exact"/>
        <w:rPr>
          <w:rFonts w:ascii="Times New Roman" w:cs="Times New Roman" w:eastAsia="Times New Roman" w:hAnsi="Times New Roman"/>
          <w:sz w:val="22"/>
          <w:szCs w:val="22"/>
          <w:color w:val="auto"/>
        </w:rPr>
      </w:pPr>
    </w:p>
    <w:p>
      <w:pPr>
        <w:ind w:left="2220" w:hanging="456"/>
        <w:spacing w:after="0"/>
        <w:tabs>
          <w:tab w:leader="none" w:pos="2220" w:val="left"/>
        </w:tabs>
        <w:numPr>
          <w:ilvl w:val="1"/>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power to vote or to direct the vote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125"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22"/>
          <w:szCs w:val="22"/>
          <w:color w:val="auto"/>
        </w:rPr>
        <w:t>See the responses to Item 6 on the attached cover pages.</w:t>
      </w:r>
    </w:p>
    <w:p>
      <w:pPr>
        <w:spacing w:after="0" w:line="50" w:lineRule="exact"/>
        <w:rPr>
          <w:sz w:val="20"/>
          <w:szCs w:val="20"/>
          <w:color w:val="auto"/>
        </w:rPr>
      </w:pPr>
    </w:p>
    <w:p>
      <w:pPr>
        <w:sectPr>
          <w:pgSz w:w="11900" w:h="16903" w:orient="portrait"/>
          <w:cols w:equalWidth="0" w:num="2">
            <w:col w:w="5900" w:space="720"/>
            <w:col w:w="4320"/>
          </w:cols>
          <w:pgMar w:left="400" w:top="247" w:right="559" w:bottom="0" w:gutter="0" w:footer="0" w:header="0"/>
        </w:sectPr>
      </w:pPr>
    </w:p>
    <w:p>
      <w:pPr>
        <w:ind w:left="2220" w:hanging="456"/>
        <w:spacing w:after="0"/>
        <w:tabs>
          <w:tab w:leader="none" w:pos="2220" w:val="left"/>
        </w:tabs>
        <w:numPr>
          <w:ilvl w:val="0"/>
          <w:numId w:val="7"/>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sole</w:t>
      </w:r>
      <w:r>
        <w:rPr>
          <w:rFonts w:ascii="Times New Roman" w:cs="Times New Roman" w:eastAsia="Times New Roman" w:hAnsi="Times New Roman"/>
          <w:sz w:val="39"/>
          <w:szCs w:val="39"/>
          <w:color w:val="auto"/>
          <w:vertAlign w:val="subscript"/>
        </w:rPr>
        <w:t>of</w:t>
      </w:r>
      <w:r>
        <w:rPr>
          <w:rFonts w:ascii="Times New Roman" w:cs="Times New Roman" w:eastAsia="Times New Roman" w:hAnsi="Times New Roman"/>
          <w:sz w:val="20"/>
          <w:szCs w:val="20"/>
          <w:color w:val="auto"/>
        </w:rPr>
        <w:t xml:space="preserve"> power to dispose or to direct the disposition</w:t>
      </w:r>
    </w:p>
    <w:p>
      <w:pPr>
        <w:spacing w:after="0" w:line="218" w:lineRule="exact"/>
        <w:rPr>
          <w:rFonts w:ascii="Times New Roman" w:cs="Times New Roman" w:eastAsia="Times New Roman" w:hAnsi="Times New Roman"/>
          <w:sz w:val="39"/>
          <w:szCs w:val="39"/>
          <w:color w:val="auto"/>
          <w:vertAlign w:val="subscript"/>
        </w:rPr>
      </w:pPr>
    </w:p>
    <w:p>
      <w:pPr>
        <w:ind w:left="2220" w:right="800" w:hanging="456"/>
        <w:spacing w:after="0" w:line="185" w:lineRule="auto"/>
        <w:tabs>
          <w:tab w:leader="none" w:pos="2220" w:val="left"/>
        </w:tabs>
        <w:numPr>
          <w:ilvl w:val="0"/>
          <w:numId w:val="7"/>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4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2"/>
          <w:szCs w:val="22"/>
          <w:color w:val="auto"/>
        </w:rPr>
        <w:t>See the responses to Item 8 on the attached cover pages.</w:t>
      </w:r>
    </w:p>
    <w:p>
      <w:pPr>
        <w:spacing w:after="0" w:line="73" w:lineRule="exact"/>
        <w:rPr>
          <w:sz w:val="20"/>
          <w:szCs w:val="20"/>
          <w:color w:val="auto"/>
        </w:rPr>
      </w:pPr>
    </w:p>
    <w:p>
      <w:pPr>
        <w:sectPr>
          <w:pgSz w:w="11900" w:h="16903" w:orient="portrait"/>
          <w:cols w:equalWidth="0" w:num="2">
            <w:col w:w="6420" w:space="200"/>
            <w:col w:w="4320"/>
          </w:cols>
          <w:pgMar w:left="400" w:top="247" w:right="559" w:bottom="0" w:gutter="0" w:footer="0" w:header="0"/>
          <w:type w:val="continuous"/>
        </w:sectPr>
      </w:pPr>
    </w:p>
    <w:tbl>
      <w:tblPr>
        <w:tblLayout w:type="fixed"/>
        <w:tblInd w:w="0" w:type="dxa"/>
        <w:tblCellMar>
          <w:top w:w="0" w:type="dxa"/>
          <w:left w:w="0" w:type="dxa"/>
          <w:bottom w:w="0" w:type="dxa"/>
          <w:right w:w="0" w:type="dxa"/>
        </w:tblCellMar>
      </w:tblPr>
      <w:tr>
        <w:trPr>
          <w:trHeight w:val="286"/>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5.</w:t>
            </w: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Ownership of Five Percent or Less of Class.</w:t>
            </w:r>
          </w:p>
        </w:tc>
      </w:tr>
      <w:tr>
        <w:trPr>
          <w:trHeight w:val="339"/>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w w:val="98"/>
              </w:rPr>
              <w:t>If this statement is being filed to report the fact that as of the date hereof the reporting person has ceased to be</w:t>
            </w:r>
          </w:p>
        </w:tc>
      </w:tr>
      <w:tr>
        <w:trPr>
          <w:trHeight w:val="282"/>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the beneficial owner of more than five percent of the class of securities, check the following: [ ]</w:t>
            </w:r>
          </w:p>
        </w:tc>
      </w:tr>
      <w:tr>
        <w:trPr>
          <w:trHeight w:val="378"/>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6.</w:t>
            </w: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Ownership of More than Five Percent on Behalf of Another Person.</w:t>
            </w:r>
          </w:p>
        </w:tc>
      </w:tr>
      <w:tr>
        <w:trPr>
          <w:trHeight w:val="339"/>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The securities as to which this Schedule is filed are owned of record by clients of one or more investment</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Times New Roman" w:cs="Times New Roman" w:eastAsia="Times New Roman" w:hAnsi="Times New Roman"/>
                <w:sz w:val="22"/>
                <w:szCs w:val="22"/>
                <w:color w:val="auto"/>
              </w:rPr>
              <w:t>advisers identified in Exhibit A directly or indirectly owned by Wellington Management Group LLP. Those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Times New Roman" w:cs="Times New Roman" w:eastAsia="Times New Roman" w:hAnsi="Times New Roman"/>
                <w:sz w:val="22"/>
                <w:szCs w:val="22"/>
                <w:color w:val="auto"/>
                <w:w w:val="98"/>
              </w:rPr>
              <w:t>clients have the right to receive, or the power to direct the receipt of, dividends from, or the proceeds from the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Times New Roman" w:cs="Times New Roman" w:eastAsia="Times New Roman" w:hAnsi="Times New Roman"/>
                <w:sz w:val="22"/>
                <w:szCs w:val="22"/>
                <w:color w:val="auto"/>
              </w:rPr>
              <w:t>sale of, such securities. No such client is known to have such right or power with respect to more than five</w:t>
            </w:r>
          </w:p>
        </w:tc>
      </w:tr>
      <w:tr>
        <w:trPr>
          <w:trHeight w:val="282"/>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percent of this class of securities, except as follows:</w:t>
            </w:r>
          </w:p>
        </w:tc>
      </w:tr>
      <w:tr>
        <w:trPr>
          <w:trHeight w:val="486"/>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Not Applicable.</w:t>
            </w:r>
          </w:p>
        </w:tc>
      </w:tr>
      <w:tr>
        <w:trPr>
          <w:trHeight w:val="335"/>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7.</w:t>
            </w: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w w:val="99"/>
              </w:rPr>
              <w:t>Identification and Classification of the Subsidiary Which Acquired the Security Being Reported on by</w:t>
            </w:r>
          </w:p>
        </w:tc>
      </w:tr>
      <w:tr>
        <w:trPr>
          <w:trHeight w:val="286"/>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the Parent Holding Company.</w:t>
            </w:r>
          </w:p>
        </w:tc>
      </w:tr>
      <w:tr>
        <w:trPr>
          <w:trHeight w:val="621"/>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See attached Exhibit A.</w:t>
            </w:r>
          </w:p>
        </w:tc>
      </w:tr>
      <w:tr>
        <w:trPr>
          <w:trHeight w:val="378"/>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8.</w:t>
            </w: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Identification and Classification of Members of the Group.</w:t>
            </w:r>
          </w:p>
        </w:tc>
      </w:tr>
      <w:tr>
        <w:trPr>
          <w:trHeight w:val="486"/>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Not Applicable.</w:t>
            </w:r>
          </w:p>
        </w:tc>
      </w:tr>
      <w:tr>
        <w:trPr>
          <w:trHeight w:val="378"/>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9.</w:t>
            </w: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Notice of Dissolution of Group.</w:t>
            </w:r>
          </w:p>
        </w:tc>
      </w:tr>
      <w:tr>
        <w:trPr>
          <w:trHeight w:val="486"/>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Not Applicable.</w:t>
            </w:r>
          </w:p>
        </w:tc>
      </w:tr>
      <w:tr>
        <w:trPr>
          <w:trHeight w:val="378"/>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10.</w:t>
            </w: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Certification.</w:t>
            </w:r>
          </w:p>
        </w:tc>
      </w:tr>
      <w:tr>
        <w:trPr>
          <w:trHeight w:val="447"/>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Times New Roman" w:cs="Times New Roman" w:eastAsia="Times New Roman" w:hAnsi="Times New Roman"/>
                <w:sz w:val="22"/>
                <w:szCs w:val="22"/>
                <w:color w:val="auto"/>
                <w:w w:val="97"/>
              </w:rPr>
              <w:t>acquired and are held in the ordinary course of business and were not acquired and are not held for the purpose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Times New Roman" w:cs="Times New Roman" w:eastAsia="Times New Roman" w:hAnsi="Times New Roman"/>
                <w:sz w:val="22"/>
                <w:szCs w:val="22"/>
                <w:color w:val="auto"/>
                <w:w w:val="98"/>
              </w:rPr>
              <w:t>of or with the effect of changing or influencing the control of the issuer of the securities and were not acquired</w:t>
            </w:r>
          </w:p>
        </w:tc>
      </w:tr>
      <w:tr>
        <w:trPr>
          <w:trHeight w:val="282"/>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and are not held in connection with or as a participant in any transaction having that purpose or effect.</w:t>
            </w:r>
          </w:p>
        </w:tc>
      </w:tr>
      <w:tr>
        <w:trPr>
          <w:trHeight w:val="608"/>
        </w:trPr>
        <w:tc>
          <w:tcPr>
            <w:tcW w:w="9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6100" w:type="dxa"/>
            <w:vAlign w:val="bottom"/>
            <w:gridSpan w:val="2"/>
          </w:tcPr>
          <w:p>
            <w:pPr>
              <w:ind w:left="80"/>
              <w:spacing w:after="0"/>
              <w:rPr>
                <w:sz w:val="20"/>
                <w:szCs w:val="20"/>
                <w:color w:val="auto"/>
              </w:rPr>
            </w:pPr>
            <w:r>
              <w:rPr>
                <w:rFonts w:ascii="Times New Roman" w:cs="Times New Roman" w:eastAsia="Times New Roman" w:hAnsi="Times New Roman"/>
                <w:sz w:val="22"/>
                <w:szCs w:val="22"/>
                <w:b w:val="1"/>
                <w:bCs w:val="1"/>
                <w:color w:val="auto"/>
              </w:rPr>
              <w:t>SIGNATURE</w:t>
            </w:r>
          </w:p>
        </w:tc>
      </w:tr>
      <w:tr>
        <w:trPr>
          <w:trHeight w:val="541"/>
        </w:trPr>
        <w:tc>
          <w:tcPr>
            <w:tcW w:w="940" w:type="dxa"/>
            <w:vAlign w:val="bottom"/>
          </w:tcPr>
          <w:p>
            <w:pPr>
              <w:spacing w:after="0"/>
              <w:rPr>
                <w:sz w:val="24"/>
                <w:szCs w:val="24"/>
                <w:color w:val="auto"/>
              </w:rPr>
            </w:pPr>
          </w:p>
        </w:tc>
        <w:tc>
          <w:tcPr>
            <w:tcW w:w="1000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w:t>
            </w:r>
          </w:p>
        </w:tc>
      </w:tr>
      <w:tr>
        <w:trPr>
          <w:trHeight w:val="282"/>
        </w:trPr>
        <w:tc>
          <w:tcPr>
            <w:tcW w:w="940" w:type="dxa"/>
            <w:vAlign w:val="bottom"/>
          </w:tcPr>
          <w:p>
            <w:pPr>
              <w:spacing w:after="0"/>
              <w:rPr>
                <w:sz w:val="24"/>
                <w:szCs w:val="24"/>
                <w:color w:val="auto"/>
              </w:rPr>
            </w:pPr>
          </w:p>
        </w:tc>
        <w:tc>
          <w:tcPr>
            <w:tcW w:w="1000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forth in this statement is true, complete and correct.</w:t>
            </w:r>
          </w:p>
        </w:tc>
      </w:tr>
      <w:tr>
        <w:trPr>
          <w:trHeight w:val="56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By: Wellington Management Group LLP</w:t>
            </w:r>
          </w:p>
        </w:tc>
      </w:tr>
      <w:tr>
        <w:trPr>
          <w:trHeight w:val="244"/>
        </w:trPr>
        <w:tc>
          <w:tcPr>
            <w:tcW w:w="940" w:type="dxa"/>
            <w:vAlign w:val="bottom"/>
          </w:tcPr>
          <w:p>
            <w:pPr>
              <w:spacing w:after="0"/>
              <w:rPr>
                <w:sz w:val="21"/>
                <w:szCs w:val="21"/>
                <w:color w:val="auto"/>
              </w:rPr>
            </w:pPr>
          </w:p>
        </w:tc>
        <w:tc>
          <w:tcPr>
            <w:tcW w:w="10000" w:type="dxa"/>
            <w:vAlign w:val="bottom"/>
            <w:gridSpan w:val="3"/>
          </w:tcPr>
          <w:p>
            <w:pPr>
              <w:ind w:left="3540"/>
              <w:spacing w:after="0" w:line="244" w:lineRule="exact"/>
              <w:rPr>
                <w:sz w:val="20"/>
                <w:szCs w:val="20"/>
                <w:color w:val="auto"/>
              </w:rPr>
            </w:pPr>
            <w:r>
              <w:rPr>
                <w:rFonts w:ascii="Times New Roman" w:cs="Times New Roman" w:eastAsia="Times New Roman" w:hAnsi="Times New Roman"/>
                <w:sz w:val="22"/>
                <w:szCs w:val="22"/>
                <w:color w:val="auto"/>
              </w:rPr>
              <w:t>By: /s/ Taisia Lowe</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780" w:type="dxa"/>
            <w:vAlign w:val="bottom"/>
            <w:tcBorders>
              <w:left w:val="single" w:sz="8" w:color="auto"/>
            </w:tcBorders>
          </w:tcPr>
          <w:p>
            <w:pPr>
              <w:spacing w:after="0" w:line="20" w:lineRule="exact"/>
              <w:rPr>
                <w:sz w:val="1"/>
                <w:szCs w:val="1"/>
                <w:color w:val="auto"/>
              </w:rPr>
            </w:pPr>
          </w:p>
        </w:tc>
      </w:tr>
      <w:tr>
        <w:trPr>
          <w:trHeight w:val="330"/>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Name: Taisia Lowe</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Title: Regulatory Analyst</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Date: February 14, 2023</w:t>
            </w:r>
          </w:p>
        </w:tc>
      </w:tr>
      <w:tr>
        <w:trPr>
          <w:trHeight w:val="594"/>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By: Wellington Group Holdings LLP</w:t>
            </w:r>
          </w:p>
        </w:tc>
      </w:tr>
      <w:tr>
        <w:trPr>
          <w:trHeight w:val="244"/>
        </w:trPr>
        <w:tc>
          <w:tcPr>
            <w:tcW w:w="940" w:type="dxa"/>
            <w:vAlign w:val="bottom"/>
          </w:tcPr>
          <w:p>
            <w:pPr>
              <w:spacing w:after="0"/>
              <w:rPr>
                <w:sz w:val="21"/>
                <w:szCs w:val="21"/>
                <w:color w:val="auto"/>
              </w:rPr>
            </w:pPr>
          </w:p>
        </w:tc>
        <w:tc>
          <w:tcPr>
            <w:tcW w:w="10000" w:type="dxa"/>
            <w:vAlign w:val="bottom"/>
            <w:gridSpan w:val="3"/>
          </w:tcPr>
          <w:p>
            <w:pPr>
              <w:ind w:left="3540"/>
              <w:spacing w:after="0" w:line="244" w:lineRule="exact"/>
              <w:rPr>
                <w:sz w:val="20"/>
                <w:szCs w:val="20"/>
                <w:color w:val="auto"/>
              </w:rPr>
            </w:pPr>
            <w:r>
              <w:rPr>
                <w:rFonts w:ascii="Times New Roman" w:cs="Times New Roman" w:eastAsia="Times New Roman" w:hAnsi="Times New Roman"/>
                <w:sz w:val="22"/>
                <w:szCs w:val="22"/>
                <w:color w:val="auto"/>
              </w:rPr>
              <w:t>By: /s/ Taisia Lowe</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r>
        <w:trPr>
          <w:trHeight w:val="329"/>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Name: Taisia Lowe</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Title: Regulatory Analyst</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Date: February 14, 2023</w:t>
            </w:r>
          </w:p>
        </w:tc>
      </w:tr>
      <w:tr>
        <w:trPr>
          <w:trHeight w:val="594"/>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By: Wellington Investment Advisors Holdings LLP</w:t>
            </w:r>
          </w:p>
        </w:tc>
      </w:tr>
      <w:tr>
        <w:trPr>
          <w:trHeight w:val="244"/>
        </w:trPr>
        <w:tc>
          <w:tcPr>
            <w:tcW w:w="940" w:type="dxa"/>
            <w:vAlign w:val="bottom"/>
          </w:tcPr>
          <w:p>
            <w:pPr>
              <w:spacing w:after="0"/>
              <w:rPr>
                <w:sz w:val="21"/>
                <w:szCs w:val="21"/>
                <w:color w:val="auto"/>
              </w:rPr>
            </w:pPr>
          </w:p>
        </w:tc>
        <w:tc>
          <w:tcPr>
            <w:tcW w:w="10000" w:type="dxa"/>
            <w:vAlign w:val="bottom"/>
            <w:gridSpan w:val="3"/>
          </w:tcPr>
          <w:p>
            <w:pPr>
              <w:ind w:left="3540"/>
              <w:spacing w:after="0" w:line="244" w:lineRule="exact"/>
              <w:rPr>
                <w:sz w:val="20"/>
                <w:szCs w:val="20"/>
                <w:color w:val="auto"/>
              </w:rPr>
            </w:pPr>
            <w:r>
              <w:rPr>
                <w:rFonts w:ascii="Times New Roman" w:cs="Times New Roman" w:eastAsia="Times New Roman" w:hAnsi="Times New Roman"/>
                <w:sz w:val="22"/>
                <w:szCs w:val="22"/>
                <w:color w:val="auto"/>
              </w:rPr>
              <w:t>By: /s/ Taisia Lowe</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r>
        <w:trPr>
          <w:trHeight w:val="329"/>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Name: Taisia Lowe</w:t>
            </w:r>
          </w:p>
        </w:tc>
      </w:tr>
    </w:tbl>
    <w:p>
      <w:pPr>
        <w:sectPr>
          <w:pgSz w:w="11900" w:h="16903" w:orient="portrait"/>
          <w:cols w:equalWidth="0" w:num="1">
            <w:col w:w="10940"/>
          </w:cols>
          <w:pgMar w:left="400" w:top="247" w:right="559" w:bottom="0" w:gutter="0" w:footer="0" w:header="0"/>
          <w:type w:val="continuous"/>
        </w:sectPr>
      </w:pPr>
    </w:p>
    <w:bookmarkStart w:id="7" w:name="page8"/>
    <w:bookmarkEnd w:id="7"/>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February 14, 2023</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Management Company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February 14,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360680</wp:posOffset>
            </wp:positionV>
            <wp:extent cx="5730240"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318" w:lineRule="exact"/>
        <w:rPr>
          <w:sz w:val="20"/>
          <w:szCs w:val="20"/>
          <w:color w:val="auto"/>
        </w:rPr>
      </w:pPr>
    </w:p>
    <w:p>
      <w:pPr>
        <w:ind w:left="60" w:right="219"/>
        <w:spacing w:after="0" w:line="244" w:lineRule="auto"/>
        <w:rPr>
          <w:sz w:val="20"/>
          <w:szCs w:val="20"/>
          <w:color w:val="auto"/>
        </w:rPr>
      </w:pPr>
      <w:r>
        <w:rPr>
          <w:rFonts w:ascii="Times New Roman" w:cs="Times New Roman" w:eastAsia="Times New Roman" w:hAnsi="Times New Roman"/>
          <w:sz w:val="22"/>
          <w:szCs w:val="22"/>
          <w:color w:val="auto"/>
        </w:rPr>
        <w:t>Pursuant to the instructions in Item 7 of Schedule 13G, the following lists the identity and Item 3 classification of each relevant entity that beneficially owns shares of the security class being reported on this Schedule 13G.</w:t>
      </w:r>
    </w:p>
    <w:p>
      <w:pPr>
        <w:spacing w:after="0" w:line="254" w:lineRule="exact"/>
        <w:rPr>
          <w:sz w:val="20"/>
          <w:szCs w:val="20"/>
          <w:color w:val="auto"/>
        </w:rPr>
      </w:pPr>
    </w:p>
    <w:p>
      <w:pPr>
        <w:ind w:left="60" w:right="4399"/>
        <w:spacing w:after="0" w:line="295" w:lineRule="auto"/>
        <w:rPr>
          <w:sz w:val="20"/>
          <w:szCs w:val="20"/>
          <w:color w:val="auto"/>
        </w:rPr>
      </w:pPr>
      <w:r>
        <w:rPr>
          <w:rFonts w:ascii="Times New Roman" w:cs="Times New Roman" w:eastAsia="Times New Roman" w:hAnsi="Times New Roman"/>
          <w:sz w:val="22"/>
          <w:szCs w:val="22"/>
          <w:color w:val="auto"/>
        </w:rPr>
        <w:t>Wellington Group Holdings LLP – HC Wellington Investment Advisors LLP – HC Wellington Management Global Holdings, Ltd. - HC</w:t>
      </w:r>
    </w:p>
    <w:p>
      <w:pPr>
        <w:spacing w:after="0" w:line="2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One or more of the following investment advisers (the “Wellington Investment Advisers”):</w:t>
      </w:r>
    </w:p>
    <w:p>
      <w:pPr>
        <w:spacing w:after="0" w:line="2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Company LLP – IA</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Canada LLC – IA</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Singapore Pte Ltd – IA</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Hong Kong Ltd – IA</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International Ltd – IA</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Japan Pte Ltd – IA</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Australia Pty Ltd - IA</w:t>
      </w:r>
    </w:p>
    <w:p>
      <w:pPr>
        <w:spacing w:after="0" w:line="287" w:lineRule="exact"/>
        <w:rPr>
          <w:sz w:val="20"/>
          <w:szCs w:val="20"/>
          <w:color w:val="auto"/>
        </w:rPr>
      </w:pPr>
    </w:p>
    <w:p>
      <w:pPr>
        <w:ind w:left="60" w:right="119"/>
        <w:spacing w:after="0" w:line="235" w:lineRule="auto"/>
        <w:rPr>
          <w:sz w:val="20"/>
          <w:szCs w:val="20"/>
          <w:color w:val="auto"/>
        </w:rPr>
      </w:pPr>
      <w:r>
        <w:rPr>
          <w:rFonts w:ascii="Times New Roman" w:cs="Times New Roman" w:eastAsia="Times New Roman" w:hAnsi="Times New Roman"/>
          <w:sz w:val="22"/>
          <w:szCs w:val="22"/>
          <w:color w:val="auto"/>
        </w:rPr>
        <w:t>The securities as to which this Schedule is filed by Wellington Management Group LLP, as parent holding company of certain holding companies and the Wellington Investment Advisers, are owned of record by clients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157480</wp:posOffset>
            </wp:positionV>
            <wp:extent cx="5730240"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EXHIBIT B</w:t>
      </w: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JOINT FILING AGREEMENT</w:t>
      </w:r>
    </w:p>
    <w:p>
      <w:pPr>
        <w:spacing w:after="0" w:line="318" w:lineRule="exact"/>
        <w:rPr>
          <w:sz w:val="20"/>
          <w:szCs w:val="20"/>
          <w:color w:val="auto"/>
        </w:rPr>
      </w:pPr>
    </w:p>
    <w:p>
      <w:pPr>
        <w:ind w:left="60" w:right="199"/>
        <w:spacing w:after="0" w:line="233" w:lineRule="auto"/>
        <w:rPr>
          <w:sz w:val="20"/>
          <w:szCs w:val="20"/>
          <w:color w:val="auto"/>
        </w:rPr>
      </w:pPr>
      <w:r>
        <w:rPr>
          <w:rFonts w:ascii="Times New Roman" w:cs="Times New Roman" w:eastAsia="Times New Roman" w:hAnsi="Times New Roman"/>
          <w:sz w:val="22"/>
          <w:szCs w:val="22"/>
          <w:color w:val="auto"/>
        </w:rPr>
        <w:t>The undersigned hereby agree that this Schedule 13G (the “Schedule 13G”) with respect to the common stock of Tradeweb Markets Inc. is, and any additional amendment thereto signed by each of the undersigned shall be, filed on behalf of each undersigned pursuant to and in accordance with the provisions of 13d-1(k) under the Securities Exchange Act of 1934, as amended, and that all subsequent amendments to the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 It is understood and agreed that the joint filing of the Schedule 13G shall not be construed as an admission that the persons named herein constitute a group for purposes of Regulation 13D-G of the Securities Exchange Act of 1934, nor is a joint venture for purposes of the Investment Company Act of 1940.</w:t>
      </w:r>
    </w:p>
    <w:p>
      <w:pPr>
        <w:spacing w:after="0" w:line="200" w:lineRule="exact"/>
        <w:rPr>
          <w:sz w:val="20"/>
          <w:szCs w:val="20"/>
          <w:color w:val="auto"/>
        </w:rPr>
      </w:pPr>
    </w:p>
    <w:p>
      <w:pPr>
        <w:spacing w:after="0" w:line="333"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Management Group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ectPr>
          <w:pgSz w:w="11900" w:h="16838" w:orient="portrait"/>
          <w:cols w:equalWidth="0" w:num="1">
            <w:col w:w="9019"/>
          </w:cols>
          <w:pgMar w:left="1440" w:top="139" w:right="1440" w:bottom="0" w:gutter="0" w:footer="0" w:header="0"/>
        </w:sectPr>
      </w:pPr>
    </w:p>
    <w:bookmarkStart w:id="8" w:name="page9"/>
    <w:bookmarkEnd w:id="8"/>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5"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February 14, 2023</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Group Holdings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February 14, 2023</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1"/>
          <w:szCs w:val="21"/>
          <w:color w:val="auto"/>
        </w:rPr>
        <w:t>By: Wellington Investment Advisors Holdings LLP</w:t>
      </w:r>
    </w:p>
    <w:p>
      <w:pPr>
        <w:spacing w:after="0" w:line="56"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February 14, 2023</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Management Company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February 14, 2023</w:t>
      </w:r>
    </w:p>
    <w:sectPr>
      <w:pgSz w:w="11900" w:h="16838" w:orient="portrait"/>
      <w:cols w:equalWidth="0" w:num="1">
        <w:col w:w="9019"/>
      </w:cols>
      <w:pgMar w:left="1440" w:top="11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lvl w:ilvl="1">
      <w:lvlJc w:val="left"/>
      <w:lvlText w:val="[%2]"/>
      <w:numFmt w:val="upperLetter"/>
      <w:start w:val="24"/>
    </w:lvl>
  </w:abstractNum>
  <w:abstractNum w:abstractNumId="1">
    <w:nsid w:val="238E1F29"/>
    <w:multiLevelType w:val="hybridMultilevel"/>
    <w:lvl w:ilvl="0">
      <w:lvlJc w:val="left"/>
      <w:lvlText w:val="(%1)"/>
      <w:numFmt w:val="lowerLetter"/>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3"/>
    </w:lvl>
    <w:lvl w:ilvl="1">
      <w:lvlJc w:val="left"/>
      <w:lvlText w:val="(%2)"/>
      <w:numFmt w:val="lowerRoman"/>
      <w:start w:val="1"/>
    </w:lvl>
  </w:abstractNum>
  <w:abstractNum w:abstractNumId="6">
    <w:nsid w:val="41B71EFB"/>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2023-02-06T14:07:56Z</dcterms:created>
  <dcterms:modified xsi:type="dcterms:W3CDTF">2023-02-06T14:07:56Z</dcterms:modified>
</cp:coreProperties>
</file>