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4942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4220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78"/>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80" w:type="dxa"/>
            <w:vAlign w:val="bottom"/>
            <w:gridSpan w:val="7"/>
          </w:tcPr>
          <w:p>
            <w:pPr>
              <w:jc w:val="center"/>
              <w:ind w:right="117"/>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02/21/2020</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2"/>
              </w:rPr>
              <w:t>39,604</w:t>
            </w:r>
            <w:r>
              <w:rPr>
                <w:rFonts w:ascii="Arial" w:cs="Arial" w:eastAsia="Arial" w:hAnsi="Arial"/>
                <w:sz w:val="22"/>
                <w:szCs w:val="22"/>
                <w:color w:val="008000"/>
                <w:w w:val="82"/>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75,717</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vMerge w:val="restart"/>
          </w:tcPr>
          <w:p>
            <w:pPr>
              <w:ind w:left="140"/>
              <w:spacing w:after="0" w:line="212" w:lineRule="exact"/>
              <w:rPr>
                <w:sz w:val="20"/>
                <w:szCs w:val="20"/>
                <w:color w:val="auto"/>
              </w:rPr>
            </w:pPr>
            <w:r>
              <w:rPr>
                <w:rFonts w:ascii="Arial" w:cs="Arial" w:eastAsia="Arial" w:hAnsi="Arial"/>
                <w:sz w:val="13"/>
                <w:szCs w:val="13"/>
                <w:color w:val="0000FF"/>
              </w:rPr>
              <w:t>45,290</w:t>
            </w:r>
            <w:r>
              <w:rPr>
                <w:rFonts w:ascii="Arial" w:cs="Arial" w:eastAsia="Arial" w:hAnsi="Arial"/>
                <w:sz w:val="22"/>
                <w:szCs w:val="22"/>
                <w:color w:val="008000"/>
                <w:vertAlign w:val="superscript"/>
              </w:rPr>
              <w:t>(3)</w:t>
            </w:r>
          </w:p>
        </w:tc>
        <w:tc>
          <w:tcPr>
            <w:tcW w:w="300" w:type="dxa"/>
            <w:vAlign w:val="bottom"/>
          </w:tcPr>
          <w:p>
            <w:pPr>
              <w:spacing w:after="0"/>
              <w:rPr>
                <w:sz w:val="5"/>
                <w:szCs w:val="5"/>
                <w:color w:val="auto"/>
              </w:rPr>
            </w:pPr>
          </w:p>
        </w:tc>
        <w:tc>
          <w:tcPr>
            <w:tcW w:w="82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45,290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restart"/>
          </w:tcPr>
          <w:p>
            <w:pPr>
              <w:ind w:left="140"/>
              <w:spacing w:after="0" w:line="212" w:lineRule="exact"/>
              <w:rPr>
                <w:sz w:val="20"/>
                <w:szCs w:val="20"/>
                <w:color w:val="auto"/>
              </w:rPr>
            </w:pPr>
            <w:r>
              <w:rPr>
                <w:rFonts w:ascii="Arial" w:cs="Arial" w:eastAsia="Arial" w:hAnsi="Arial"/>
                <w:sz w:val="13"/>
                <w:szCs w:val="13"/>
                <w:color w:val="0000FF"/>
              </w:rPr>
              <w:t>271,738</w:t>
            </w:r>
            <w:r>
              <w:rPr>
                <w:rFonts w:ascii="Arial" w:cs="Arial" w:eastAsia="Arial" w:hAnsi="Arial"/>
                <w:sz w:val="22"/>
                <w:szCs w:val="22"/>
                <w:color w:val="008000"/>
                <w:vertAlign w:val="superscript"/>
              </w:rPr>
              <w:t>(5)</w:t>
            </w: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6"/>
                <w:szCs w:val="6"/>
                <w:color w:val="auto"/>
              </w:rPr>
            </w:pPr>
          </w:p>
        </w:tc>
        <w:tc>
          <w:tcPr>
            <w:tcW w:w="108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02/21/2020</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6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10/26/2028</w:t>
            </w:r>
          </w:p>
        </w:tc>
        <w:tc>
          <w:tcPr>
            <w:tcW w:w="62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6"/>
                <w:szCs w:val="6"/>
                <w:color w:val="auto"/>
              </w:rPr>
            </w:pPr>
          </w:p>
        </w:tc>
        <w:tc>
          <w:tcPr>
            <w:tcW w:w="68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6"/>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February 13, 2019, subject to the achievement of certain performance goals in respect of calendar year 2019. Those performance goals were deemed achieved at the maximum performance level on February 21, 2020. These RSUs remain unvested and are scheduled to vest on January 1, 2022, subject to the reporting person's continued employment through such date.</w:t>
      </w:r>
    </w:p>
    <w:p>
      <w:pPr>
        <w:spacing w:after="0" w:line="7" w:lineRule="exact"/>
        <w:rPr>
          <w:rFonts w:ascii="Arial" w:cs="Arial" w:eastAsia="Arial" w:hAnsi="Arial"/>
          <w:sz w:val="12"/>
          <w:szCs w:val="12"/>
          <w:color w:val="008000"/>
        </w:rPr>
      </w:pPr>
    </w:p>
    <w:p>
      <w:pPr>
        <w:ind w:left="40" w:right="20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RSUs in respect of Class A Common Stock which are scheduled to vest on January 1, 2021, subject to the reporting person's continued employment through such date, and (ii) 39,604 unvested RSUs in respect of Class A Common Stock which are scheduled to vest on January 1, 2022, subject to the reporting person's continued employment through such date.</w:t>
      </w:r>
    </w:p>
    <w:p>
      <w:pPr>
        <w:ind w:left="40" w:right="4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2019 which were deemed achieved on February 21, 2020.</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0" w:lineRule="exact"/>
        <w:rPr>
          <w:rFonts w:ascii="Arial" w:cs="Arial" w:eastAsia="Arial" w:hAnsi="Arial"/>
          <w:sz w:val="13"/>
          <w:szCs w:val="13"/>
          <w:color w:val="008000"/>
        </w:rPr>
      </w:pPr>
    </w:p>
    <w:p>
      <w:pPr>
        <w:ind w:left="40" w:right="2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reflects the options reported on this Form 4 in addition to 226,448 options that were granted on October 26, 2018 and previously reported by the reporting person, all of which are currently vested and exercisable.</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Scott Zucker, Attorney-in-</w:t>
            </w:r>
          </w:p>
        </w:tc>
        <w:tc>
          <w:tcPr>
            <w:tcW w:w="2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02/25/2020</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 for Simon Maisey</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2020-02-25T17:46:48Z</dcterms:created>
  <dcterms:modified xsi:type="dcterms:W3CDTF">2020-02-25T17:46:48Z</dcterms:modified>
</cp:coreProperties>
</file>