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474980</wp:posOffset>
            </wp:positionH>
            <wp:positionV relativeFrom="page">
              <wp:posOffset>157480</wp:posOffset>
            </wp:positionV>
            <wp:extent cx="66122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page">
              <wp:posOffset>474980</wp:posOffset>
            </wp:positionH>
            <wp:positionV relativeFrom="page">
              <wp:posOffset>200660</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t>UNITED STATES</w:t>
      </w:r>
    </w:p>
    <w:p>
      <w:pPr>
        <w:spacing w:after="0" w:line="39"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210820</wp:posOffset>
            </wp:positionV>
            <wp:extent cx="16554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233680</wp:posOffset>
            </wp:positionV>
            <wp:extent cx="16554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87"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November 7,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226060</wp:posOffset>
            </wp:positionV>
            <wp:extent cx="16554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32"/>
          <w:szCs w:val="32"/>
          <w:b w:val="1"/>
          <w:bCs w:val="1"/>
          <w:color w:val="auto"/>
        </w:rPr>
        <w:t>Tradeweb Markets Inc.</w:t>
      </w:r>
    </w:p>
    <w:p>
      <w:pPr>
        <w:spacing w:after="0" w:line="46"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210820</wp:posOffset>
            </wp:positionV>
            <wp:extent cx="165544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ectPr>
          <w:pgSz w:w="11900" w:h="16838" w:orient="portrait"/>
          <w:cols w:equalWidth="0" w:num="1">
            <w:col w:w="10409"/>
          </w:cols>
          <w:pgMar w:left="751" w:top="430" w:right="7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ind w:left="1369"/>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769"/>
        <w:spacing w:after="0"/>
        <w:rPr>
          <w:sz w:val="20"/>
          <w:szCs w:val="20"/>
          <w:color w:val="auto"/>
        </w:rPr>
      </w:pPr>
      <w:r>
        <w:rPr>
          <w:rFonts w:ascii="Times New Roman" w:cs="Times New Roman" w:eastAsia="Times New Roman" w:hAnsi="Times New Roman"/>
          <w:sz w:val="17"/>
          <w:szCs w:val="17"/>
          <w:color w:val="auto"/>
        </w:rPr>
        <w:t>(State or Other Jurisdiction</w:t>
      </w:r>
    </w:p>
    <w:p>
      <w:pPr>
        <w:spacing w:after="0" w:line="21" w:lineRule="exact"/>
        <w:rPr>
          <w:sz w:val="24"/>
          <w:szCs w:val="24"/>
          <w:color w:val="auto"/>
        </w:rPr>
      </w:pPr>
    </w:p>
    <w:p>
      <w:pPr>
        <w:ind w:left="1129"/>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18"/>
          <w:szCs w:val="18"/>
          <w:b w:val="1"/>
          <w:bCs w:val="1"/>
          <w:color w:val="auto"/>
        </w:rPr>
        <w:t>001-38860</w:t>
      </w:r>
    </w:p>
    <w:p>
      <w:pPr>
        <w:spacing w:after="0" w:line="3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83-2456358</w:t>
      </w:r>
    </w:p>
    <w:p>
      <w:pPr>
        <w:spacing w:after="0" w:line="31"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009" w:space="720"/>
            <w:col w:w="2560" w:space="720"/>
            <w:col w:w="2400"/>
          </w:cols>
          <w:pgMar w:left="751" w:top="430" w:right="739" w:bottom="1440" w:gutter="0" w:footer="0" w:header="0"/>
          <w:type w:val="continuous"/>
        </w:sectPr>
      </w:pPr>
    </w:p>
    <w:p>
      <w:pPr>
        <w:spacing w:after="0" w:line="16" w:lineRule="exact"/>
        <w:rPr>
          <w:sz w:val="24"/>
          <w:szCs w:val="24"/>
          <w:color w:val="auto"/>
        </w:rPr>
      </w:pPr>
    </w:p>
    <w:p>
      <w:pPr>
        <w:jc w:val="center"/>
        <w:ind w:right="1491"/>
        <w:spacing w:after="0"/>
        <w:rPr>
          <w:sz w:val="20"/>
          <w:szCs w:val="20"/>
          <w:color w:val="auto"/>
        </w:rPr>
      </w:pPr>
      <w:r>
        <w:rPr>
          <w:rFonts w:ascii="Times New Roman" w:cs="Times New Roman" w:eastAsia="Times New Roman" w:hAnsi="Times New Roman"/>
          <w:sz w:val="18"/>
          <w:szCs w:val="18"/>
          <w:b w:val="1"/>
          <w:bCs w:val="1"/>
          <w:color w:val="auto"/>
        </w:rPr>
        <w:t>1177 Avenue of the Americas</w:t>
      </w:r>
    </w:p>
    <w:p>
      <w:pPr>
        <w:spacing w:after="0" w:line="31" w:lineRule="exact"/>
        <w:rPr>
          <w:sz w:val="24"/>
          <w:szCs w:val="24"/>
          <w:color w:val="auto"/>
        </w:rPr>
      </w:pPr>
    </w:p>
    <w:p>
      <w:pPr>
        <w:jc w:val="center"/>
        <w:ind w:right="1491"/>
        <w:spacing w:after="0"/>
        <w:rPr>
          <w:sz w:val="20"/>
          <w:szCs w:val="20"/>
          <w:color w:val="auto"/>
        </w:rPr>
      </w:pPr>
      <w:r>
        <w:rPr>
          <w:rFonts w:ascii="Times New Roman" w:cs="Times New Roman" w:eastAsia="Times New Roman" w:hAnsi="Times New Roman"/>
          <w:sz w:val="18"/>
          <w:szCs w:val="18"/>
          <w:b w:val="1"/>
          <w:bCs w:val="1"/>
          <w:color w:val="auto"/>
        </w:rPr>
        <w:t>New York, New York</w:t>
      </w:r>
    </w:p>
    <w:p>
      <w:pPr>
        <w:spacing w:after="0" w:line="9" w:lineRule="exact"/>
        <w:rPr>
          <w:sz w:val="24"/>
          <w:szCs w:val="24"/>
          <w:color w:val="auto"/>
        </w:rPr>
      </w:pPr>
    </w:p>
    <w:p>
      <w:pPr>
        <w:jc w:val="center"/>
        <w:ind w:right="1491"/>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8"/>
          <w:szCs w:val="18"/>
          <w:b w:val="1"/>
          <w:bCs w:val="1"/>
          <w:color w:val="auto"/>
        </w:rPr>
        <w:t>10036</w:t>
      </w:r>
    </w:p>
    <w:p>
      <w:pPr>
        <w:spacing w:after="0" w:line="31"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6689" w:space="720"/>
            <w:col w:w="3000"/>
          </w:cols>
          <w:pgMar w:left="751" w:top="430" w:right="739" w:bottom="1440" w:gutter="0" w:footer="0" w:header="0"/>
          <w:type w:val="continuous"/>
        </w:sectPr>
      </w:pPr>
    </w:p>
    <w:p>
      <w:pPr>
        <w:spacing w:after="0" w:line="3"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(646) 430-6000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182880</wp:posOffset>
            </wp:positionV>
            <wp:extent cx="16554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9" w:right="1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89" w:hanging="389"/>
        <w:spacing w:after="0"/>
        <w:tabs>
          <w:tab w:leader="none" w:pos="38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89" w:hanging="389"/>
        <w:spacing w:after="0"/>
        <w:tabs>
          <w:tab w:leader="none" w:pos="38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89" w:hanging="389"/>
        <w:spacing w:after="0"/>
        <w:tabs>
          <w:tab w:leader="none" w:pos="38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9" w:right="1980" w:hanging="9"/>
        <w:spacing w:after="0" w:line="505" w:lineRule="auto"/>
        <w:tabs>
          <w:tab w:leader="none" w:pos="39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9" w:type="dxa"/>
        <w:tblCellMar>
          <w:top w:w="0" w:type="dxa"/>
          <w:left w:w="0" w:type="dxa"/>
          <w:bottom w:w="0" w:type="dxa"/>
          <w:right w:w="0" w:type="dxa"/>
        </w:tblCellMar>
      </w:tblPr>
      <w:tr>
        <w:trPr>
          <w:trHeight w:val="149"/>
        </w:trPr>
        <w:tc>
          <w:tcPr>
            <w:tcW w:w="41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9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 on which</w:t>
            </w:r>
          </w:p>
        </w:tc>
        <w:tc>
          <w:tcPr>
            <w:tcW w:w="0" w:type="dxa"/>
            <w:vAlign w:val="bottom"/>
          </w:tcPr>
          <w:p>
            <w:pPr>
              <w:spacing w:after="0"/>
              <w:rPr>
                <w:sz w:val="1"/>
                <w:szCs w:val="1"/>
                <w:color w:val="auto"/>
              </w:rPr>
            </w:pPr>
          </w:p>
        </w:tc>
      </w:tr>
      <w:tr>
        <w:trPr>
          <w:trHeight w:val="173"/>
        </w:trPr>
        <w:tc>
          <w:tcPr>
            <w:tcW w:w="4100" w:type="dxa"/>
            <w:vAlign w:val="bottom"/>
            <w:gridSpan w:val="2"/>
            <w:vMerge w:val="continue"/>
          </w:tcPr>
          <w:p>
            <w:pPr>
              <w:spacing w:after="0"/>
              <w:rPr>
                <w:sz w:val="15"/>
                <w:szCs w:val="15"/>
                <w:color w:val="auto"/>
              </w:rPr>
            </w:pPr>
          </w:p>
        </w:tc>
        <w:tc>
          <w:tcPr>
            <w:tcW w:w="2960" w:type="dxa"/>
            <w:vAlign w:val="bottom"/>
            <w:gridSpan w:val="2"/>
            <w:vMerge w:val="continue"/>
          </w:tcPr>
          <w:p>
            <w:pPr>
              <w:spacing w:after="0"/>
              <w:rPr>
                <w:sz w:val="15"/>
                <w:szCs w:val="15"/>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0" w:type="dxa"/>
            <w:vAlign w:val="bottom"/>
          </w:tcPr>
          <w:p>
            <w:pPr>
              <w:spacing w:after="0"/>
              <w:rPr>
                <w:sz w:val="1"/>
                <w:szCs w:val="1"/>
                <w:color w:val="auto"/>
              </w:rPr>
            </w:pPr>
          </w:p>
        </w:tc>
      </w:tr>
      <w:tr>
        <w:trPr>
          <w:trHeight w:val="228"/>
        </w:trPr>
        <w:tc>
          <w:tcPr>
            <w:tcW w:w="3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$0.00001</w:t>
            </w:r>
          </w:p>
        </w:tc>
        <w:tc>
          <w:tcPr>
            <w:tcW w:w="200" w:type="dxa"/>
            <w:vAlign w:val="bottom"/>
          </w:tcPr>
          <w:p>
            <w:pPr>
              <w:spacing w:after="0"/>
              <w:rPr>
                <w:sz w:val="19"/>
                <w:szCs w:val="19"/>
                <w:color w:val="auto"/>
              </w:rPr>
            </w:pPr>
          </w:p>
        </w:tc>
        <w:tc>
          <w:tcPr>
            <w:tcW w:w="2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TW</w:t>
            </w:r>
          </w:p>
        </w:tc>
        <w:tc>
          <w:tcPr>
            <w:tcW w:w="200" w:type="dxa"/>
            <w:vAlign w:val="bottom"/>
          </w:tcPr>
          <w:p>
            <w:pPr>
              <w:spacing w:after="0"/>
              <w:rPr>
                <w:sz w:val="19"/>
                <w:szCs w:val="19"/>
                <w:color w:val="auto"/>
              </w:rPr>
            </w:pPr>
          </w:p>
        </w:tc>
        <w:tc>
          <w:tcPr>
            <w:tcW w:w="3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9" w:right="1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8229"/>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5" w:lineRule="exact"/>
        <w:rPr>
          <w:sz w:val="24"/>
          <w:szCs w:val="24"/>
          <w:color w:val="auto"/>
        </w:rPr>
      </w:pPr>
    </w:p>
    <w:p>
      <w:pPr>
        <w:ind w:left="9" w:right="3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142240</wp:posOffset>
            </wp:positionV>
            <wp:extent cx="661225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665480</wp:posOffset>
            </wp:positionV>
            <wp:extent cx="661225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430" w:right="7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On November 7, 2019, Tradeweb Markets Inc. (the “Company”) issued a press release, a copy of which is furnished as Exhibit 99.1 hereto and incorporated herein by reference, announcing financial results for the quarter ended September 30, 2019.</w:t>
      </w:r>
    </w:p>
    <w:p>
      <w:pPr>
        <w:spacing w:after="0" w:line="176"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 this Item 2.02 of this Current Report on Form 8-K, including Exhibit 99.1 attached hereto, shall not be deemed “filed” for the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a filing.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7"/>
          <w:szCs w:val="17"/>
          <w:color w:val="auto"/>
        </w:rPr>
        <w:t>Exhibits: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80" w:type="dxa"/>
            <w:vAlign w:val="bottom"/>
          </w:tcPr>
          <w:p>
            <w:pPr>
              <w:spacing w:after="0"/>
              <w:rPr>
                <w:sz w:val="13"/>
                <w:szCs w:val="13"/>
                <w:color w:val="auto"/>
              </w:rPr>
            </w:pPr>
          </w:p>
        </w:tc>
        <w:tc>
          <w:tcPr>
            <w:tcW w:w="7860" w:type="dxa"/>
            <w:vAlign w:val="bottom"/>
            <w:gridSpan w:val="2"/>
            <w:vMerge w:val="restart"/>
          </w:tcPr>
          <w:p>
            <w:pPr>
              <w:ind w:left="33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73"/>
        </w:trPr>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80" w:type="dxa"/>
            <w:vAlign w:val="bottom"/>
          </w:tcPr>
          <w:p>
            <w:pPr>
              <w:spacing w:after="0"/>
              <w:rPr>
                <w:sz w:val="15"/>
                <w:szCs w:val="15"/>
                <w:color w:val="auto"/>
              </w:rPr>
            </w:pPr>
          </w:p>
        </w:tc>
        <w:tc>
          <w:tcPr>
            <w:tcW w:w="786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8140" w:type="dxa"/>
            <w:vAlign w:val="bottom"/>
            <w:gridSpan w:val="3"/>
          </w:tcPr>
          <w:p>
            <w:pPr>
              <w:ind w:left="280"/>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Press Release of Tradeweb Markets Inc., dated November 7, 2019.</w:t>
              </w:r>
            </w:hyperlink>
          </w:p>
        </w:tc>
        <w:tc>
          <w:tcPr>
            <w:tcW w:w="0" w:type="dxa"/>
            <w:vAlign w:val="bottom"/>
          </w:tcPr>
          <w:p>
            <w:pPr>
              <w:spacing w:after="0"/>
              <w:rPr>
                <w:sz w:val="1"/>
                <w:szCs w:val="1"/>
                <w:color w:val="auto"/>
              </w:rPr>
            </w:pPr>
          </w:p>
        </w:tc>
      </w:tr>
      <w:tr>
        <w:trPr>
          <w:trHeight w:val="885"/>
        </w:trPr>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0" w:type="dxa"/>
            <w:vAlign w:val="bottom"/>
            <w:tcBorders>
              <w:top w:val="single" w:sz="8" w:color="0000EE"/>
            </w:tcBorders>
          </w:tcPr>
          <w:p>
            <w:pPr>
              <w:jc w:val="right"/>
              <w:ind w:right="1339"/>
              <w:spacing w:after="0"/>
              <w:rPr>
                <w:sz w:val="20"/>
                <w:szCs w:val="20"/>
                <w:color w:val="auto"/>
              </w:rPr>
            </w:pPr>
            <w:r>
              <w:rPr>
                <w:rFonts w:ascii="Times New Roman" w:cs="Times New Roman" w:eastAsia="Times New Roman" w:hAnsi="Times New Roman"/>
                <w:sz w:val="18"/>
                <w:szCs w:val="18"/>
                <w:color w:val="auto"/>
              </w:rPr>
              <w:t>2</w:t>
            </w:r>
          </w:p>
        </w:tc>
        <w:tc>
          <w:tcPr>
            <w:tcW w:w="3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9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7" w:right="14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594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TRADEWEB MARKETS INC.</w:t>
            </w:r>
          </w:p>
        </w:tc>
      </w:tr>
      <w:tr>
        <w:trPr>
          <w:trHeight w:val="648"/>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2019</w:t>
            </w:r>
          </w:p>
        </w:tc>
        <w:tc>
          <w:tcPr>
            <w:tcW w:w="594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By: /s/ Douglas Friedman</w:t>
            </w:r>
          </w:p>
        </w:tc>
      </w:tr>
      <w:tr>
        <w:trPr>
          <w:trHeight w:val="191"/>
        </w:trPr>
        <w:tc>
          <w:tcPr>
            <w:tcW w:w="3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42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Douglas Friedman</w:t>
            </w:r>
          </w:p>
        </w:tc>
      </w:tr>
      <w:tr>
        <w:trPr>
          <w:trHeight w:val="234"/>
        </w:trPr>
        <w:tc>
          <w:tcPr>
            <w:tcW w:w="3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Title: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7" w:right="14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5654675</wp:posOffset>
            </wp:positionH>
            <wp:positionV relativeFrom="page">
              <wp:posOffset>88900</wp:posOffset>
            </wp:positionV>
            <wp:extent cx="1003300"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003300" cy="308610"/>
                    </a:xfrm>
                    <a:prstGeom prst="rect">
                      <a:avLst/>
                    </a:prstGeom>
                    <a:noFill/>
                  </pic:spPr>
                </pic:pic>
              </a:graphicData>
            </a:graphic>
          </wp:anchor>
        </w:drawing>
        <w:t xml:space="preserve">NEWS </w:t>
      </w:r>
      <w:r>
        <w:rPr>
          <w:rFonts w:ascii="Arial" w:cs="Arial" w:eastAsia="Arial" w:hAnsi="Arial"/>
          <w:sz w:val="22"/>
          <w:szCs w:val="22"/>
          <w:b w:val="1"/>
          <w:bCs w:val="1"/>
          <w:color w:val="auto"/>
        </w:rPr>
        <w:t>RELEASE</w:t>
      </w:r>
    </w:p>
    <w:p>
      <w:pPr>
        <w:spacing w:after="0" w:line="192" w:lineRule="exact"/>
        <w:rPr>
          <w:sz w:val="20"/>
          <w:szCs w:val="20"/>
          <w:color w:val="auto"/>
        </w:rPr>
      </w:pPr>
    </w:p>
    <w:p>
      <w:pPr>
        <w:ind w:left="1020"/>
        <w:spacing w:after="0"/>
        <w:rPr>
          <w:sz w:val="20"/>
          <w:szCs w:val="20"/>
          <w:color w:val="auto"/>
        </w:rPr>
      </w:pPr>
      <w:r>
        <w:rPr>
          <w:rFonts w:ascii="Arial" w:cs="Arial" w:eastAsia="Arial" w:hAnsi="Arial"/>
          <w:sz w:val="22"/>
          <w:szCs w:val="22"/>
          <w:b w:val="1"/>
          <w:bCs w:val="1"/>
          <w:color w:val="auto"/>
        </w:rPr>
        <w:t>TRADEWEB REPORTS THIRD QUARTER 2019 FINANCIAL RESULTS</w:t>
      </w:r>
    </w:p>
    <w:p>
      <w:pPr>
        <w:spacing w:after="0" w:line="206" w:lineRule="exact"/>
        <w:rPr>
          <w:sz w:val="20"/>
          <w:szCs w:val="20"/>
          <w:color w:val="auto"/>
        </w:rPr>
      </w:pPr>
    </w:p>
    <w:p>
      <w:pPr>
        <w:ind w:left="1040"/>
        <w:spacing w:after="0"/>
        <w:rPr>
          <w:sz w:val="20"/>
          <w:szCs w:val="20"/>
          <w:color w:val="auto"/>
        </w:rPr>
      </w:pPr>
      <w:r>
        <w:rPr>
          <w:rFonts w:ascii="Arial" w:cs="Arial" w:eastAsia="Arial" w:hAnsi="Arial"/>
          <w:sz w:val="18"/>
          <w:szCs w:val="18"/>
          <w:b w:val="1"/>
          <w:bCs w:val="1"/>
          <w:i w:val="1"/>
          <w:iCs w:val="1"/>
          <w:color w:val="auto"/>
        </w:rPr>
        <w:t>A new quarterly record for average daily volume of $815.0 billion increased 53.3%</w:t>
      </w:r>
    </w:p>
    <w:p>
      <w:pPr>
        <w:spacing w:after="0" w:line="198" w:lineRule="exact"/>
        <w:rPr>
          <w:sz w:val="20"/>
          <w:szCs w:val="20"/>
          <w:color w:val="auto"/>
        </w:rPr>
      </w:pPr>
    </w:p>
    <w:p>
      <w:pPr>
        <w:ind w:left="1940"/>
        <w:spacing w:after="0"/>
        <w:rPr>
          <w:sz w:val="20"/>
          <w:szCs w:val="20"/>
          <w:color w:val="auto"/>
        </w:rPr>
      </w:pPr>
      <w:r>
        <w:rPr>
          <w:rFonts w:ascii="Arial" w:cs="Arial" w:eastAsia="Arial" w:hAnsi="Arial"/>
          <w:sz w:val="18"/>
          <w:szCs w:val="18"/>
          <w:b w:val="1"/>
          <w:bCs w:val="1"/>
          <w:i w:val="1"/>
          <w:iCs w:val="1"/>
          <w:color w:val="auto"/>
        </w:rPr>
        <w:t>Record quarterly revenues of $201.0 million increased 21.6%</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(23.4% on a constant currency basis)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Net income of $48.6 million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Adjusted EBITDA margin of 46.5%</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Declared quarterly cash dividend of $0.08 per share</w:t>
      </w:r>
    </w:p>
    <w:p>
      <w:pPr>
        <w:spacing w:after="0" w:line="198"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NEW YORK – November 7, 2019 – Tradeweb Markets Inc. (Nasdaq: TW), a leading, global operator of electronic marketplaces for rates, credit, equities and money markets, today reported financial results for the quarter ended September 30, 2019. The financial results announced today are consistent with the preliminary financial results for the three and nine months ended September 30, 2019, announced on October 15, 2019.</w:t>
      </w:r>
    </w:p>
    <w:p>
      <w:pPr>
        <w:spacing w:after="0" w:line="157"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Lee Olesky, Chief Executive Officer of Tradeweb Markets, said, “Tradeweb generated record revenue in the third quarter and double-digit growth in revenue year over year. The diversity of our revenue growth is a testament to our ability to drive electronic trading by collaborating with clients and leveraging our network to deliver innovative new offerings across both cornerstone and newer products. We remain focused on capitalizing on a number of long-term secular trends and organically enhancing customer workflows to continue aggressively pursuing growth while working to increase margins.”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Highlights</w:t>
      </w:r>
    </w:p>
    <w:p>
      <w:pPr>
        <w:spacing w:after="0" w:line="20" w:lineRule="exact"/>
        <w:rPr>
          <w:sz w:val="20"/>
          <w:szCs w:val="20"/>
          <w:color w:val="auto"/>
        </w:rPr>
      </w:pPr>
    </w:p>
    <w:p>
      <w:pPr>
        <w:ind w:left="660" w:right="420" w:hanging="333"/>
        <w:spacing w:after="0" w:line="234" w:lineRule="auto"/>
        <w:tabs>
          <w:tab w:leader="none" w:pos="6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A new quarterly record for average daily volume (“ADV”) of $815.0 billion represented an increase of 53.3% year over year</w:t>
      </w:r>
    </w:p>
    <w:p>
      <w:pPr>
        <w:ind w:left="660" w:hanging="333"/>
        <w:spacing w:after="0"/>
        <w:tabs>
          <w:tab w:leader="none" w:pos="6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During the quarter, a total of 13 trading days with greater than $1 trillion in notional volume</w:t>
      </w:r>
    </w:p>
    <w:p>
      <w:pPr>
        <w:spacing w:after="0" w:line="8" w:lineRule="exact"/>
        <w:rPr>
          <w:rFonts w:ascii="Times New Roman" w:cs="Times New Roman" w:eastAsia="Times New Roman" w:hAnsi="Times New Roman"/>
          <w:sz w:val="18"/>
          <w:szCs w:val="18"/>
          <w:color w:val="auto"/>
        </w:rPr>
      </w:pPr>
    </w:p>
    <w:p>
      <w:pPr>
        <w:ind w:left="660" w:right="160" w:hanging="333"/>
        <w:spacing w:after="0" w:line="234" w:lineRule="auto"/>
        <w:tabs>
          <w:tab w:leader="none" w:pos="6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New quarterly records for ADV in rates and credit derivatives, European government bonds, mortgages, European ETFs and Chinese bonds</w:t>
      </w:r>
    </w:p>
    <w:p>
      <w:pPr>
        <w:ind w:left="660" w:right="540" w:hanging="333"/>
        <w:spacing w:after="0" w:line="234" w:lineRule="auto"/>
        <w:tabs>
          <w:tab w:leader="none" w:pos="6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New quarterly records for U.S. high-grade and high-yield credit of 12.5% and 4.1% market share of TRACE volume, respectively, during the quarter</w:t>
      </w:r>
    </w:p>
    <w:p>
      <w:pPr>
        <w:ind w:left="660" w:right="180" w:hanging="333"/>
        <w:spacing w:after="0" w:line="234" w:lineRule="auto"/>
        <w:tabs>
          <w:tab w:leader="none" w:pos="6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Net income of $48.6 million, including net income attributable to Tradeweb Markets Inc. of $29.6 million, and GAAP earnings per diluted share (“Diluted EPS”) of $0.20 for the quarter</w:t>
      </w:r>
    </w:p>
    <w:p>
      <w:pPr>
        <w:ind w:left="660" w:hanging="333"/>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Adjusted EBITDA margin of 46.5%, Adjusted EBIT margin of 41.3%, Adjusted Net Income of $61.6 million and Adjusted Net Income per diluted share (“Adjusted Diluted EPS”) of $0.27 for the quarter</w:t>
      </w:r>
    </w:p>
    <w:p>
      <w:pPr>
        <w:spacing w:after="0" w:line="154"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Gross revenue increased 21.6% (23.4% on a constant currency basis) to a record $201.0 million for the third quarter of 2019 from $165.3 million for the third quarter of 2018. Net income increased to $48.6 million for the third quarter of 2019 from $46.0 million for the third quarter of 2018. Net income for the third quarter of 2019 was impacted by net depreciation and amortization expense of $18.3 million as a result of the Refinitiv Transaction and the resulting revaluation of our balance sheet. Diluted EPS for Tradeweb Markets Inc. was $0.20 for the third quarter of 2019. Diluted EPS for Tradeweb Markets LLC was $0.21 for the third quarter of 2018.</w:t>
      </w:r>
    </w:p>
    <w:p>
      <w:pPr>
        <w:spacing w:after="0" w:line="161"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color w:val="auto"/>
        </w:rPr>
        <w:t>Adjusted EBITDA increased 40.3% to $93.4 million with an Adjusted EBITDA margin of 46.5% for the third quarter of 2019 compared to Adjusted EBITDA of $ 66.6 million and an Adjusted EBITDA margin of 40.3% for the third quarter of 2018 (on a constant currency basis, Adjusted EBITDA margin increased 672 basis points compared to the third quarter of 2018). Adjusted EBIT increased 46.5% to $ 83.1 milion with an Adjusted EBIT margin of 41.3% for the third quarter of 2019 compared to Adjusted EBIT of $56.7 million and an Adjusted</w:t>
      </w:r>
    </w:p>
    <w:p>
      <w:pPr>
        <w:spacing w:after="0" w:line="1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478155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792" w:right="1419" w:bottom="1440" w:gutter="0" w:footer="0" w:header="0"/>
        </w:sectPr>
      </w:pPr>
    </w:p>
    <w:bookmarkStart w:id="4" w:name="page5"/>
    <w:bookmarkEnd w:id="4"/>
    <w:p>
      <w:pPr>
        <w:ind w:right="300"/>
        <w:spacing w:after="0" w:line="24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5654675</wp:posOffset>
            </wp:positionH>
            <wp:positionV relativeFrom="page">
              <wp:posOffset>88900</wp:posOffset>
            </wp:positionV>
            <wp:extent cx="1003300"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003300" cy="308610"/>
                    </a:xfrm>
                    <a:prstGeom prst="rect">
                      <a:avLst/>
                    </a:prstGeom>
                    <a:noFill/>
                  </pic:spPr>
                </pic:pic>
              </a:graphicData>
            </a:graphic>
          </wp:anchor>
        </w:drawing>
        <w:t>EBIT margin of 34.3% for the third quarter of 2018 (on a constant currency basis, Adjusted EBIT margin increased 770 basis points compared to the third quarter of 2018). Adjusted Net Income increased 45.9% to $61.6 million for the third quarter of 2019 from $42.3 million for the third quarter of 2018. Adjusted Diluted EPS was $0.27 for the third quarter of 2019 compared to $0.19 for the third quarter of 2018</w:t>
      </w:r>
      <w:r>
        <w:rPr>
          <w:rFonts w:ascii="Times New Roman" w:cs="Times New Roman" w:eastAsia="Times New Roman" w:hAnsi="Times New Roman"/>
          <w:sz w:val="18"/>
          <w:szCs w:val="18"/>
          <w:color w:val="auto"/>
        </w:rPr>
        <w: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Select Financial Results</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Constant</w:t>
            </w:r>
          </w:p>
        </w:tc>
        <w:tc>
          <w:tcPr>
            <w:tcW w:w="0" w:type="dxa"/>
            <w:vAlign w:val="bottom"/>
          </w:tcPr>
          <w:p>
            <w:pPr>
              <w:spacing w:after="0"/>
              <w:rPr>
                <w:sz w:val="1"/>
                <w:szCs w:val="1"/>
                <w:color w:val="auto"/>
              </w:rPr>
            </w:pPr>
          </w:p>
        </w:tc>
      </w:tr>
      <w:tr>
        <w:trPr>
          <w:trHeight w:val="151"/>
        </w:trPr>
        <w:tc>
          <w:tcPr>
            <w:tcW w:w="5360" w:type="dxa"/>
            <w:vAlign w:val="bottom"/>
            <w:gridSpan w:val="2"/>
            <w:vMerge w:val="continue"/>
          </w:tcPr>
          <w:p>
            <w:pPr>
              <w:spacing w:after="0"/>
              <w:rPr>
                <w:sz w:val="13"/>
                <w:szCs w:val="13"/>
                <w:color w:val="auto"/>
              </w:rPr>
            </w:pPr>
          </w:p>
        </w:tc>
        <w:tc>
          <w:tcPr>
            <w:tcW w:w="880" w:type="dxa"/>
            <w:vAlign w:val="bottom"/>
            <w:tcBorders>
              <w:right w:val="single" w:sz="8" w:color="auto"/>
            </w:tcBorders>
            <w:gridSpan w:val="3"/>
          </w:tcPr>
          <w:p>
            <w:pPr>
              <w:jc w:val="center"/>
              <w:ind w:right="120"/>
              <w:spacing w:after="0" w:line="151" w:lineRule="exact"/>
              <w:rPr>
                <w:sz w:val="20"/>
                <w:szCs w:val="20"/>
                <w:color w:val="auto"/>
              </w:rPr>
            </w:pPr>
            <w:r>
              <w:rPr>
                <w:rFonts w:ascii="Times New Roman" w:cs="Times New Roman" w:eastAsia="Times New Roman" w:hAnsi="Times New Roman"/>
                <w:sz w:val="14"/>
                <w:szCs w:val="14"/>
                <w:b w:val="1"/>
                <w:bCs w:val="1"/>
                <w:color w:val="auto"/>
              </w:rPr>
              <w:t>Successor</w:t>
            </w:r>
          </w:p>
        </w:tc>
        <w:tc>
          <w:tcPr>
            <w:tcW w:w="60" w:type="dxa"/>
            <w:vAlign w:val="bottom"/>
          </w:tcPr>
          <w:p>
            <w:pPr>
              <w:spacing w:after="0"/>
              <w:rPr>
                <w:sz w:val="13"/>
                <w:szCs w:val="13"/>
                <w:color w:val="auto"/>
              </w:rPr>
            </w:pPr>
          </w:p>
        </w:tc>
        <w:tc>
          <w:tcPr>
            <w:tcW w:w="920" w:type="dxa"/>
            <w:vAlign w:val="bottom"/>
            <w:gridSpan w:val="3"/>
          </w:tcPr>
          <w:p>
            <w:pPr>
              <w:ind w:left="20"/>
              <w:spacing w:after="0" w:line="151" w:lineRule="exact"/>
              <w:rPr>
                <w:sz w:val="20"/>
                <w:szCs w:val="20"/>
                <w:color w:val="auto"/>
              </w:rPr>
            </w:pPr>
            <w:r>
              <w:rPr>
                <w:rFonts w:ascii="Times New Roman" w:cs="Times New Roman" w:eastAsia="Times New Roman" w:hAnsi="Times New Roman"/>
                <w:sz w:val="14"/>
                <w:szCs w:val="14"/>
                <w:b w:val="1"/>
                <w:bCs w:val="1"/>
                <w:color w:val="auto"/>
              </w:rPr>
              <w:t>Predecessor</w:t>
            </w: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2"/>
          </w:tcPr>
          <w:p>
            <w:pPr>
              <w:jc w:val="right"/>
              <w:ind w:right="190"/>
              <w:spacing w:after="0" w:line="151"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0" w:type="dxa"/>
            <w:vAlign w:val="bottom"/>
          </w:tcPr>
          <w:p>
            <w:pPr>
              <w:spacing w:after="0"/>
              <w:rPr>
                <w:sz w:val="1"/>
                <w:szCs w:val="1"/>
                <w:color w:val="auto"/>
              </w:rPr>
            </w:pPr>
          </w:p>
        </w:tc>
      </w:tr>
      <w:tr>
        <w:trPr>
          <w:trHeight w:val="238"/>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in millions except per share amounts)</w:t>
            </w:r>
          </w:p>
        </w:tc>
        <w:tc>
          <w:tcPr>
            <w:tcW w:w="160" w:type="dxa"/>
            <w:vAlign w:val="bottom"/>
          </w:tcPr>
          <w:p>
            <w:pPr>
              <w:spacing w:after="0"/>
              <w:rPr>
                <w:sz w:val="20"/>
                <w:szCs w:val="20"/>
                <w:color w:val="auto"/>
              </w:rPr>
            </w:pPr>
          </w:p>
        </w:tc>
        <w:tc>
          <w:tcPr>
            <w:tcW w:w="72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3Q19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3Q18</w:t>
            </w:r>
          </w:p>
        </w:tc>
        <w:tc>
          <w:tcPr>
            <w:tcW w:w="1840" w:type="dxa"/>
            <w:vAlign w:val="bottom"/>
            <w:gridSpan w:val="4"/>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w w:val="98"/>
              </w:rPr>
              <w:t xml:space="preserve">% ChangeGrowth </w:t>
            </w:r>
            <w:r>
              <w:rPr>
                <w:rFonts w:ascii="Times New Roman" w:cs="Times New Roman" w:eastAsia="Times New Roman" w:hAnsi="Times New Roman"/>
                <w:sz w:val="14"/>
                <w:szCs w:val="14"/>
                <w:b w:val="1"/>
                <w:bCs w:val="1"/>
                <w:color w:val="auto"/>
                <w:w w:val="98"/>
                <w:vertAlign w:val="superscript"/>
              </w:rPr>
              <w:t>(</w:t>
            </w:r>
            <w:r>
              <w:rPr>
                <w:rFonts w:ascii="Times New Roman" w:cs="Times New Roman" w:eastAsia="Times New Roman" w:hAnsi="Times New Roman"/>
                <w:sz w:val="14"/>
                <w:szCs w:val="14"/>
                <w:color w:val="auto"/>
                <w:w w:val="98"/>
                <w:vertAlign w:val="superscript"/>
              </w:rPr>
              <w:t>1)</w:t>
            </w:r>
          </w:p>
        </w:tc>
        <w:tc>
          <w:tcPr>
            <w:tcW w:w="0" w:type="dxa"/>
            <w:vAlign w:val="bottom"/>
          </w:tcPr>
          <w:p>
            <w:pPr>
              <w:spacing w:after="0"/>
              <w:rPr>
                <w:sz w:val="1"/>
                <w:szCs w:val="1"/>
                <w:color w:val="auto"/>
              </w:rPr>
            </w:pPr>
          </w:p>
        </w:tc>
      </w:tr>
      <w:tr>
        <w:trPr>
          <w:trHeight w:val="210"/>
        </w:trPr>
        <w:tc>
          <w:tcPr>
            <w:tcW w:w="5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revenue</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Rates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60" w:type="dxa"/>
            <w:vAlign w:val="bottom"/>
          </w:tcPr>
          <w:p>
            <w:pPr>
              <w:spacing w:after="0"/>
              <w:rPr>
                <w:sz w:val="18"/>
                <w:szCs w:val="18"/>
                <w:color w:val="auto"/>
              </w:rPr>
            </w:pP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24.7 %</w:t>
            </w: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26.1 %</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Credit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17.6 %</w:t>
            </w:r>
          </w:p>
        </w:tc>
        <w:tc>
          <w:tcPr>
            <w:tcW w:w="9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16"/>
        </w:trPr>
        <w:tc>
          <w:tcPr>
            <w:tcW w:w="5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Equities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60" w:type="dxa"/>
            <w:vAlign w:val="bottom"/>
          </w:tcPr>
          <w:p>
            <w:pPr>
              <w:spacing w:after="0"/>
              <w:rPr>
                <w:sz w:val="18"/>
                <w:szCs w:val="18"/>
                <w:color w:val="auto"/>
              </w:rPr>
            </w:pP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45.4 %</w:t>
            </w: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49.5 %</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Money Markets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20.9 %</w:t>
            </w:r>
          </w:p>
        </w:tc>
        <w:tc>
          <w:tcPr>
            <w:tcW w:w="9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22.0 %</w:t>
            </w:r>
          </w:p>
        </w:tc>
        <w:tc>
          <w:tcPr>
            <w:tcW w:w="0" w:type="dxa"/>
            <w:vAlign w:val="bottom"/>
          </w:tcPr>
          <w:p>
            <w:pPr>
              <w:spacing w:after="0"/>
              <w:rPr>
                <w:sz w:val="1"/>
                <w:szCs w:val="1"/>
                <w:color w:val="auto"/>
              </w:rPr>
            </w:pPr>
          </w:p>
        </w:tc>
      </w:tr>
      <w:tr>
        <w:trPr>
          <w:trHeight w:val="216"/>
        </w:trPr>
        <w:tc>
          <w:tcPr>
            <w:tcW w:w="5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Market Data</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60" w:type="dxa"/>
            <w:vAlign w:val="bottom"/>
          </w:tcPr>
          <w:p>
            <w:pPr>
              <w:spacing w:after="0"/>
              <w:rPr>
                <w:sz w:val="18"/>
                <w:szCs w:val="18"/>
                <w:color w:val="auto"/>
              </w:rPr>
            </w:pP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7.3 %</w:t>
            </w: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8.2 %</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1.2 %</w:t>
            </w:r>
          </w:p>
        </w:tc>
        <w:tc>
          <w:tcPr>
            <w:tcW w:w="9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Net income </w:t>
            </w:r>
            <w:r>
              <w:rPr>
                <w:rFonts w:ascii="Times New Roman" w:cs="Times New Roman" w:eastAsia="Times New Roman" w:hAnsi="Times New Roman"/>
                <w:sz w:val="8"/>
                <w:szCs w:val="8"/>
                <w:color w:val="auto"/>
              </w:rPr>
              <w:t>(2)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60" w:type="dxa"/>
            <w:vAlign w:val="bottom"/>
          </w:tcPr>
          <w:p>
            <w:pPr>
              <w:spacing w:after="0"/>
              <w:rPr>
                <w:sz w:val="18"/>
                <w:szCs w:val="18"/>
                <w:color w:val="auto"/>
              </w:rPr>
            </w:pP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Tradeweb Markets Inc.</w:t>
            </w:r>
            <w:r>
              <w:rPr>
                <w:rFonts w:ascii="Times New Roman" w:cs="Times New Roman" w:eastAsia="Times New Roman" w:hAnsi="Times New Roman"/>
                <w:sz w:val="8"/>
                <w:szCs w:val="8"/>
                <w:color w:val="auto"/>
              </w:rPr>
              <w:t>(3)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Diluted EPS </w:t>
            </w:r>
            <w:r>
              <w:rPr>
                <w:rFonts w:ascii="Times New Roman" w:cs="Times New Roman" w:eastAsia="Times New Roman" w:hAnsi="Times New Roman"/>
                <w:sz w:val="8"/>
                <w:szCs w:val="8"/>
                <w:color w:val="auto"/>
              </w:rPr>
              <w:t>(4)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60" w:type="dxa"/>
            <w:vAlign w:val="bottom"/>
          </w:tcPr>
          <w:p>
            <w:pPr>
              <w:spacing w:after="0"/>
              <w:rPr>
                <w:sz w:val="18"/>
                <w:szCs w:val="18"/>
                <w:color w:val="auto"/>
              </w:rPr>
            </w:pP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Financial Measures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8"/>
                <w:szCs w:val="8"/>
                <w:color w:val="auto"/>
              </w:rPr>
              <w:t>(5)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60" w:type="dxa"/>
            <w:vAlign w:val="bottom"/>
          </w:tcPr>
          <w:p>
            <w:pPr>
              <w:spacing w:after="0"/>
              <w:rPr>
                <w:sz w:val="18"/>
                <w:szCs w:val="18"/>
                <w:color w:val="auto"/>
              </w:rPr>
            </w:pP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40.3 %</w:t>
            </w: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43.9 %</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xml:space="preserve">Adjusted EBITDA margin </w:t>
            </w:r>
            <w:r>
              <w:rPr>
                <w:rFonts w:ascii="Times New Roman" w:cs="Times New Roman" w:eastAsia="Times New Roman" w:hAnsi="Times New Roman"/>
                <w:sz w:val="8"/>
                <w:szCs w:val="8"/>
                <w:color w:val="auto"/>
              </w:rPr>
              <w:t>(5)</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 bps</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 bps</w:t>
            </w:r>
          </w:p>
        </w:tc>
        <w:tc>
          <w:tcPr>
            <w:tcW w:w="0" w:type="dxa"/>
            <w:vAlign w:val="bottom"/>
          </w:tcPr>
          <w:p>
            <w:pPr>
              <w:spacing w:after="0"/>
              <w:rPr>
                <w:sz w:val="1"/>
                <w:szCs w:val="1"/>
                <w:color w:val="auto"/>
              </w:rPr>
            </w:pPr>
          </w:p>
        </w:tc>
      </w:tr>
      <w:tr>
        <w:trPr>
          <w:trHeight w:val="216"/>
        </w:trPr>
        <w:tc>
          <w:tcPr>
            <w:tcW w:w="5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Adjusted EBIT </w:t>
            </w:r>
            <w:r>
              <w:rPr>
                <w:rFonts w:ascii="Times New Roman" w:cs="Times New Roman" w:eastAsia="Times New Roman" w:hAnsi="Times New Roman"/>
                <w:sz w:val="8"/>
                <w:szCs w:val="8"/>
                <w:color w:val="auto"/>
              </w:rPr>
              <w:t>(5)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60" w:type="dxa"/>
            <w:vAlign w:val="bottom"/>
          </w:tcPr>
          <w:p>
            <w:pPr>
              <w:spacing w:after="0"/>
              <w:rPr>
                <w:sz w:val="18"/>
                <w:szCs w:val="18"/>
                <w:color w:val="auto"/>
              </w:rPr>
            </w:pP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46.5 %</w:t>
            </w: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51.0 %</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xml:space="preserve">Adjusted EBIT margin </w:t>
            </w:r>
            <w:r>
              <w:rPr>
                <w:rFonts w:ascii="Times New Roman" w:cs="Times New Roman" w:eastAsia="Times New Roman" w:hAnsi="Times New Roman"/>
                <w:sz w:val="8"/>
                <w:szCs w:val="8"/>
                <w:color w:val="auto"/>
              </w:rPr>
              <w:t>(5)</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 bps</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 bps</w:t>
            </w:r>
          </w:p>
        </w:tc>
        <w:tc>
          <w:tcPr>
            <w:tcW w:w="0" w:type="dxa"/>
            <w:vAlign w:val="bottom"/>
          </w:tcPr>
          <w:p>
            <w:pPr>
              <w:spacing w:after="0"/>
              <w:rPr>
                <w:sz w:val="1"/>
                <w:szCs w:val="1"/>
                <w:color w:val="auto"/>
              </w:rPr>
            </w:pPr>
          </w:p>
        </w:tc>
      </w:tr>
      <w:tr>
        <w:trPr>
          <w:trHeight w:val="216"/>
        </w:trPr>
        <w:tc>
          <w:tcPr>
            <w:tcW w:w="5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Adjusted Net Income </w:t>
            </w:r>
            <w:r>
              <w:rPr>
                <w:rFonts w:ascii="Times New Roman" w:cs="Times New Roman" w:eastAsia="Times New Roman" w:hAnsi="Times New Roman"/>
                <w:sz w:val="8"/>
                <w:szCs w:val="8"/>
                <w:color w:val="auto"/>
              </w:rPr>
              <w:t>(5)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60" w:type="dxa"/>
            <w:vAlign w:val="bottom"/>
          </w:tcPr>
          <w:p>
            <w:pPr>
              <w:spacing w:after="0"/>
              <w:rPr>
                <w:sz w:val="18"/>
                <w:szCs w:val="18"/>
                <w:color w:val="auto"/>
              </w:rPr>
            </w:pP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45.9 %</w:t>
            </w: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50.3 %</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xml:space="preserve">Adjusted Diluted EPS </w:t>
            </w:r>
            <w:r>
              <w:rPr>
                <w:rFonts w:ascii="Times New Roman" w:cs="Times New Roman" w:eastAsia="Times New Roman" w:hAnsi="Times New Roman"/>
                <w:sz w:val="8"/>
                <w:szCs w:val="8"/>
                <w:color w:val="auto"/>
              </w:rPr>
              <w:t>(5)(6)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38.6 %</w:t>
            </w:r>
          </w:p>
        </w:tc>
        <w:tc>
          <w:tcPr>
            <w:tcW w:w="9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42.9 %</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660" w:right="580" w:hanging="333"/>
        <w:spacing w:after="0" w:line="262" w:lineRule="auto"/>
        <w:tabs>
          <w:tab w:leader="none" w:pos="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Constant currency growth is a non-GAAP financial measure that reflects growth for the period excluding the impact of foreign currency fluctuations. See "Non-GAAP Financial Measures" below for additional information.</w:t>
      </w:r>
    </w:p>
    <w:p>
      <w:pPr>
        <w:spacing w:after="0" w:line="161" w:lineRule="exact"/>
        <w:rPr>
          <w:rFonts w:ascii="Times New Roman" w:cs="Times New Roman" w:eastAsia="Times New Roman" w:hAnsi="Times New Roman"/>
          <w:sz w:val="14"/>
          <w:szCs w:val="14"/>
          <w:color w:val="auto"/>
        </w:rPr>
      </w:pPr>
    </w:p>
    <w:p>
      <w:pPr>
        <w:ind w:left="660" w:right="140" w:hanging="333"/>
        <w:spacing w:after="0" w:line="241" w:lineRule="auto"/>
        <w:tabs>
          <w:tab w:leader="none" w:pos="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income for the third quarter of 2019 was impacted by net depreciation and amortization expense of $18.3 million as a result of the Refinitiv Transaction and the resulting revaluation of our balance sheet. See "Presentation" below for additional information regarding the Refinitiv Transaction.</w:t>
      </w:r>
    </w:p>
    <w:p>
      <w:pPr>
        <w:spacing w:after="0" w:line="176" w:lineRule="exact"/>
        <w:rPr>
          <w:rFonts w:ascii="Times New Roman" w:cs="Times New Roman" w:eastAsia="Times New Roman" w:hAnsi="Times New Roman"/>
          <w:sz w:val="14"/>
          <w:szCs w:val="14"/>
          <w:color w:val="auto"/>
        </w:rPr>
      </w:pPr>
    </w:p>
    <w:p>
      <w:pPr>
        <w:ind w:left="660" w:hanging="333"/>
        <w:spacing w:after="0"/>
        <w:tabs>
          <w:tab w:leader="none" w:pos="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net income less net income attributable to non-controlling interests.</w:t>
      </w:r>
    </w:p>
    <w:p>
      <w:pPr>
        <w:spacing w:after="0" w:line="203" w:lineRule="exact"/>
        <w:rPr>
          <w:rFonts w:ascii="Times New Roman" w:cs="Times New Roman" w:eastAsia="Times New Roman" w:hAnsi="Times New Roman"/>
          <w:sz w:val="14"/>
          <w:szCs w:val="14"/>
          <w:color w:val="auto"/>
        </w:rPr>
      </w:pPr>
    </w:p>
    <w:p>
      <w:pPr>
        <w:ind w:left="660" w:right="100" w:hanging="333"/>
        <w:spacing w:after="0" w:line="236" w:lineRule="auto"/>
        <w:tabs>
          <w:tab w:leader="none" w:pos="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present Diluted EPS for Tradeweb Markets Inc. for the third quarter of 2019 and for Tradeweb Markets LLC for the third quarter of 2018, as the Reorganization Transactions and the IPO were completed in April 2019. As a consequence, the Diluted EPS information for Tradeweb Markets Inc. and Tradeweb Markets LLC is not comparable. See “Presentation” and “Basic and Diluted EPS Calculations” below for additional information.</w:t>
      </w:r>
    </w:p>
    <w:p>
      <w:pPr>
        <w:spacing w:after="0" w:line="177" w:lineRule="exact"/>
        <w:rPr>
          <w:rFonts w:ascii="Times New Roman" w:cs="Times New Roman" w:eastAsia="Times New Roman" w:hAnsi="Times New Roman"/>
          <w:sz w:val="14"/>
          <w:szCs w:val="14"/>
          <w:color w:val="auto"/>
        </w:rPr>
      </w:pPr>
    </w:p>
    <w:p>
      <w:pPr>
        <w:jc w:val="both"/>
        <w:ind w:left="660" w:right="20" w:hanging="333"/>
        <w:spacing w:after="0" w:line="241" w:lineRule="auto"/>
        <w:tabs>
          <w:tab w:leader="none" w:pos="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Adjusted EBITDA margin, Adjusted EBIT, Adjusted EBIT margin, Adjusted Net Income and Adjusted Diluted EPS are non-GAAP financial measures. See "Non-GAAP Financial Measures" below and the attached schedules for additional information and reconciliations of such non-GAAP financial measures.</w:t>
      </w:r>
    </w:p>
    <w:p>
      <w:pPr>
        <w:spacing w:after="0" w:line="68" w:lineRule="exact"/>
        <w:rPr>
          <w:rFonts w:ascii="Times New Roman" w:cs="Times New Roman" w:eastAsia="Times New Roman" w:hAnsi="Times New Roman"/>
          <w:sz w:val="14"/>
          <w:szCs w:val="14"/>
          <w:color w:val="auto"/>
        </w:rPr>
      </w:pPr>
    </w:p>
    <w:p>
      <w:pPr>
        <w:ind w:left="660" w:right="20" w:hanging="333"/>
        <w:spacing w:after="0" w:line="236" w:lineRule="auto"/>
        <w:tabs>
          <w:tab w:leader="none" w:pos="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present Adjusted Diluted EPS for Tradeweb Markets Inc. for the third quarter of 2019 and for Tradeweb Markets LLC for the third quarter of 2018. Because Adjusted Diluted EPS includes certain tax related adjustments to reflect an assumed effective tax rate for all periods presented and, for the third quarter of 2019, assumes all equity interests of Tradeweb Markets LLC are exchanged for shares of Class A or Class B common stock, we believe that Adjusted Diluted EPS for Tradeweb Markets Inc. and Tradeweb Markets LLC are comparable.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Results</w:t>
      </w:r>
    </w:p>
    <w:p>
      <w:pPr>
        <w:spacing w:after="0" w:line="20" w:lineRule="exact"/>
        <w:rPr>
          <w:sz w:val="20"/>
          <w:szCs w:val="20"/>
          <w:color w:val="auto"/>
        </w:rPr>
      </w:pPr>
    </w:p>
    <w:p>
      <w:pPr>
        <w:ind w:right="40"/>
        <w:spacing w:after="0"/>
        <w:rPr>
          <w:sz w:val="20"/>
          <w:szCs w:val="20"/>
          <w:color w:val="auto"/>
        </w:rPr>
      </w:pPr>
      <w:r>
        <w:rPr>
          <w:rFonts w:ascii="Arial" w:cs="Arial" w:eastAsia="Arial" w:hAnsi="Arial"/>
          <w:sz w:val="18"/>
          <w:szCs w:val="18"/>
          <w:b w:val="1"/>
          <w:bCs w:val="1"/>
          <w:color w:val="auto"/>
        </w:rPr>
        <w:t xml:space="preserve">Rates </w:t>
      </w:r>
      <w:r>
        <w:rPr>
          <w:rFonts w:ascii="Arial" w:cs="Arial" w:eastAsia="Arial" w:hAnsi="Arial"/>
          <w:sz w:val="18"/>
          <w:szCs w:val="18"/>
          <w:color w:val="auto"/>
        </w:rPr>
        <w:t>– Revenues from rates of $115.5 million in the third quarter of 2019 increased 24.7% compared to the third</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2018. ADV in rates of $563.4 billion for the third quarter of 2019 increased 64.5% due mainly to strong year-over-year growth in trading activity in both long and short-tenor interest rate swaps and swaptions, mortgages and U.S. Treasuries.</w:t>
      </w:r>
    </w:p>
    <w:p>
      <w:pPr>
        <w:spacing w:after="0" w:line="161"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b w:val="1"/>
          <w:bCs w:val="1"/>
          <w:color w:val="auto"/>
        </w:rPr>
        <w:t xml:space="preserve">Credit – </w:t>
      </w:r>
      <w:r>
        <w:rPr>
          <w:rFonts w:ascii="Arial" w:cs="Arial" w:eastAsia="Arial" w:hAnsi="Arial"/>
          <w:sz w:val="18"/>
          <w:szCs w:val="18"/>
          <w:color w:val="auto"/>
        </w:rPr>
        <w:t>Revenues from credit of $39.6 million in the third quarter of 2019 increased 17.6% compared to the third</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2018. ADV in credit of $17.2 billion for the third quarter of 2019 increased 44.7% due mainly to</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478155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05" w:right="1419" w:bottom="1440" w:gutter="0" w:footer="0" w:header="0"/>
        </w:sectPr>
      </w:pPr>
    </w:p>
    <w:bookmarkStart w:id="5" w:name="page6"/>
    <w:bookmarkEnd w:id="5"/>
    <w:p>
      <w:pPr>
        <w:ind w:right="200"/>
        <w:spacing w:after="0" w:line="27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5654675</wp:posOffset>
            </wp:positionH>
            <wp:positionV relativeFrom="page">
              <wp:posOffset>88900</wp:posOffset>
            </wp:positionV>
            <wp:extent cx="1003300" cy="3086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003300" cy="308610"/>
                    </a:xfrm>
                    <a:prstGeom prst="rect">
                      <a:avLst/>
                    </a:prstGeom>
                    <a:noFill/>
                  </pic:spPr>
                </pic:pic>
              </a:graphicData>
            </a:graphic>
          </wp:anchor>
        </w:drawing>
        <w:t>a new quarterly record for credit derivatives volumes and increased trading activity in U.S. high-grade and high-yield credit and Chinese bonds.</w:t>
      </w:r>
    </w:p>
    <w:p>
      <w:pPr>
        <w:spacing w:after="0" w:line="130"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b w:val="1"/>
          <w:bCs w:val="1"/>
          <w:color w:val="auto"/>
        </w:rPr>
        <w:t xml:space="preserve">Equities </w:t>
      </w:r>
      <w:r>
        <w:rPr>
          <w:rFonts w:ascii="Arial" w:cs="Arial" w:eastAsia="Arial" w:hAnsi="Arial"/>
          <w:sz w:val="18"/>
          <w:szCs w:val="18"/>
          <w:color w:val="auto"/>
        </w:rPr>
        <w:t>– Revenues from equities of $12.3 million in the third quarter of 2019 increased 45.4% compared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third quarter of 2018. ADV in equities of $7.3 billion for the third quarter of 2019 increased 27.8% due mainly to a new quarterly record for European ETF volumes and increased trading activity in U.S. ETFs.</w:t>
      </w:r>
    </w:p>
    <w:p>
      <w:pPr>
        <w:spacing w:after="0" w:line="148"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b w:val="1"/>
          <w:bCs w:val="1"/>
          <w:color w:val="auto"/>
        </w:rPr>
        <w:t xml:space="preserve">Money Markets </w:t>
      </w:r>
      <w:r>
        <w:rPr>
          <w:rFonts w:ascii="Arial" w:cs="Arial" w:eastAsia="Arial" w:hAnsi="Arial"/>
          <w:sz w:val="18"/>
          <w:szCs w:val="18"/>
          <w:color w:val="auto"/>
        </w:rPr>
        <w:t>– Revenues from money markets of $10.5 million in the third quarter of 2019 increased 20.9%</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the third quarter of 2018. ADV in money markets of $227.1 billion for the third quarter of 2019 rose 32.4% due to the continued growth of bilateral electronic trading in repurchase agreements.</w:t>
      </w:r>
    </w:p>
    <w:p>
      <w:pPr>
        <w:spacing w:after="0" w:line="14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color w:val="auto"/>
        </w:rPr>
        <w:t xml:space="preserve">Market Data </w:t>
      </w:r>
      <w:r>
        <w:rPr>
          <w:rFonts w:ascii="Arial" w:cs="Arial" w:eastAsia="Arial" w:hAnsi="Arial"/>
          <w:sz w:val="18"/>
          <w:szCs w:val="18"/>
          <w:color w:val="auto"/>
        </w:rPr>
        <w:t>– Revenues from market data of $16.9 million in the third quarter of 2019 increased 7.3% compared</w:t>
      </w:r>
      <w:r>
        <w:rPr>
          <w:rFonts w:ascii="Arial" w:cs="Arial" w:eastAsia="Arial" w:hAnsi="Arial"/>
          <w:sz w:val="18"/>
          <w:szCs w:val="18"/>
          <w:b w:val="1"/>
          <w:bCs w:val="1"/>
          <w:color w:val="auto"/>
        </w:rPr>
        <w:t xml:space="preserve"> </w:t>
      </w:r>
      <w:r>
        <w:rPr>
          <w:rFonts w:ascii="Arial" w:cs="Arial" w:eastAsia="Arial" w:hAnsi="Arial"/>
          <w:sz w:val="18"/>
          <w:szCs w:val="18"/>
          <w:color w:val="auto"/>
        </w:rPr>
        <w:t>to the third quarter of 2018 from the expansion of our market data license agreement with Refinitiv in November 2018.</w:t>
      </w:r>
    </w:p>
    <w:p>
      <w:pPr>
        <w:spacing w:after="0" w:line="148" w:lineRule="exact"/>
        <w:rPr>
          <w:sz w:val="20"/>
          <w:szCs w:val="20"/>
          <w:color w:val="auto"/>
        </w:rPr>
      </w:pPr>
    </w:p>
    <w:p>
      <w:pPr>
        <w:ind w:right="340"/>
        <w:spacing w:after="0" w:line="278" w:lineRule="auto"/>
        <w:rPr>
          <w:sz w:val="20"/>
          <w:szCs w:val="20"/>
          <w:color w:val="auto"/>
        </w:rPr>
      </w:pPr>
      <w:r>
        <w:rPr>
          <w:rFonts w:ascii="Arial" w:cs="Arial" w:eastAsia="Arial" w:hAnsi="Arial"/>
          <w:sz w:val="18"/>
          <w:szCs w:val="18"/>
          <w:b w:val="1"/>
          <w:bCs w:val="1"/>
          <w:color w:val="auto"/>
        </w:rPr>
        <w:t xml:space="preserve">Other – </w:t>
      </w:r>
      <w:r>
        <w:rPr>
          <w:rFonts w:ascii="Arial" w:cs="Arial" w:eastAsia="Arial" w:hAnsi="Arial"/>
          <w:sz w:val="18"/>
          <w:szCs w:val="18"/>
          <w:color w:val="auto"/>
        </w:rPr>
        <w:t>Revenues from other of $6.2 million in the third quarter of 2019 increased 1.2% compared to the third</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2018.</w:t>
      </w:r>
    </w:p>
    <w:p>
      <w:pPr>
        <w:spacing w:after="0" w:line="130"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Mr. Olesky added, “Tradeweb’s focus on identifying market needs by collaborating with clients to deliver innovative new offerings, is driving the expansion of electronic trading. We set new records for trading activity in the third quarter in rates and credit derivatives, European government bonds, mortgages, European ETFs and Chinese bonds, reflecting growth from both organic initiatives at Tradeweb as well as a number of long-term secular trends. As we look ahead, we believe we are well positioned to continue to create value for our customers and shareholders.”</w:t>
      </w:r>
    </w:p>
    <w:p>
      <w:pPr>
        <w:spacing w:after="0" w:line="159"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 Operating expenses of $142.7 million in the third quarter of 2019 included a net</w:t>
      </w:r>
      <w:r>
        <w:rPr>
          <w:rFonts w:ascii="Arial" w:cs="Arial" w:eastAsia="Arial" w:hAnsi="Arial"/>
          <w:sz w:val="18"/>
          <w:szCs w:val="18"/>
          <w:b w:val="1"/>
          <w:bCs w:val="1"/>
          <w:color w:val="auto"/>
        </w:rPr>
        <w:t xml:space="preserve"> </w:t>
      </w:r>
      <w:r>
        <w:rPr>
          <w:rFonts w:ascii="Arial" w:cs="Arial" w:eastAsia="Arial" w:hAnsi="Arial"/>
          <w:sz w:val="18"/>
          <w:szCs w:val="18"/>
          <w:color w:val="auto"/>
        </w:rPr>
        <w:t>depreciation and amortization expense of $ 18.3 million as a result of the Refinitiv Transaction and the resulting revaluation of our balance sheet as well as a non-cash, stock-based compensation expense of $2.0 million related to options. Excluding these items, as well as certain gains and losses, Adjusted Expenses were $117.9 million in the third quarter of 2019. Adjusted Expenses increased 8.6% year over year due primarily to increased revenue-related expenses as well as higher employee compensation and benefits expense related to an increase in headcount. Please see "Non-GAAP Financial Measures" below for additional information.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0"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Assets as of September 30, 2019 included $ 389.9 million in unrestricted cash and cash equivalents. In the first three quarters of 2019, Tradeweb generated $190.5 million of cash flow from operating activities and $160.7 million of Free Cash Flow representing year-over-year increases of 15.6% and 15.6%, respectively. Please see "Non-GAAP Financial Measures" below for additional information.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Follow-On Offering</w:t>
      </w:r>
    </w:p>
    <w:p>
      <w:pPr>
        <w:spacing w:after="0" w:line="20" w:lineRule="exact"/>
        <w:rPr>
          <w:sz w:val="20"/>
          <w:szCs w:val="20"/>
          <w:color w:val="auto"/>
        </w:rPr>
      </w:pPr>
    </w:p>
    <w:p>
      <w:pPr>
        <w:jc w:val="both"/>
        <w:ind w:right="140"/>
        <w:spacing w:after="0" w:line="248" w:lineRule="auto"/>
        <w:rPr>
          <w:sz w:val="20"/>
          <w:szCs w:val="20"/>
          <w:color w:val="auto"/>
        </w:rPr>
      </w:pPr>
      <w:r>
        <w:rPr>
          <w:rFonts w:ascii="Arial" w:cs="Arial" w:eastAsia="Arial" w:hAnsi="Arial"/>
          <w:sz w:val="17"/>
          <w:szCs w:val="17"/>
          <w:color w:val="auto"/>
        </w:rPr>
        <w:t>Tradeweb Markets Inc. completed a follow-on offering of 17,287,878 shares of Class A Common stock at a price to the public of $42.00 per share on October 22, 2019. The underwriters have a 30-day option to purchase up to an additional 2,593,181 shares at the public offering price, less the underwriting discounts and commissions.</w:t>
      </w:r>
    </w:p>
    <w:p>
      <w:pPr>
        <w:spacing w:after="0" w:line="2" w:lineRule="exact"/>
        <w:rPr>
          <w:sz w:val="20"/>
          <w:szCs w:val="20"/>
          <w:color w:val="auto"/>
        </w:rPr>
      </w:pPr>
    </w:p>
    <w:p>
      <w:pPr>
        <w:jc w:val="both"/>
        <w:ind w:right="160"/>
        <w:spacing w:after="0" w:line="242" w:lineRule="auto"/>
        <w:rPr>
          <w:sz w:val="20"/>
          <w:szCs w:val="20"/>
          <w:color w:val="auto"/>
        </w:rPr>
      </w:pPr>
      <w:r>
        <w:rPr>
          <w:rFonts w:ascii="Arial" w:cs="Arial" w:eastAsia="Arial" w:hAnsi="Arial"/>
          <w:sz w:val="18"/>
          <w:szCs w:val="18"/>
          <w:color w:val="auto"/>
        </w:rPr>
        <w:t>Tradeweb Markets Inc. used the proceeds of $704.3 million from the offering, net of underwriting discounts and commissions, but before estimated offering expenses, to purchase equity interests from certain existing owners. Refinitiv continues to own a controlling interest in Tradeweb following the offering.</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Full-Year 2019 Guidance*</w:t>
      </w:r>
    </w:p>
    <w:p>
      <w:pPr>
        <w:spacing w:after="0" w:line="20" w:lineRule="exact"/>
        <w:rPr>
          <w:sz w:val="20"/>
          <w:szCs w:val="20"/>
          <w:color w:val="auto"/>
        </w:rPr>
      </w:pPr>
    </w:p>
    <w:p>
      <w:pPr>
        <w:ind w:left="660" w:hanging="333"/>
        <w:spacing w:after="0"/>
        <w:tabs>
          <w:tab w:leader="none" w:pos="6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Adjusted expenses of $460 - $475 million are expected to trend to the lower half of the range</w:t>
      </w:r>
    </w:p>
    <w:p>
      <w:pPr>
        <w:spacing w:after="0" w:line="8"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Assumed non-GAAP tax rate of 26.4%</w:t>
      </w: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478155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05" w:right="1419" w:bottom="1440" w:gutter="0" w:footer="0" w:header="0"/>
        </w:sectPr>
      </w:pPr>
    </w:p>
    <w:bookmarkStart w:id="6" w:name="page7"/>
    <w:bookmarkEnd w:id="6"/>
    <w:p>
      <w:pPr>
        <w:ind w:left="660" w:hanging="333"/>
        <w:spacing w:after="0"/>
        <w:tabs>
          <w:tab w:leader="none" w:pos="6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5654675</wp:posOffset>
            </wp:positionH>
            <wp:positionV relativeFrom="page">
              <wp:posOffset>88900</wp:posOffset>
            </wp:positionV>
            <wp:extent cx="1003300" cy="3086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003300" cy="308610"/>
                    </a:xfrm>
                    <a:prstGeom prst="rect">
                      <a:avLst/>
                    </a:prstGeom>
                    <a:noFill/>
                  </pic:spPr>
                </pic:pic>
              </a:graphicData>
            </a:graphic>
          </wp:anchor>
        </w:drawing>
        <w:t>Capital expenditures and capitalization of software of $42 - $48 million</w:t>
      </w:r>
    </w:p>
    <w:p>
      <w:pPr>
        <w:spacing w:after="0" w:line="30"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Acquisition and Refinitiv Transaction related depreciation and amortization expense of $98 million</w:t>
      </w:r>
    </w:p>
    <w:p>
      <w:pPr>
        <w:spacing w:after="0" w:line="8" w:lineRule="exact"/>
        <w:rPr>
          <w:rFonts w:ascii="Times New Roman" w:cs="Times New Roman" w:eastAsia="Times New Roman" w:hAnsi="Times New Roman"/>
          <w:sz w:val="18"/>
          <w:szCs w:val="18"/>
          <w:color w:val="auto"/>
        </w:rPr>
      </w:pPr>
    </w:p>
    <w:p>
      <w:pPr>
        <w:ind w:left="660" w:right="20" w:hanging="333"/>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Fourth quarter non-cash stock-based compensation expense associated with options of approximately $2 million</w:t>
      </w:r>
    </w:p>
    <w:p>
      <w:pPr>
        <w:spacing w:after="0" w:line="165" w:lineRule="exact"/>
        <w:rPr>
          <w:sz w:val="20"/>
          <w:szCs w:val="20"/>
          <w:color w:val="auto"/>
        </w:rPr>
      </w:pPr>
    </w:p>
    <w:p>
      <w:pPr>
        <w:ind w:left="320" w:right="160"/>
        <w:spacing w:after="0" w:line="288" w:lineRule="auto"/>
        <w:rPr>
          <w:sz w:val="20"/>
          <w:szCs w:val="20"/>
          <w:color w:val="auto"/>
        </w:rPr>
      </w:pPr>
      <w:r>
        <w:rPr>
          <w:rFonts w:ascii="Arial" w:cs="Arial" w:eastAsia="Arial" w:hAnsi="Arial"/>
          <w:sz w:val="14"/>
          <w:szCs w:val="14"/>
          <w:i w:val="1"/>
          <w:iCs w:val="1"/>
          <w:color w:val="auto"/>
        </w:rPr>
        <w:t>*GAAP operating expenses and tax rate guidance are not provided due to the inherent difficulty in quantifying certain amounts due to a variety of factors including the unpredictability in the movement of foreign currency rates.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w:t>
      </w:r>
    </w:p>
    <w:p>
      <w:pPr>
        <w:spacing w:after="0" w:line="20"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The Board of Directors of Tradeweb Markets Inc. declared a cash dividend of $0.08 per share of Class A common stock and Class B common stock for the third quarter of 2019. The dividend will be payable on December 16, 2019 to stockholders of record as of December 2, 2019.</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 xml:space="preserve">Tradeweb Markets will hold a conference call to discuss third quarter 2019 results starting at 8:30 a.m. Eastern Time today, November 7, 2019. A live, audio webcast of the conference call along with related materials will be available at </w:t>
      </w:r>
      <w:r>
        <w:rPr>
          <w:rFonts w:ascii="Arial" w:cs="Arial" w:eastAsia="Arial" w:hAnsi="Arial"/>
          <w:sz w:val="18"/>
          <w:szCs w:val="18"/>
          <w:u w:val="single" w:color="auto"/>
          <w:color w:val="0000EE"/>
        </w:rPr>
        <w:t>http://investors.tradeweb.com</w:t>
      </w:r>
      <w:r>
        <w:rPr>
          <w:rFonts w:ascii="Arial" w:cs="Arial" w:eastAsia="Arial" w:hAnsi="Arial"/>
          <w:sz w:val="18"/>
          <w:szCs w:val="18"/>
          <w:color w:val="auto"/>
        </w:rPr>
        <w:t xml:space="preserve">. Alternatively, interested parties can access the call by dialing 866-221-1629 (U.S.) or +1 470-495-9175 (international) and entering passcode 6925059. After the conference call, an archived recording will be available at </w:t>
      </w:r>
      <w:r>
        <w:rPr>
          <w:rFonts w:ascii="Arial" w:cs="Arial" w:eastAsia="Arial" w:hAnsi="Arial"/>
          <w:sz w:val="18"/>
          <w:szCs w:val="18"/>
          <w:u w:val="single" w:color="auto"/>
          <w:color w:val="0000EE"/>
        </w:rPr>
        <w:t>http://investors.tradeweb.com</w:t>
      </w:r>
      <w:r>
        <w:rPr>
          <w:rFonts w:ascii="Arial" w:cs="Arial" w:eastAsia="Arial" w:hAnsi="Arial"/>
          <w:sz w:val="18"/>
          <w:szCs w:val="18"/>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This release contains forward-looking statements within the meaning of the federal securities laws. Statements related to, among other things, our guidance, including 2019 guidance, and future performance, the industry and markets in which we operate, our expectations, beliefs, plans, strategies, objectives, prospects and assumptions and future events are forward-looking statements.</w:t>
      </w:r>
    </w:p>
    <w:p>
      <w:pPr>
        <w:spacing w:after="0" w:line="16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including those discussed under the heading “Risk Factors” in documents of Tradeweb Markets Inc. on file with or furnished to the SEC, may cause our actual results, performance or achievements to differ materially from those expressed or implied by these forward-looking statements. Given these risks and uncertainties, you are cautioned not to place undue reliance on such forward-looking statements. The forward-looking statements contained in this release are not guarantees of future performance and our actual results of operations, financial condition or liquidity, and the development of the industry and markets in which we operate, may differ materially from the forward-looking statements contained in this release. In addition, even if our results of operations, financial condition, or liquidity, and events in the industry and markets in which we operate, are consistent with the forward-looking statements contained in this release, they may not be predictive of results or developments in future periods. Any forward-looking statement that we make in this release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release.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Presentation</w:t>
      </w:r>
    </w:p>
    <w:p>
      <w:pPr>
        <w:spacing w:after="0" w:line="20"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historical financial information and other disclosures contained in this press release relate to periods that ended both prior to and after the completion of the Reorganization Transactions and the IPO of Tradeweb Markets Inc. (unless the context otherwise requires, together with its subsidiaries, referred to as “we,” “our,” “Tradeweb,” “Tradeweb Markets” or the “Company”). The IPO closed on April 8, 2019. As a result of certain reorganization transactions (the “Reorganization Transactions”) completed in connection with the IPO, on April 4, 2019, Tradeweb Markets Inc. became a holding company whose only material assets consist of its equity interest in Tradeweb Markets LLC (“TWM LLC”) and related deferred tax assets. As the sole manager of TWM LLC, Tradeweb Markets Inc. operates and controls all of the business and affairs of TWM LLC and, through TWM LLC and its subsidiaries, conducts its business. As a result of this control, and because</w:t>
      </w:r>
    </w:p>
    <w:p>
      <w:pPr>
        <w:spacing w:after="0" w:line="1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478155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05" w:right="1419" w:bottom="1440" w:gutter="0" w:footer="0" w:header="0"/>
        </w:sectPr>
      </w:pPr>
    </w:p>
    <w:bookmarkStart w:id="7" w:name="page8"/>
    <w:bookmarkEnd w:id="7"/>
    <w:p>
      <w:pPr>
        <w:ind w:right="1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5654675</wp:posOffset>
            </wp:positionH>
            <wp:positionV relativeFrom="page">
              <wp:posOffset>88900</wp:posOffset>
            </wp:positionV>
            <wp:extent cx="1003300" cy="3086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003300" cy="308610"/>
                    </a:xfrm>
                    <a:prstGeom prst="rect">
                      <a:avLst/>
                    </a:prstGeom>
                    <a:noFill/>
                  </pic:spPr>
                </pic:pic>
              </a:graphicData>
            </a:graphic>
          </wp:anchor>
        </w:drawing>
        <w:t>Tradeweb Markets Inc. has a substantial financial interest in TWM LLC, Tradeweb Markets Inc. consolidates the financial results of TWM LLC and its subsidiaries. The historical financial information contained in this press release relating to periods prior to and including March 31, 2019, which we refer to as the “pre-IPO period,” pertain to TWM LLC, the predecessor of Tradeweb Markets Inc. for financial reporting purposes. The historical financial information contained in this press release relating to periods beginning on April 1, 2019, and through and including September 30, 2019, which we refer to as the “post-IPO period,” pertain to Tradeweb Markets Inc. The pre-IPO period excludes, and the post-IPO period includes, our financial results from April 1, 2019 through April 3, 2019, which are not material.</w:t>
      </w:r>
    </w:p>
    <w:p>
      <w:pPr>
        <w:spacing w:after="0" w:line="167"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On October 1, 2018, Refinitiv Holdings Ltd. (“Refinitiv”), which is controlled by certain investment funds affiliated with The Blackstone Group L.P., an affiliate of Canada Pension Plan Investment Board, an affiliate of GIC Special Investments Pte. Ltd. and certain co-investors, indirectly acquired substantially all of the financial and risk business of Thomson Reuters Corporation and Thomson Reuters Corporation indirectly acquired a non-controlling ownership interest in Refinitiv (collectively, the “Refinitiv Transaction”). As a result of the Refinitiv Transaction, as a consolidating subsidiary of Refinitiv, we accounted for the Refinitiv Transaction using pushdown accounting. Due to the change in the basis of accounting resulting from the application of pushdown accounting, the financial information for the period beginning on October 1, 2018, and through and including September 30, 2019, or the “successor period,” and the financial information for the periods prior to, and including, September 30, 2018, or the “predecessor period,” are not comparable. However, the change in basis resulting from the Refinitiv Transaction did not impact certain financial information, specifically revenues and certain expenses.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0"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This release contains “non-GAAP financial measures,” including Adjusted EBITDA, Adjusted EBITDA margin, Adjusted EBIT, Adjusted EBIT margin, Adjusted Net Income, Adjusted Diluted EPS, Adjusted Expenses and Free Cash Flow, which are supplemental financial measures that are not calculated and presented in accordance with GAAP. We make use of non-GAAP financial measures in evaluating our past results and future prospects. We present these non-GAAP financial measures because we believe they assist investors and analysts in comparing our operating performance across reporting periods on a consistent basis by excluding items that we do not believe are indicative of our core operating performance.</w:t>
      </w:r>
    </w:p>
    <w:p>
      <w:pPr>
        <w:spacing w:after="0" w:line="168" w:lineRule="exact"/>
        <w:rPr>
          <w:sz w:val="20"/>
          <w:szCs w:val="20"/>
          <w:color w:val="auto"/>
        </w:rPr>
      </w:pPr>
    </w:p>
    <w:p>
      <w:pPr>
        <w:ind w:right="260"/>
        <w:spacing w:after="0" w:line="245" w:lineRule="auto"/>
        <w:rPr>
          <w:sz w:val="20"/>
          <w:szCs w:val="20"/>
          <w:color w:val="auto"/>
        </w:rPr>
      </w:pPr>
      <w:r>
        <w:rPr>
          <w:rFonts w:ascii="Arial" w:cs="Arial" w:eastAsia="Arial" w:hAnsi="Arial"/>
          <w:sz w:val="18"/>
          <w:szCs w:val="18"/>
          <w:color w:val="auto"/>
        </w:rPr>
        <w:t>Management and our board of directors use Adjusted EBITDA, Adjusted EBITDA margin, Adjusted EBIT and Adjusted EBIT margin to assess our financial performance and believe they are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w:t>
      </w:r>
    </w:p>
    <w:p>
      <w:pPr>
        <w:spacing w:after="0" w:line="159"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We use Adjusted Net Income and Adjusted Diluted EPS as supplemental metrics to evaluate our business performance in a way that also considers our ability to generate profit without the impact of certain items. Each of the normal recurring adjustments and other adjustments included in Adjusted Net Income and Adjusted Diluted EPS help to provide management with a measure of our operating performance over time by removing items that are not related to day-to-day operations or are non-cash expenses.</w:t>
      </w:r>
    </w:p>
    <w:p>
      <w:pPr>
        <w:spacing w:after="0" w:line="159"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color w:val="auto"/>
        </w:rPr>
        <w:t>We use Adjusted Expenses as a supplemental metric to evaluate our underlying operating performance over time by removing items that are not related to day-to-day operations or are non-cash expenses.</w:t>
      </w:r>
    </w:p>
    <w:p>
      <w:pPr>
        <w:spacing w:after="0" w:line="132"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We use Free Cash Flow to assess our liquidity in a way that considers the amount of cash generated from our core operations after expenditures for capitalized software development costs and furniture, equipment and leasehold improvements.</w:t>
      </w:r>
    </w:p>
    <w:p>
      <w:pPr>
        <w:spacing w:after="0" w:line="151" w:lineRule="exact"/>
        <w:rPr>
          <w:sz w:val="20"/>
          <w:szCs w:val="20"/>
          <w:color w:val="auto"/>
        </w:rPr>
      </w:pPr>
    </w:p>
    <w:p>
      <w:pPr>
        <w:ind w:right="240"/>
        <w:spacing w:after="0" w:line="276" w:lineRule="auto"/>
        <w:rPr>
          <w:sz w:val="20"/>
          <w:szCs w:val="20"/>
          <w:color w:val="auto"/>
        </w:rPr>
      </w:pPr>
      <w:r>
        <w:rPr>
          <w:rFonts w:ascii="Arial" w:cs="Arial" w:eastAsia="Arial" w:hAnsi="Arial"/>
          <w:sz w:val="18"/>
          <w:szCs w:val="18"/>
          <w:color w:val="auto"/>
        </w:rPr>
        <w:t>See the attached schedules for reconciliations of the non-GAAP financial measures contained in this release to their most comparable GAAP financial measure. Non-GAAP financial measures have limitations as</w:t>
      </w:r>
    </w:p>
    <w:p>
      <w:pPr>
        <w:spacing w:after="0" w:line="1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478155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05" w:right="1419" w:bottom="1440" w:gutter="0" w:footer="0" w:header="0"/>
        </w:sectPr>
      </w:pPr>
    </w:p>
    <w:bookmarkStart w:id="8" w:name="page9"/>
    <w:bookmarkEnd w:id="8"/>
    <w:p>
      <w:pPr>
        <w:ind w:right="6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5654675</wp:posOffset>
            </wp:positionH>
            <wp:positionV relativeFrom="page">
              <wp:posOffset>88900</wp:posOffset>
            </wp:positionV>
            <wp:extent cx="1003300" cy="3086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003300" cy="308610"/>
                    </a:xfrm>
                    <a:prstGeom prst="rect">
                      <a:avLst/>
                    </a:prstGeom>
                    <a:noFill/>
                  </pic:spPr>
                </pic:pic>
              </a:graphicData>
            </a:graphic>
          </wp:anchor>
        </w:drawing>
        <w:t>analytical tools, and you should not consider these non-GAAP financial measures in isolation or as alternatives to net income attributable to Tradeweb Markets Inc., net income, earnings per share, operating income, operating expenses or cash flow from operating activities or any other financial measure derived in accordance with GAAP. You are encouraged to evaluate each adjustment included in the reconciliations. In addition, in evaluating Adjusted EBITDA, Adjusted EBITDA margin, Adjusted EBIT, Adjusted EBIT margin, Adjusted Net Income, Adjusted Diluted EPS, Adjusted Expenses and Free Cash Flow, you should be aware that in the future, we may incur expenses similar to the adjustments in the presentation of these non-GAAP financial measures. Our presentation of non-GAAP financial measures should not be construed as an inference that our future results will be unaffected by unusual or non-recurring items. In addition, the non-GAAP financial measures contained in this release may not be comparable to similarly titled measures used by other companies in our industry or across different industries.</w:t>
      </w:r>
    </w:p>
    <w:p>
      <w:pPr>
        <w:spacing w:after="0" w:line="16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present certain growth information on a “constant currency” basis. Since our consolidated financial statements are presented in U.S. dollars, we must translate non-U.S. dollar revenues and expenses into U.S. dollars. Constant currency growth, which is a non-GAAP financial measure, is defined as growth excluding the effects of foreign currency fluctuations. Constant currency information is calculated by translating the current period and prior period’s results using the average exchange rates for 2018. We use constant currency growth as a supplemental metric to evaluate our underlying performance between periods by removing the impact of foreign currency fluctuations. We present certain constant currency growth information because we believe it provides investors and analysts a useful comparison of our results and trends between periods. This information should be considered in addition to, not as a substitute for, results reported in accordance with GAAP, and may not be comparable to similarly titled measures used by other companies.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Tradeweb Social Media</w:t>
      </w:r>
    </w:p>
    <w:p>
      <w:pPr>
        <w:spacing w:after="0" w:line="2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Investors and others should note that Tradeweb Markets announces material financial and operational information using its investor relations website, press releases, SEC filings and public conference calls and webcasts. Information about Tradeweb Markets, its business and its results of operations may also be announced by posts on the Company’s accounts on the following social media channels: Instagram, LinkedIn and Twitter. The information that we post through these social media channels may be deemed material. As a result, we encourage investors, the media, and others interested in Tradeweb Markets to monitor these social media channels in addition to following our press releases, SEC filings and public conference calls and webcasts. These social media channels may be updated from time to time on our investor relations website.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Tradeweb Markets</w:t>
      </w:r>
    </w:p>
    <w:p>
      <w:pPr>
        <w:spacing w:after="0" w:line="20"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Tradeweb Markets Inc. (Nasdaq: TW) is a leading, global operator of electronic marketplaces for rates, credit, equities and money markets. Founded in 1996, Tradeweb provides access to markets, data and analytics, electronic trading, straight-through-processing and reporting for more than 40 products to clients in the institutional, wholesale and retail markets. Advanced technologies developed by Tradeweb enhance price discovery, order execution and trade workflows while allowing for greater scale and helping to reduce risks in client trading operations. Tradeweb serves approximately 2,500 clients in more than 60 countries. On average, Tradeweb facilitated more than $700 billion in notional value traded per day over the past four fiscal quarters</w:t>
      </w:r>
      <w:r>
        <w:rPr>
          <w:rFonts w:ascii="Times New Roman" w:cs="Times New Roman" w:eastAsia="Times New Roman" w:hAnsi="Times New Roman"/>
          <w:sz w:val="18"/>
          <w:szCs w:val="18"/>
          <w:color w:val="auto"/>
        </w:rPr>
        <w:t>.</w:t>
      </w:r>
    </w:p>
    <w:p>
      <w:pPr>
        <w:sectPr>
          <w:pgSz w:w="11900" w:h="16838" w:orient="portrait"/>
          <w:cols w:equalWidth="0" w:num="1">
            <w:col w:w="9060"/>
          </w:cols>
          <w:pgMar w:left="1420" w:top="805" w:right="1419" w:bottom="1440" w:gutter="0" w:footer="0" w:header="0"/>
        </w:sect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Ashley Serrao, Tradeweb + 1 646 430 6027</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Ashley.Serrao@Tradeweb.com</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Jonathan Mairs, Tradeweb +1 646 430 6176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Jonathan.Mairs@Tradeweb.com</w:t>
      </w:r>
    </w:p>
    <w:p>
      <w:pPr>
        <w:spacing w:after="0" w:line="200" w:lineRule="exact"/>
        <w:rPr>
          <w:sz w:val="20"/>
          <w:szCs w:val="20"/>
          <w:color w:val="auto"/>
        </w:rPr>
      </w:pPr>
    </w:p>
    <w:p>
      <w:pPr>
        <w:sectPr>
          <w:pgSz w:w="11900" w:h="16838" w:orient="portrait"/>
          <w:cols w:equalWidth="0" w:num="2">
            <w:col w:w="3820" w:space="720"/>
            <w:col w:w="4520"/>
          </w:cols>
          <w:pgMar w:left="1420" w:top="805" w:right="1419" w:bottom="1440" w:gutter="0" w:footer="0" w:header="0"/>
          <w:type w:val="continuous"/>
        </w:sectPr>
      </w:pPr>
    </w:p>
    <w:p>
      <w:pPr>
        <w:spacing w:after="0" w:line="7" w:lineRule="exact"/>
        <w:rPr>
          <w:sz w:val="20"/>
          <w:szCs w:val="20"/>
          <w:color w:val="auto"/>
        </w:rPr>
      </w:pPr>
    </w:p>
    <w:p>
      <w:pPr>
        <w:jc w:val="center"/>
        <w:spacing w:after="0"/>
        <w:tabs>
          <w:tab w:leader="none" w:pos="160" w:val="left"/>
        </w:tabs>
        <w:rPr>
          <w:sz w:val="20"/>
          <w:szCs w:val="20"/>
          <w:color w:val="auto"/>
        </w:rPr>
      </w:pPr>
      <w:r>
        <w:rPr>
          <w:rFonts w:ascii="Times New Roman" w:cs="Times New Roman" w:eastAsia="Times New Roman" w:hAnsi="Times New Roman"/>
          <w:sz w:val="18"/>
          <w:szCs w:val="18"/>
          <w:color w:val="auto"/>
        </w:rPr>
        <w:t>#</w:t>
        <w:tab/>
        <w:t>#  #</w:t>
      </w:r>
    </w:p>
    <w:p>
      <w:pPr>
        <w:sectPr>
          <w:pgSz w:w="11900" w:h="16838" w:orient="portrait"/>
          <w:cols w:equalWidth="0" w:num="1">
            <w:col w:w="9060"/>
          </w:cols>
          <w:pgMar w:left="1420" w:top="805" w:right="1419" w:bottom="1440" w:gutter="0" w:footer="0" w:header="0"/>
          <w:type w:val="continuous"/>
        </w:sectPr>
      </w:pP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492760</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05" w:right="141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5654675</wp:posOffset>
            </wp:positionH>
            <wp:positionV relativeFrom="page">
              <wp:posOffset>88900</wp:posOffset>
            </wp:positionV>
            <wp:extent cx="1003300" cy="3086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003300" cy="308610"/>
                    </a:xfrm>
                    <a:prstGeom prst="rect">
                      <a:avLst/>
                    </a:prstGeom>
                    <a:noFill/>
                  </pic:spPr>
                </pic:pic>
              </a:graphicData>
            </a:graphic>
          </wp:anchor>
        </w:drawing>
        <w:t>TRADEWEB MARKETS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STATEMENT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7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gridSpan w:val="6"/>
            <w:vMerge w:val="restart"/>
          </w:tcPr>
          <w:p>
            <w:pPr>
              <w:jc w:val="right"/>
              <w:ind w:right="960"/>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gridSpan w:val="5"/>
            <w:vMerge w:val="restart"/>
          </w:tcPr>
          <w:p>
            <w:pPr>
              <w:jc w:val="right"/>
              <w:ind w:right="657"/>
              <w:spacing w:after="0"/>
              <w:rPr>
                <w:sz w:val="20"/>
                <w:szCs w:val="20"/>
                <w:color w:val="auto"/>
              </w:rPr>
            </w:pPr>
            <w:r>
              <w:rPr>
                <w:rFonts w:ascii="Times New Roman" w:cs="Times New Roman" w:eastAsia="Times New Roman" w:hAnsi="Times New Roman"/>
                <w:sz w:val="13"/>
                <w:szCs w:val="13"/>
                <w:b w:val="1"/>
                <w:bCs w:val="1"/>
                <w:color w:val="auto"/>
              </w:rPr>
              <w:t>Predecessor</w:t>
            </w:r>
          </w:p>
        </w:tc>
        <w:tc>
          <w:tcPr>
            <w:tcW w:w="0" w:type="dxa"/>
            <w:vAlign w:val="bottom"/>
          </w:tcPr>
          <w:p>
            <w:pPr>
              <w:spacing w:after="0" w:line="20" w:lineRule="exact"/>
              <w:rPr>
                <w:sz w:val="1"/>
                <w:szCs w:val="1"/>
                <w:color w:val="auto"/>
              </w:rPr>
            </w:pPr>
          </w:p>
        </w:tc>
      </w:tr>
      <w:tr>
        <w:trPr>
          <w:trHeight w:val="135"/>
        </w:trPr>
        <w:tc>
          <w:tcPr>
            <w:tcW w:w="27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20" w:type="dxa"/>
            <w:vAlign w:val="bottom"/>
            <w:gridSpan w:val="6"/>
            <w:vMerge w:val="continue"/>
          </w:tcPr>
          <w:p>
            <w:pPr>
              <w:spacing w:after="0"/>
              <w:rPr>
                <w:sz w:val="11"/>
                <w:szCs w:val="11"/>
                <w:color w:val="auto"/>
              </w:rPr>
            </w:pPr>
          </w:p>
        </w:tc>
        <w:tc>
          <w:tcPr>
            <w:tcW w:w="140" w:type="dxa"/>
            <w:vAlign w:val="bottom"/>
            <w:tcBorders>
              <w:lef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2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760" w:type="dxa"/>
            <w:vAlign w:val="bottom"/>
          </w:tcPr>
          <w:p>
            <w:pPr>
              <w:spacing w:after="0"/>
              <w:rPr>
                <w:sz w:val="9"/>
                <w:szCs w:val="9"/>
                <w:color w:val="auto"/>
              </w:rPr>
            </w:pPr>
          </w:p>
        </w:tc>
        <w:tc>
          <w:tcPr>
            <w:tcW w:w="17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gridSpan w:val="2"/>
          </w:tcPr>
          <w:p>
            <w:pPr>
              <w:jc w:val="center"/>
              <w:ind w:right="200"/>
              <w:spacing w:after="0" w:line="109" w:lineRule="exact"/>
              <w:rPr>
                <w:sz w:val="20"/>
                <w:szCs w:val="20"/>
                <w:color w:val="auto"/>
              </w:rPr>
            </w:pPr>
            <w:r>
              <w:rPr>
                <w:rFonts w:ascii="Times New Roman" w:cs="Times New Roman" w:eastAsia="Times New Roman" w:hAnsi="Times New Roman"/>
                <w:sz w:val="12"/>
                <w:szCs w:val="12"/>
                <w:b w:val="1"/>
                <w:bCs w:val="1"/>
                <w:color w:val="auto"/>
              </w:rPr>
              <w:t>Three Months</w:t>
            </w:r>
          </w:p>
        </w:tc>
        <w:tc>
          <w:tcPr>
            <w:tcW w:w="1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jc w:val="center"/>
              <w:ind w:right="17"/>
              <w:spacing w:after="0" w:line="109" w:lineRule="exact"/>
              <w:rPr>
                <w:sz w:val="20"/>
                <w:szCs w:val="20"/>
                <w:color w:val="auto"/>
              </w:rPr>
            </w:pPr>
            <w:r>
              <w:rPr>
                <w:rFonts w:ascii="Times New Roman" w:cs="Times New Roman" w:eastAsia="Times New Roman" w:hAnsi="Times New Roman"/>
                <w:sz w:val="12"/>
                <w:szCs w:val="12"/>
                <w:b w:val="1"/>
                <w:bCs w:val="1"/>
                <w:color w:val="auto"/>
              </w:rPr>
              <w:t>Nine Months</w:t>
            </w:r>
          </w:p>
        </w:tc>
        <w:tc>
          <w:tcPr>
            <w:tcW w:w="140" w:type="dxa"/>
            <w:vAlign w:val="bottom"/>
          </w:tcPr>
          <w:p>
            <w:pPr>
              <w:spacing w:after="0"/>
              <w:rPr>
                <w:sz w:val="9"/>
                <w:szCs w:val="9"/>
                <w:color w:val="auto"/>
              </w:rPr>
            </w:pPr>
          </w:p>
        </w:tc>
        <w:tc>
          <w:tcPr>
            <w:tcW w:w="140" w:type="dxa"/>
            <w:vAlign w:val="bottom"/>
            <w:tcBorders>
              <w:left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980" w:type="dxa"/>
            <w:vAlign w:val="bottom"/>
            <w:tcBorders>
              <w:top w:val="single" w:sz="8" w:color="auto"/>
            </w:tcBorders>
            <w:gridSpan w:val="2"/>
          </w:tcPr>
          <w:p>
            <w:pPr>
              <w:jc w:val="center"/>
              <w:ind w:right="180"/>
              <w:spacing w:after="0" w:line="109" w:lineRule="exact"/>
              <w:rPr>
                <w:sz w:val="20"/>
                <w:szCs w:val="20"/>
                <w:color w:val="auto"/>
              </w:rPr>
            </w:pPr>
            <w:r>
              <w:rPr>
                <w:rFonts w:ascii="Times New Roman" w:cs="Times New Roman" w:eastAsia="Times New Roman" w:hAnsi="Times New Roman"/>
                <w:sz w:val="12"/>
                <w:szCs w:val="12"/>
                <w:b w:val="1"/>
                <w:bCs w:val="1"/>
                <w:color w:val="auto"/>
              </w:rPr>
              <w:t>Three Months</w:t>
            </w:r>
          </w:p>
        </w:tc>
        <w:tc>
          <w:tcPr>
            <w:tcW w:w="1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Nine Months</w:t>
            </w:r>
          </w:p>
        </w:tc>
        <w:tc>
          <w:tcPr>
            <w:tcW w:w="0" w:type="dxa"/>
            <w:vAlign w:val="bottom"/>
          </w:tcPr>
          <w:p>
            <w:pPr>
              <w:spacing w:after="0"/>
              <w:rPr>
                <w:sz w:val="1"/>
                <w:szCs w:val="1"/>
                <w:color w:val="auto"/>
              </w:rPr>
            </w:pPr>
          </w:p>
        </w:tc>
      </w:tr>
      <w:tr>
        <w:trPr>
          <w:trHeight w:val="135"/>
        </w:trPr>
        <w:tc>
          <w:tcPr>
            <w:tcW w:w="27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3"/>
              </w:rPr>
              <w:t>Ended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9"/>
              </w:rPr>
              <w:t>Ended</w:t>
            </w:r>
          </w:p>
        </w:tc>
        <w:tc>
          <w:tcPr>
            <w:tcW w:w="140" w:type="dxa"/>
            <w:vAlign w:val="bottom"/>
            <w:tcBorders>
              <w:lef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9"/>
              </w:rPr>
              <w:t>Ended</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Ended</w:t>
            </w:r>
          </w:p>
        </w:tc>
        <w:tc>
          <w:tcPr>
            <w:tcW w:w="0" w:type="dxa"/>
            <w:vAlign w:val="bottom"/>
          </w:tcPr>
          <w:p>
            <w:pPr>
              <w:spacing w:after="0"/>
              <w:rPr>
                <w:sz w:val="1"/>
                <w:szCs w:val="1"/>
                <w:color w:val="auto"/>
              </w:rPr>
            </w:pPr>
          </w:p>
        </w:tc>
      </w:tr>
      <w:tr>
        <w:trPr>
          <w:trHeight w:val="135"/>
        </w:trPr>
        <w:tc>
          <w:tcPr>
            <w:tcW w:w="27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September 30,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September 30,</w:t>
            </w:r>
          </w:p>
        </w:tc>
        <w:tc>
          <w:tcPr>
            <w:tcW w:w="140" w:type="dxa"/>
            <w:vAlign w:val="bottom"/>
            <w:tcBorders>
              <w:lef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8"/>
              </w:rPr>
              <w:t>September 30,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September 30,</w:t>
            </w:r>
          </w:p>
        </w:tc>
        <w:tc>
          <w:tcPr>
            <w:tcW w:w="0" w:type="dxa"/>
            <w:vAlign w:val="bottom"/>
          </w:tcPr>
          <w:p>
            <w:pPr>
              <w:spacing w:after="0"/>
              <w:rPr>
                <w:sz w:val="1"/>
                <w:szCs w:val="1"/>
                <w:color w:val="auto"/>
              </w:rPr>
            </w:pPr>
          </w:p>
        </w:tc>
      </w:tr>
      <w:tr>
        <w:trPr>
          <w:trHeight w:val="155"/>
        </w:trPr>
        <w:tc>
          <w:tcPr>
            <w:tcW w:w="2760" w:type="dxa"/>
            <w:vAlign w:val="bottom"/>
            <w:tcBorders>
              <w:bottom w:val="single" w:sz="8" w:color="CCEEFF"/>
            </w:tcBorders>
          </w:tcPr>
          <w:p>
            <w:pPr>
              <w:spacing w:after="0"/>
              <w:rPr>
                <w:sz w:val="13"/>
                <w:szCs w:val="13"/>
                <w:color w:val="auto"/>
              </w:rPr>
            </w:pPr>
          </w:p>
        </w:tc>
        <w:tc>
          <w:tcPr>
            <w:tcW w:w="17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9"/>
              </w:rPr>
              <w:t>2019</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9"/>
              </w:rPr>
              <w:t>2019</w:t>
            </w:r>
          </w:p>
        </w:tc>
        <w:tc>
          <w:tcPr>
            <w:tcW w:w="140" w:type="dxa"/>
            <w:vAlign w:val="bottom"/>
            <w:tcBorders>
              <w:bottom w:val="single" w:sz="8" w:color="CCEEFF"/>
            </w:tcBorders>
          </w:tcPr>
          <w:p>
            <w:pPr>
              <w:spacing w:after="0"/>
              <w:rPr>
                <w:sz w:val="13"/>
                <w:szCs w:val="13"/>
                <w:color w:val="auto"/>
              </w:rPr>
            </w:pPr>
          </w:p>
        </w:tc>
        <w:tc>
          <w:tcPr>
            <w:tcW w:w="140" w:type="dxa"/>
            <w:vAlign w:val="bottom"/>
            <w:tcBorders>
              <w:left w:val="single" w:sz="8" w:color="auto"/>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2018</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2018</w:t>
            </w:r>
          </w:p>
        </w:tc>
        <w:tc>
          <w:tcPr>
            <w:tcW w:w="0" w:type="dxa"/>
            <w:vAlign w:val="bottom"/>
          </w:tcPr>
          <w:p>
            <w:pPr>
              <w:spacing w:after="0"/>
              <w:rPr>
                <w:sz w:val="1"/>
                <w:szCs w:val="1"/>
                <w:color w:val="auto"/>
              </w:rPr>
            </w:pPr>
          </w:p>
        </w:tc>
      </w:tr>
      <w:tr>
        <w:trPr>
          <w:trHeight w:val="129"/>
        </w:trPr>
        <w:tc>
          <w:tcPr>
            <w:tcW w:w="454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Revenues</w:t>
            </w: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tcBorders>
              <w:lef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Transaction fees</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112,746</w:t>
            </w:r>
          </w:p>
        </w:tc>
        <w:tc>
          <w:tcPr>
            <w:tcW w:w="100" w:type="dxa"/>
            <w:vAlign w:val="bottom"/>
          </w:tcPr>
          <w:p>
            <w:pPr>
              <w:spacing w:after="0"/>
              <w:rPr>
                <w:sz w:val="11"/>
                <w:szCs w:val="11"/>
                <w:color w:val="auto"/>
              </w:rPr>
            </w:pPr>
          </w:p>
        </w:tc>
        <w:tc>
          <w:tcPr>
            <w:tcW w:w="1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319,338</w:t>
            </w:r>
          </w:p>
        </w:tc>
        <w:tc>
          <w:tcPr>
            <w:tcW w:w="140" w:type="dxa"/>
            <w:vAlign w:val="bottom"/>
          </w:tcPr>
          <w:p>
            <w:pPr>
              <w:spacing w:after="0"/>
              <w:rPr>
                <w:sz w:val="11"/>
                <w:szCs w:val="11"/>
                <w:color w:val="auto"/>
              </w:rPr>
            </w:pPr>
          </w:p>
        </w:tc>
        <w:tc>
          <w:tcPr>
            <w:tcW w:w="200" w:type="dxa"/>
            <w:vAlign w:val="bottom"/>
            <w:tcBorders>
              <w:left w:val="single" w:sz="8" w:color="auto"/>
            </w:tcBorders>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92,582</w:t>
            </w:r>
          </w:p>
        </w:tc>
        <w:tc>
          <w:tcPr>
            <w:tcW w:w="100" w:type="dxa"/>
            <w:vAlign w:val="bottom"/>
          </w:tcPr>
          <w:p>
            <w:pPr>
              <w:spacing w:after="0"/>
              <w:rPr>
                <w:sz w:val="11"/>
                <w:szCs w:val="11"/>
                <w:color w:val="auto"/>
              </w:rPr>
            </w:pPr>
          </w:p>
        </w:tc>
        <w:tc>
          <w:tcPr>
            <w:tcW w:w="1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273,751</w:t>
            </w:r>
          </w:p>
        </w:tc>
        <w:tc>
          <w:tcPr>
            <w:tcW w:w="0" w:type="dxa"/>
            <w:vAlign w:val="bottom"/>
          </w:tcPr>
          <w:p>
            <w:pPr>
              <w:spacing w:after="0"/>
              <w:rPr>
                <w:sz w:val="1"/>
                <w:szCs w:val="1"/>
                <w:color w:val="auto"/>
              </w:rPr>
            </w:pPr>
          </w:p>
        </w:tc>
      </w:tr>
      <w:tr>
        <w:trPr>
          <w:trHeight w:val="135"/>
        </w:trPr>
        <w:tc>
          <w:tcPr>
            <w:tcW w:w="454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Subscription fees</w:t>
            </w: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35,387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104,398</w:t>
            </w:r>
          </w:p>
        </w:tc>
        <w:tc>
          <w:tcPr>
            <w:tcW w:w="140" w:type="dxa"/>
            <w:vAlign w:val="bottom"/>
            <w:shd w:val="clear" w:color="auto" w:fill="CCEEFF"/>
          </w:tcPr>
          <w:p>
            <w:pPr>
              <w:spacing w:after="0"/>
              <w:rPr>
                <w:sz w:val="11"/>
                <w:szCs w:val="11"/>
                <w:color w:val="auto"/>
              </w:rPr>
            </w:pPr>
          </w:p>
        </w:tc>
        <w:tc>
          <w:tcPr>
            <w:tcW w:w="140" w:type="dxa"/>
            <w:vAlign w:val="bottom"/>
            <w:tcBorders>
              <w:lef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33,157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107,130</w:t>
            </w:r>
          </w:p>
        </w:tc>
        <w:tc>
          <w:tcPr>
            <w:tcW w:w="0" w:type="dxa"/>
            <w:vAlign w:val="bottom"/>
          </w:tcPr>
          <w:p>
            <w:pPr>
              <w:spacing w:after="0"/>
              <w:rPr>
                <w:sz w:val="1"/>
                <w:szCs w:val="1"/>
                <w:color w:val="auto"/>
              </w:rPr>
            </w:pPr>
          </w:p>
        </w:tc>
      </w:tr>
      <w:tr>
        <w:trPr>
          <w:trHeight w:val="135"/>
        </w:trPr>
        <w:tc>
          <w:tcPr>
            <w:tcW w:w="454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Commissions</w:t>
            </w:r>
          </w:p>
        </w:tc>
        <w:tc>
          <w:tcPr>
            <w:tcW w:w="8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37,590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108,200</w:t>
            </w:r>
          </w:p>
        </w:tc>
        <w:tc>
          <w:tcPr>
            <w:tcW w:w="140" w:type="dxa"/>
            <w:vAlign w:val="bottom"/>
          </w:tcPr>
          <w:p>
            <w:pPr>
              <w:spacing w:after="0"/>
              <w:rPr>
                <w:sz w:val="11"/>
                <w:szCs w:val="11"/>
                <w:color w:val="auto"/>
              </w:rPr>
            </w:pPr>
          </w:p>
        </w:tc>
        <w:tc>
          <w:tcPr>
            <w:tcW w:w="140" w:type="dxa"/>
            <w:vAlign w:val="bottom"/>
            <w:tcBorders>
              <w:lef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24,394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79,830</w:t>
            </w:r>
          </w:p>
        </w:tc>
        <w:tc>
          <w:tcPr>
            <w:tcW w:w="0" w:type="dxa"/>
            <w:vAlign w:val="bottom"/>
          </w:tcPr>
          <w:p>
            <w:pPr>
              <w:spacing w:after="0"/>
              <w:rPr>
                <w:sz w:val="1"/>
                <w:szCs w:val="1"/>
                <w:color w:val="auto"/>
              </w:rPr>
            </w:pPr>
          </w:p>
        </w:tc>
      </w:tr>
      <w:tr>
        <w:trPr>
          <w:trHeight w:val="135"/>
        </w:trPr>
        <w:tc>
          <w:tcPr>
            <w:tcW w:w="454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Refinitiv market data fees</w:t>
            </w: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13,251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40,252</w:t>
            </w:r>
          </w:p>
        </w:tc>
        <w:tc>
          <w:tcPr>
            <w:tcW w:w="140" w:type="dxa"/>
            <w:vAlign w:val="bottom"/>
            <w:shd w:val="clear" w:color="auto" w:fill="CCEEFF"/>
          </w:tcPr>
          <w:p>
            <w:pPr>
              <w:spacing w:after="0"/>
              <w:rPr>
                <w:sz w:val="11"/>
                <w:szCs w:val="11"/>
                <w:color w:val="auto"/>
              </w:rPr>
            </w:pPr>
          </w:p>
        </w:tc>
        <w:tc>
          <w:tcPr>
            <w:tcW w:w="140" w:type="dxa"/>
            <w:vAlign w:val="bottom"/>
            <w:tcBorders>
              <w:lef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12,533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36,851</w:t>
            </w:r>
          </w:p>
        </w:tc>
        <w:tc>
          <w:tcPr>
            <w:tcW w:w="0" w:type="dxa"/>
            <w:vAlign w:val="bottom"/>
          </w:tcPr>
          <w:p>
            <w:pPr>
              <w:spacing w:after="0"/>
              <w:rPr>
                <w:sz w:val="1"/>
                <w:szCs w:val="1"/>
                <w:color w:val="auto"/>
              </w:rPr>
            </w:pPr>
          </w:p>
        </w:tc>
      </w:tr>
      <w:tr>
        <w:trPr>
          <w:trHeight w:val="135"/>
        </w:trPr>
        <w:tc>
          <w:tcPr>
            <w:tcW w:w="4540" w:type="dxa"/>
            <w:vAlign w:val="bottom"/>
            <w:tcBorders>
              <w:bottom w:val="single" w:sz="8" w:color="CCEEFF"/>
            </w:tcBorders>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w:t>
            </w:r>
          </w:p>
        </w:tc>
        <w:tc>
          <w:tcPr>
            <w:tcW w:w="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2,007</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6,070</w:t>
            </w:r>
          </w:p>
        </w:tc>
        <w:tc>
          <w:tcPr>
            <w:tcW w:w="140" w:type="dxa"/>
            <w:vAlign w:val="bottom"/>
            <w:tcBorders>
              <w:bottom w:val="single" w:sz="8" w:color="CCEEFF"/>
            </w:tcBorders>
          </w:tcPr>
          <w:p>
            <w:pPr>
              <w:spacing w:after="0"/>
              <w:rPr>
                <w:sz w:val="11"/>
                <w:szCs w:val="11"/>
                <w:color w:val="auto"/>
              </w:rPr>
            </w:pPr>
          </w:p>
        </w:tc>
        <w:tc>
          <w:tcPr>
            <w:tcW w:w="140" w:type="dxa"/>
            <w:vAlign w:val="bottom"/>
            <w:tcBorders>
              <w:left w:val="single" w:sz="8" w:color="auto"/>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2,587</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8,209</w:t>
            </w:r>
          </w:p>
        </w:tc>
        <w:tc>
          <w:tcPr>
            <w:tcW w:w="0" w:type="dxa"/>
            <w:vAlign w:val="bottom"/>
          </w:tcPr>
          <w:p>
            <w:pPr>
              <w:spacing w:after="0"/>
              <w:rPr>
                <w:sz w:val="1"/>
                <w:szCs w:val="1"/>
                <w:color w:val="auto"/>
              </w:rPr>
            </w:pPr>
          </w:p>
        </w:tc>
      </w:tr>
      <w:tr>
        <w:trPr>
          <w:trHeight w:val="129"/>
        </w:trPr>
        <w:tc>
          <w:tcPr>
            <w:tcW w:w="4540" w:type="dxa"/>
            <w:vAlign w:val="bottom"/>
            <w:gridSpan w:val="2"/>
            <w:shd w:val="clear" w:color="auto" w:fill="CCEEFF"/>
          </w:tcPr>
          <w:p>
            <w:pPr>
              <w:ind w:left="220"/>
              <w:spacing w:after="0" w:line="129" w:lineRule="exact"/>
              <w:rPr>
                <w:sz w:val="20"/>
                <w:szCs w:val="20"/>
                <w:color w:val="auto"/>
              </w:rPr>
            </w:pPr>
            <w:r>
              <w:rPr>
                <w:rFonts w:ascii="Times New Roman" w:cs="Times New Roman" w:eastAsia="Times New Roman" w:hAnsi="Times New Roman"/>
                <w:sz w:val="13"/>
                <w:szCs w:val="13"/>
                <w:b w:val="1"/>
                <w:bCs w:val="1"/>
                <w:color w:val="auto"/>
              </w:rPr>
              <w:t>Gross revenue</w:t>
            </w: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200,981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578,258</w:t>
            </w:r>
          </w:p>
        </w:tc>
        <w:tc>
          <w:tcPr>
            <w:tcW w:w="140" w:type="dxa"/>
            <w:vAlign w:val="bottom"/>
            <w:shd w:val="clear" w:color="auto" w:fill="CCEEFF"/>
          </w:tcPr>
          <w:p>
            <w:pPr>
              <w:spacing w:after="0"/>
              <w:rPr>
                <w:sz w:val="11"/>
                <w:szCs w:val="11"/>
                <w:color w:val="auto"/>
              </w:rPr>
            </w:pPr>
          </w:p>
        </w:tc>
        <w:tc>
          <w:tcPr>
            <w:tcW w:w="140" w:type="dxa"/>
            <w:vAlign w:val="bottom"/>
            <w:tcBorders>
              <w:lef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165,253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505,771</w:t>
            </w:r>
          </w:p>
        </w:tc>
        <w:tc>
          <w:tcPr>
            <w:tcW w:w="0" w:type="dxa"/>
            <w:vAlign w:val="bottom"/>
          </w:tcPr>
          <w:p>
            <w:pPr>
              <w:spacing w:after="0"/>
              <w:rPr>
                <w:sz w:val="1"/>
                <w:szCs w:val="1"/>
                <w:color w:val="auto"/>
              </w:rPr>
            </w:pPr>
          </w:p>
        </w:tc>
      </w:tr>
      <w:tr>
        <w:trPr>
          <w:trHeight w:val="135"/>
        </w:trPr>
        <w:tc>
          <w:tcPr>
            <w:tcW w:w="454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Contingent consideration</w:t>
            </w:r>
          </w:p>
        </w:tc>
        <w:tc>
          <w:tcPr>
            <w:tcW w:w="80" w:type="dxa"/>
            <w:vAlign w:val="bottom"/>
          </w:tcPr>
          <w:p>
            <w:pPr>
              <w:spacing w:after="0"/>
              <w:rPr>
                <w:sz w:val="11"/>
                <w:szCs w:val="11"/>
                <w:color w:val="auto"/>
              </w:rPr>
            </w:pPr>
          </w:p>
        </w:tc>
        <w:tc>
          <w:tcPr>
            <w:tcW w:w="10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lef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2,537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(26,830)</w:t>
            </w:r>
          </w:p>
        </w:tc>
        <w:tc>
          <w:tcPr>
            <w:tcW w:w="0" w:type="dxa"/>
            <w:vAlign w:val="bottom"/>
          </w:tcPr>
          <w:p>
            <w:pPr>
              <w:spacing w:after="0"/>
              <w:rPr>
                <w:sz w:val="1"/>
                <w:szCs w:val="1"/>
                <w:color w:val="auto"/>
              </w:rPr>
            </w:pPr>
          </w:p>
        </w:tc>
      </w:tr>
      <w:tr>
        <w:trPr>
          <w:trHeight w:val="129"/>
        </w:trPr>
        <w:tc>
          <w:tcPr>
            <w:tcW w:w="4540" w:type="dxa"/>
            <w:vAlign w:val="bottom"/>
            <w:tcBorders>
              <w:top w:val="single" w:sz="8" w:color="CCEEFF"/>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revenue</w:t>
            </w: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9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200,981</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9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578,258</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left w:val="single" w:sz="8" w:color="auto"/>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8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167,790</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8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478,941</w:t>
            </w:r>
          </w:p>
        </w:tc>
        <w:tc>
          <w:tcPr>
            <w:tcW w:w="0" w:type="dxa"/>
            <w:vAlign w:val="bottom"/>
          </w:tcPr>
          <w:p>
            <w:pPr>
              <w:spacing w:after="0"/>
              <w:rPr>
                <w:sz w:val="1"/>
                <w:szCs w:val="1"/>
                <w:color w:val="auto"/>
              </w:rPr>
            </w:pPr>
          </w:p>
        </w:tc>
      </w:tr>
      <w:tr>
        <w:trPr>
          <w:trHeight w:val="129"/>
        </w:trPr>
        <w:tc>
          <w:tcPr>
            <w:tcW w:w="27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lef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Expenses</w:t>
            </w: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tcBorders>
              <w:lef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Employee compensation and benefits</w:t>
            </w:r>
          </w:p>
        </w:tc>
        <w:tc>
          <w:tcPr>
            <w:tcW w:w="8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79,644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252,912</w:t>
            </w:r>
          </w:p>
        </w:tc>
        <w:tc>
          <w:tcPr>
            <w:tcW w:w="140" w:type="dxa"/>
            <w:vAlign w:val="bottom"/>
          </w:tcPr>
          <w:p>
            <w:pPr>
              <w:spacing w:after="0"/>
              <w:rPr>
                <w:sz w:val="11"/>
                <w:szCs w:val="11"/>
                <w:color w:val="auto"/>
              </w:rPr>
            </w:pPr>
          </w:p>
        </w:tc>
        <w:tc>
          <w:tcPr>
            <w:tcW w:w="140" w:type="dxa"/>
            <w:vAlign w:val="bottom"/>
            <w:tcBorders>
              <w:lef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69,076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209,053</w:t>
            </w:r>
          </w:p>
        </w:tc>
        <w:tc>
          <w:tcPr>
            <w:tcW w:w="0" w:type="dxa"/>
            <w:vAlign w:val="bottom"/>
          </w:tcPr>
          <w:p>
            <w:pPr>
              <w:spacing w:after="0"/>
              <w:rPr>
                <w:sz w:val="1"/>
                <w:szCs w:val="1"/>
                <w:color w:val="auto"/>
              </w:rPr>
            </w:pPr>
          </w:p>
        </w:tc>
      </w:tr>
      <w:tr>
        <w:trPr>
          <w:trHeight w:val="135"/>
        </w:trPr>
        <w:tc>
          <w:tcPr>
            <w:tcW w:w="454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Depreciation and amortization</w:t>
            </w: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35,133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102,928</w:t>
            </w:r>
          </w:p>
        </w:tc>
        <w:tc>
          <w:tcPr>
            <w:tcW w:w="140" w:type="dxa"/>
            <w:vAlign w:val="bottom"/>
            <w:shd w:val="clear" w:color="auto" w:fill="CCEEFF"/>
          </w:tcPr>
          <w:p>
            <w:pPr>
              <w:spacing w:after="0"/>
              <w:rPr>
                <w:sz w:val="11"/>
                <w:szCs w:val="11"/>
                <w:color w:val="auto"/>
              </w:rPr>
            </w:pPr>
          </w:p>
        </w:tc>
        <w:tc>
          <w:tcPr>
            <w:tcW w:w="140" w:type="dxa"/>
            <w:vAlign w:val="bottom"/>
            <w:tcBorders>
              <w:lef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16,362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48,808</w:t>
            </w:r>
          </w:p>
        </w:tc>
        <w:tc>
          <w:tcPr>
            <w:tcW w:w="0" w:type="dxa"/>
            <w:vAlign w:val="bottom"/>
          </w:tcPr>
          <w:p>
            <w:pPr>
              <w:spacing w:after="0"/>
              <w:rPr>
                <w:sz w:val="1"/>
                <w:szCs w:val="1"/>
                <w:color w:val="auto"/>
              </w:rPr>
            </w:pPr>
          </w:p>
        </w:tc>
      </w:tr>
      <w:tr>
        <w:trPr>
          <w:trHeight w:val="135"/>
        </w:trPr>
        <w:tc>
          <w:tcPr>
            <w:tcW w:w="454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Technology and communications</w:t>
            </w:r>
          </w:p>
        </w:tc>
        <w:tc>
          <w:tcPr>
            <w:tcW w:w="8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9,527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29,086</w:t>
            </w:r>
          </w:p>
        </w:tc>
        <w:tc>
          <w:tcPr>
            <w:tcW w:w="140" w:type="dxa"/>
            <w:vAlign w:val="bottom"/>
          </w:tcPr>
          <w:p>
            <w:pPr>
              <w:spacing w:after="0"/>
              <w:rPr>
                <w:sz w:val="11"/>
                <w:szCs w:val="11"/>
                <w:color w:val="auto"/>
              </w:rPr>
            </w:pPr>
          </w:p>
        </w:tc>
        <w:tc>
          <w:tcPr>
            <w:tcW w:w="140" w:type="dxa"/>
            <w:vAlign w:val="bottom"/>
            <w:tcBorders>
              <w:lef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9,112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26,598</w:t>
            </w:r>
          </w:p>
        </w:tc>
        <w:tc>
          <w:tcPr>
            <w:tcW w:w="0" w:type="dxa"/>
            <w:vAlign w:val="bottom"/>
          </w:tcPr>
          <w:p>
            <w:pPr>
              <w:spacing w:after="0"/>
              <w:rPr>
                <w:sz w:val="1"/>
                <w:szCs w:val="1"/>
                <w:color w:val="auto"/>
              </w:rPr>
            </w:pPr>
          </w:p>
        </w:tc>
      </w:tr>
      <w:tr>
        <w:trPr>
          <w:trHeight w:val="135"/>
        </w:trPr>
        <w:tc>
          <w:tcPr>
            <w:tcW w:w="454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General and administrative</w:t>
            </w: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7,507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25,961</w:t>
            </w:r>
          </w:p>
        </w:tc>
        <w:tc>
          <w:tcPr>
            <w:tcW w:w="140" w:type="dxa"/>
            <w:vAlign w:val="bottom"/>
            <w:shd w:val="clear" w:color="auto" w:fill="CCEEFF"/>
          </w:tcPr>
          <w:p>
            <w:pPr>
              <w:spacing w:after="0"/>
              <w:rPr>
                <w:sz w:val="11"/>
                <w:szCs w:val="11"/>
                <w:color w:val="auto"/>
              </w:rPr>
            </w:pPr>
          </w:p>
        </w:tc>
        <w:tc>
          <w:tcPr>
            <w:tcW w:w="140" w:type="dxa"/>
            <w:vAlign w:val="bottom"/>
            <w:tcBorders>
              <w:lef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9,386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23,056</w:t>
            </w:r>
          </w:p>
        </w:tc>
        <w:tc>
          <w:tcPr>
            <w:tcW w:w="0" w:type="dxa"/>
            <w:vAlign w:val="bottom"/>
          </w:tcPr>
          <w:p>
            <w:pPr>
              <w:spacing w:after="0"/>
              <w:rPr>
                <w:sz w:val="1"/>
                <w:szCs w:val="1"/>
                <w:color w:val="auto"/>
              </w:rPr>
            </w:pPr>
          </w:p>
        </w:tc>
      </w:tr>
      <w:tr>
        <w:trPr>
          <w:trHeight w:val="135"/>
        </w:trPr>
        <w:tc>
          <w:tcPr>
            <w:tcW w:w="454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Professional fees</w:t>
            </w:r>
          </w:p>
        </w:tc>
        <w:tc>
          <w:tcPr>
            <w:tcW w:w="8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7,272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20,981</w:t>
            </w:r>
          </w:p>
        </w:tc>
        <w:tc>
          <w:tcPr>
            <w:tcW w:w="140" w:type="dxa"/>
            <w:vAlign w:val="bottom"/>
          </w:tcPr>
          <w:p>
            <w:pPr>
              <w:spacing w:after="0"/>
              <w:rPr>
                <w:sz w:val="11"/>
                <w:szCs w:val="11"/>
                <w:color w:val="auto"/>
              </w:rPr>
            </w:pPr>
          </w:p>
        </w:tc>
        <w:tc>
          <w:tcPr>
            <w:tcW w:w="140" w:type="dxa"/>
            <w:vAlign w:val="bottom"/>
            <w:tcBorders>
              <w:lef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7,546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20,360</w:t>
            </w:r>
          </w:p>
        </w:tc>
        <w:tc>
          <w:tcPr>
            <w:tcW w:w="0" w:type="dxa"/>
            <w:vAlign w:val="bottom"/>
          </w:tcPr>
          <w:p>
            <w:pPr>
              <w:spacing w:after="0"/>
              <w:rPr>
                <w:sz w:val="1"/>
                <w:szCs w:val="1"/>
                <w:color w:val="auto"/>
              </w:rPr>
            </w:pPr>
          </w:p>
        </w:tc>
      </w:tr>
      <w:tr>
        <w:trPr>
          <w:trHeight w:val="135"/>
        </w:trPr>
        <w:tc>
          <w:tcPr>
            <w:tcW w:w="454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Occupancy</w:t>
            </w:r>
          </w:p>
        </w:tc>
        <w:tc>
          <w:tcPr>
            <w:tcW w:w="8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3,640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10,900</w:t>
            </w:r>
          </w:p>
        </w:tc>
        <w:tc>
          <w:tcPr>
            <w:tcW w:w="140" w:type="dxa"/>
            <w:vAlign w:val="bottom"/>
            <w:shd w:val="clear" w:color="auto" w:fill="CCEEFF"/>
          </w:tcPr>
          <w:p>
            <w:pPr>
              <w:spacing w:after="0"/>
              <w:rPr>
                <w:sz w:val="11"/>
                <w:szCs w:val="11"/>
                <w:color w:val="auto"/>
              </w:rPr>
            </w:pPr>
          </w:p>
        </w:tc>
        <w:tc>
          <w:tcPr>
            <w:tcW w:w="140" w:type="dxa"/>
            <w:vAlign w:val="bottom"/>
            <w:tcBorders>
              <w:left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3,491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10,732</w:t>
            </w:r>
          </w:p>
        </w:tc>
        <w:tc>
          <w:tcPr>
            <w:tcW w:w="0" w:type="dxa"/>
            <w:vAlign w:val="bottom"/>
          </w:tcPr>
          <w:p>
            <w:pPr>
              <w:spacing w:after="0"/>
              <w:rPr>
                <w:sz w:val="1"/>
                <w:szCs w:val="1"/>
                <w:color w:val="auto"/>
              </w:rPr>
            </w:pPr>
          </w:p>
        </w:tc>
      </w:tr>
      <w:tr>
        <w:trPr>
          <w:trHeight w:val="129"/>
        </w:trPr>
        <w:tc>
          <w:tcPr>
            <w:tcW w:w="4540" w:type="dxa"/>
            <w:vAlign w:val="bottom"/>
            <w:tcBorders>
              <w:bottom w:val="single" w:sz="8" w:color="CCEEFF"/>
            </w:tcBorders>
            <w:gridSpan w:val="2"/>
          </w:tcPr>
          <w:p>
            <w:pPr>
              <w:ind w:left="220"/>
              <w:spacing w:after="0" w:line="129" w:lineRule="exact"/>
              <w:rPr>
                <w:sz w:val="20"/>
                <w:szCs w:val="20"/>
                <w:color w:val="auto"/>
              </w:rPr>
            </w:pPr>
            <w:r>
              <w:rPr>
                <w:rFonts w:ascii="Times New Roman" w:cs="Times New Roman" w:eastAsia="Times New Roman" w:hAnsi="Times New Roman"/>
                <w:sz w:val="13"/>
                <w:szCs w:val="13"/>
                <w:b w:val="1"/>
                <w:bCs w:val="1"/>
                <w:color w:val="auto"/>
              </w:rPr>
              <w:t>Total expenses</w:t>
            </w:r>
          </w:p>
        </w:tc>
        <w:tc>
          <w:tcPr>
            <w:tcW w:w="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142,723</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442,768</w:t>
            </w:r>
          </w:p>
        </w:tc>
        <w:tc>
          <w:tcPr>
            <w:tcW w:w="140" w:type="dxa"/>
            <w:vAlign w:val="bottom"/>
            <w:tcBorders>
              <w:bottom w:val="single" w:sz="8" w:color="CCEEFF"/>
            </w:tcBorders>
          </w:tcPr>
          <w:p>
            <w:pPr>
              <w:spacing w:after="0"/>
              <w:rPr>
                <w:sz w:val="11"/>
                <w:szCs w:val="11"/>
                <w:color w:val="auto"/>
              </w:rPr>
            </w:pPr>
          </w:p>
        </w:tc>
        <w:tc>
          <w:tcPr>
            <w:tcW w:w="140" w:type="dxa"/>
            <w:vAlign w:val="bottom"/>
            <w:tcBorders>
              <w:left w:val="single" w:sz="8" w:color="auto"/>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114,973</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338,607</w:t>
            </w:r>
          </w:p>
        </w:tc>
        <w:tc>
          <w:tcPr>
            <w:tcW w:w="0" w:type="dxa"/>
            <w:vAlign w:val="bottom"/>
          </w:tcPr>
          <w:p>
            <w:pPr>
              <w:spacing w:after="0"/>
              <w:rPr>
                <w:sz w:val="1"/>
                <w:szCs w:val="1"/>
                <w:color w:val="auto"/>
              </w:rPr>
            </w:pPr>
          </w:p>
        </w:tc>
      </w:tr>
      <w:tr>
        <w:trPr>
          <w:trHeight w:val="129"/>
        </w:trPr>
        <w:tc>
          <w:tcPr>
            <w:tcW w:w="454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Operating income</w:t>
            </w:r>
          </w:p>
        </w:tc>
        <w:tc>
          <w:tcPr>
            <w:tcW w:w="8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58,258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135,490</w:t>
            </w:r>
          </w:p>
        </w:tc>
        <w:tc>
          <w:tcPr>
            <w:tcW w:w="140" w:type="dxa"/>
            <w:vAlign w:val="bottom"/>
            <w:shd w:val="clear" w:color="auto" w:fill="CCEEFF"/>
          </w:tcPr>
          <w:p>
            <w:pPr>
              <w:spacing w:after="0"/>
              <w:rPr>
                <w:sz w:val="11"/>
                <w:szCs w:val="11"/>
                <w:color w:val="auto"/>
              </w:rPr>
            </w:pPr>
          </w:p>
        </w:tc>
        <w:tc>
          <w:tcPr>
            <w:tcW w:w="140" w:type="dxa"/>
            <w:vAlign w:val="bottom"/>
            <w:tcBorders>
              <w:left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52,817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140,334</w:t>
            </w:r>
          </w:p>
        </w:tc>
        <w:tc>
          <w:tcPr>
            <w:tcW w:w="0" w:type="dxa"/>
            <w:vAlign w:val="bottom"/>
          </w:tcPr>
          <w:p>
            <w:pPr>
              <w:spacing w:after="0"/>
              <w:rPr>
                <w:sz w:val="1"/>
                <w:szCs w:val="1"/>
                <w:color w:val="auto"/>
              </w:rPr>
            </w:pPr>
          </w:p>
        </w:tc>
      </w:tr>
      <w:tr>
        <w:trPr>
          <w:trHeight w:val="129"/>
        </w:trPr>
        <w:tc>
          <w:tcPr>
            <w:tcW w:w="4540" w:type="dxa"/>
            <w:vAlign w:val="bottom"/>
            <w:tcBorders>
              <w:bottom w:val="single" w:sz="8" w:color="CCEEFF"/>
            </w:tcBorders>
            <w:gridSpan w:val="2"/>
          </w:tcPr>
          <w:p>
            <w:pPr>
              <w:ind w:left="120"/>
              <w:spacing w:after="0" w:line="129" w:lineRule="exact"/>
              <w:rPr>
                <w:sz w:val="20"/>
                <w:szCs w:val="20"/>
                <w:color w:val="auto"/>
              </w:rPr>
            </w:pPr>
            <w:r>
              <w:rPr>
                <w:rFonts w:ascii="Times New Roman" w:cs="Times New Roman" w:eastAsia="Times New Roman" w:hAnsi="Times New Roman"/>
                <w:sz w:val="13"/>
                <w:szCs w:val="13"/>
                <w:color w:val="auto"/>
              </w:rPr>
              <w:t>Net interest income</w:t>
            </w:r>
          </w:p>
        </w:tc>
        <w:tc>
          <w:tcPr>
            <w:tcW w:w="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636</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1,669</w:t>
            </w:r>
          </w:p>
        </w:tc>
        <w:tc>
          <w:tcPr>
            <w:tcW w:w="140" w:type="dxa"/>
            <w:vAlign w:val="bottom"/>
            <w:tcBorders>
              <w:bottom w:val="single" w:sz="8" w:color="CCEEFF"/>
            </w:tcBorders>
          </w:tcPr>
          <w:p>
            <w:pPr>
              <w:spacing w:after="0"/>
              <w:rPr>
                <w:sz w:val="11"/>
                <w:szCs w:val="11"/>
                <w:color w:val="auto"/>
              </w:rPr>
            </w:pPr>
          </w:p>
        </w:tc>
        <w:tc>
          <w:tcPr>
            <w:tcW w:w="140" w:type="dxa"/>
            <w:vAlign w:val="bottom"/>
            <w:tcBorders>
              <w:left w:val="single" w:sz="8" w:color="auto"/>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673</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1,726</w:t>
            </w:r>
          </w:p>
        </w:tc>
        <w:tc>
          <w:tcPr>
            <w:tcW w:w="0" w:type="dxa"/>
            <w:vAlign w:val="bottom"/>
          </w:tcPr>
          <w:p>
            <w:pPr>
              <w:spacing w:after="0"/>
              <w:rPr>
                <w:sz w:val="1"/>
                <w:szCs w:val="1"/>
                <w:color w:val="auto"/>
              </w:rPr>
            </w:pPr>
          </w:p>
        </w:tc>
      </w:tr>
      <w:tr>
        <w:trPr>
          <w:trHeight w:val="129"/>
        </w:trPr>
        <w:tc>
          <w:tcPr>
            <w:tcW w:w="454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Income before taxes</w:t>
            </w: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58,894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137,159</w:t>
            </w:r>
          </w:p>
        </w:tc>
        <w:tc>
          <w:tcPr>
            <w:tcW w:w="140" w:type="dxa"/>
            <w:vAlign w:val="bottom"/>
            <w:shd w:val="clear" w:color="auto" w:fill="CCEEFF"/>
          </w:tcPr>
          <w:p>
            <w:pPr>
              <w:spacing w:after="0"/>
              <w:rPr>
                <w:sz w:val="11"/>
                <w:szCs w:val="11"/>
                <w:color w:val="auto"/>
              </w:rPr>
            </w:pPr>
          </w:p>
        </w:tc>
        <w:tc>
          <w:tcPr>
            <w:tcW w:w="140" w:type="dxa"/>
            <w:vAlign w:val="bottom"/>
            <w:tcBorders>
              <w:lef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53,490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142,060</w:t>
            </w:r>
          </w:p>
        </w:tc>
        <w:tc>
          <w:tcPr>
            <w:tcW w:w="0" w:type="dxa"/>
            <w:vAlign w:val="bottom"/>
          </w:tcPr>
          <w:p>
            <w:pPr>
              <w:spacing w:after="0"/>
              <w:rPr>
                <w:sz w:val="1"/>
                <w:szCs w:val="1"/>
                <w:color w:val="auto"/>
              </w:rPr>
            </w:pPr>
          </w:p>
        </w:tc>
      </w:tr>
      <w:tr>
        <w:trPr>
          <w:trHeight w:val="135"/>
        </w:trPr>
        <w:tc>
          <w:tcPr>
            <w:tcW w:w="454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Provision for income taxes</w:t>
            </w:r>
          </w:p>
        </w:tc>
        <w:tc>
          <w:tcPr>
            <w:tcW w:w="80" w:type="dxa"/>
            <w:vAlign w:val="bottom"/>
          </w:tcPr>
          <w:p>
            <w:pPr>
              <w:spacing w:after="0"/>
              <w:rPr>
                <w:sz w:val="11"/>
                <w:szCs w:val="11"/>
                <w:color w:val="auto"/>
              </w:rPr>
            </w:pPr>
          </w:p>
        </w:tc>
        <w:tc>
          <w:tcPr>
            <w:tcW w:w="10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(10,316)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(21,413)</w:t>
            </w:r>
          </w:p>
        </w:tc>
        <w:tc>
          <w:tcPr>
            <w:tcW w:w="140" w:type="dxa"/>
            <w:vAlign w:val="bottom"/>
            <w:tcBorders>
              <w:lef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(7,535)</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(11,900)</w:t>
            </w:r>
          </w:p>
        </w:tc>
        <w:tc>
          <w:tcPr>
            <w:tcW w:w="0" w:type="dxa"/>
            <w:vAlign w:val="bottom"/>
          </w:tcPr>
          <w:p>
            <w:pPr>
              <w:spacing w:after="0"/>
              <w:rPr>
                <w:sz w:val="1"/>
                <w:szCs w:val="1"/>
                <w:color w:val="auto"/>
              </w:rPr>
            </w:pPr>
          </w:p>
        </w:tc>
      </w:tr>
      <w:tr>
        <w:trPr>
          <w:trHeight w:val="149"/>
        </w:trPr>
        <w:tc>
          <w:tcPr>
            <w:tcW w:w="4540" w:type="dxa"/>
            <w:vAlign w:val="bottom"/>
            <w:tcBorders>
              <w:top w:val="single" w:sz="8" w:color="CCEEFF"/>
              <w:bottom w:val="single" w:sz="8" w:color="CCEEFF"/>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income</w:t>
            </w: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48,578</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90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115,746</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left w:val="single" w:sz="8" w:color="auto"/>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45,955</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130,160</w:t>
            </w:r>
          </w:p>
        </w:tc>
        <w:tc>
          <w:tcPr>
            <w:tcW w:w="0" w:type="dxa"/>
            <w:vAlign w:val="bottom"/>
          </w:tcPr>
          <w:p>
            <w:pPr>
              <w:spacing w:after="0"/>
              <w:rPr>
                <w:sz w:val="1"/>
                <w:szCs w:val="1"/>
                <w:color w:val="auto"/>
              </w:rPr>
            </w:pPr>
          </w:p>
        </w:tc>
      </w:tr>
      <w:tr>
        <w:trPr>
          <w:trHeight w:val="122"/>
        </w:trPr>
        <w:tc>
          <w:tcPr>
            <w:tcW w:w="454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Less: Pre-IPO net income attributable to Tradeweb Markets LLC</w:t>
            </w:r>
          </w:p>
        </w:tc>
        <w:tc>
          <w:tcPr>
            <w:tcW w:w="80" w:type="dxa"/>
            <w:vAlign w:val="bottom"/>
          </w:tcPr>
          <w:p>
            <w:pPr>
              <w:spacing w:after="0"/>
              <w:rPr>
                <w:sz w:val="10"/>
                <w:szCs w:val="10"/>
                <w:color w:val="auto"/>
              </w:rPr>
            </w:pPr>
          </w:p>
        </w:tc>
        <w:tc>
          <w:tcPr>
            <w:tcW w:w="100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42,352</w:t>
            </w:r>
          </w:p>
        </w:tc>
        <w:tc>
          <w:tcPr>
            <w:tcW w:w="140" w:type="dxa"/>
            <w:vAlign w:val="bottom"/>
          </w:tcPr>
          <w:p>
            <w:pPr>
              <w:spacing w:after="0"/>
              <w:rPr>
                <w:sz w:val="10"/>
                <w:szCs w:val="10"/>
                <w:color w:val="auto"/>
              </w:rPr>
            </w:pPr>
          </w:p>
        </w:tc>
        <w:tc>
          <w:tcPr>
            <w:tcW w:w="140" w:type="dxa"/>
            <w:vAlign w:val="bottom"/>
            <w:tcBorders>
              <w:lef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540" w:type="dxa"/>
            <w:vAlign w:val="bottom"/>
            <w:tcBorders>
              <w:top w:val="single" w:sz="8" w:color="CCEEFF"/>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Net income attributable to Tradeweb Markets Inc. and non-controlling interests</w:t>
            </w:r>
          </w:p>
        </w:tc>
        <w:tc>
          <w:tcPr>
            <w:tcW w:w="8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48,578</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73,394</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left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Borders>
              <w:bottom w:val="single" w:sz="8" w:color="CCEEFF"/>
            </w:tcBorders>
            <w:gridSpan w:val="2"/>
          </w:tcPr>
          <w:p>
            <w:pPr>
              <w:spacing w:after="0" w:line="135" w:lineRule="exact"/>
              <w:rPr>
                <w:sz w:val="20"/>
                <w:szCs w:val="20"/>
                <w:color w:val="auto"/>
              </w:rPr>
            </w:pPr>
            <w:r>
              <w:rPr>
                <w:rFonts w:ascii="Times New Roman" w:cs="Times New Roman" w:eastAsia="Times New Roman" w:hAnsi="Times New Roman"/>
                <w:sz w:val="13"/>
                <w:szCs w:val="13"/>
                <w:color w:val="auto"/>
              </w:rPr>
              <w:t>Less: Net income attributable to non-controlling interests</w:t>
            </w:r>
          </w:p>
        </w:tc>
        <w:tc>
          <w:tcPr>
            <w:tcW w:w="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18,966</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30,954</w:t>
            </w:r>
          </w:p>
        </w:tc>
        <w:tc>
          <w:tcPr>
            <w:tcW w:w="140" w:type="dxa"/>
            <w:vAlign w:val="bottom"/>
            <w:tcBorders>
              <w:bottom w:val="single" w:sz="8" w:color="CCEEFF"/>
            </w:tcBorders>
          </w:tcPr>
          <w:p>
            <w:pPr>
              <w:spacing w:after="0"/>
              <w:rPr>
                <w:sz w:val="11"/>
                <w:szCs w:val="11"/>
                <w:color w:val="auto"/>
              </w:rPr>
            </w:pPr>
          </w:p>
        </w:tc>
        <w:tc>
          <w:tcPr>
            <w:tcW w:w="140" w:type="dxa"/>
            <w:vAlign w:val="bottom"/>
            <w:tcBorders>
              <w:left w:val="single" w:sz="8" w:color="auto"/>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40" w:type="dxa"/>
            <w:vAlign w:val="bottom"/>
            <w:tcBorders>
              <w:bottom w:val="single" w:sz="8" w:color="CCEEFF"/>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income attributable to Tradeweb Markets Inc.</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29,612</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9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42,440</w:t>
            </w:r>
          </w:p>
        </w:tc>
        <w:tc>
          <w:tcPr>
            <w:tcW w:w="1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left w:val="single" w:sz="8" w:color="auto"/>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45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 xml:space="preserve">EPS calculations for pre-IPO and post-IPO periods </w:t>
            </w:r>
            <w:r>
              <w:rPr>
                <w:rFonts w:ascii="Times New Roman" w:cs="Times New Roman" w:eastAsia="Times New Roman" w:hAnsi="Times New Roman"/>
                <w:sz w:val="14"/>
                <w:szCs w:val="14"/>
                <w:b w:val="1"/>
                <w:bCs w:val="1"/>
                <w:color w:val="auto"/>
                <w:vertAlign w:val="superscript"/>
              </w:rPr>
              <w:t>(1)</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Borders>
              <w:lef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276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Earnings per share</w:t>
            </w:r>
          </w:p>
        </w:tc>
        <w:tc>
          <w:tcPr>
            <w:tcW w:w="1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 xml:space="preserve">0.19 </w:t>
            </w:r>
            <w:r>
              <w:rPr>
                <w:rFonts w:ascii="Times New Roman" w:cs="Times New Roman" w:eastAsia="Times New Roman" w:hAnsi="Times New Roman"/>
                <w:sz w:val="14"/>
                <w:szCs w:val="14"/>
                <w:color w:val="auto"/>
                <w:vertAlign w:val="superscript"/>
              </w:rPr>
              <w:t>(a)</w:t>
            </w:r>
            <w:r>
              <w:rPr>
                <w:rFonts w:ascii="Times New Roman" w:cs="Times New Roman" w:eastAsia="Times New Roman" w:hAnsi="Times New Roman"/>
                <w:sz w:val="13"/>
                <w:szCs w:val="13"/>
                <w:color w:val="auto"/>
              </w:rPr>
              <w:t xml:space="preserve"> /</w:t>
            </w:r>
          </w:p>
        </w:tc>
        <w:tc>
          <w:tcPr>
            <w:tcW w:w="140" w:type="dxa"/>
            <w:vAlign w:val="bottom"/>
            <w:tcBorders>
              <w:lef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760" w:type="dxa"/>
            <w:vAlign w:val="bottom"/>
          </w:tcPr>
          <w:p>
            <w:pPr>
              <w:spacing w:after="0"/>
              <w:rPr>
                <w:sz w:val="9"/>
                <w:szCs w:val="9"/>
                <w:color w:val="auto"/>
              </w:rPr>
            </w:pPr>
          </w:p>
        </w:tc>
        <w:tc>
          <w:tcPr>
            <w:tcW w:w="178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40" w:type="dxa"/>
            <w:vAlign w:val="bottom"/>
            <w:tcBorders>
              <w:lef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45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Basic</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 xml:space="preserve">0.21 </w:t>
            </w:r>
            <w:r>
              <w:rPr>
                <w:rFonts w:ascii="Times New Roman" w:cs="Times New Roman" w:eastAsia="Times New Roman" w:hAnsi="Times New Roman"/>
                <w:sz w:val="14"/>
                <w:szCs w:val="14"/>
                <w:color w:val="auto"/>
                <w:vertAlign w:val="superscript"/>
              </w:rPr>
              <w:t>(b)</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 xml:space="preserve">0.30 </w:t>
            </w:r>
            <w:r>
              <w:rPr>
                <w:rFonts w:ascii="Times New Roman" w:cs="Times New Roman" w:eastAsia="Times New Roman" w:hAnsi="Times New Roman"/>
                <w:sz w:val="14"/>
                <w:szCs w:val="14"/>
                <w:color w:val="auto"/>
                <w:vertAlign w:val="superscript"/>
              </w:rPr>
              <w:t>(b)</w:t>
            </w:r>
          </w:p>
        </w:tc>
        <w:tc>
          <w:tcPr>
            <w:tcW w:w="200" w:type="dxa"/>
            <w:vAlign w:val="bottom"/>
            <w:tcBorders>
              <w:left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 xml:space="preserve">0.21 </w:t>
            </w:r>
            <w:r>
              <w:rPr>
                <w:rFonts w:ascii="Times New Roman" w:cs="Times New Roman" w:eastAsia="Times New Roman" w:hAnsi="Times New Roman"/>
                <w:sz w:val="14"/>
                <w:szCs w:val="14"/>
                <w:color w:val="auto"/>
                <w:vertAlign w:val="superscript"/>
              </w:rPr>
              <w:t>(a)</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xml:space="preserve">0.60 </w:t>
            </w:r>
            <w:r>
              <w:rPr>
                <w:rFonts w:ascii="Times New Roman" w:cs="Times New Roman" w:eastAsia="Times New Roman" w:hAnsi="Times New Roman"/>
                <w:sz w:val="14"/>
                <w:szCs w:val="14"/>
                <w:color w:val="auto"/>
                <w:vertAlign w:val="superscript"/>
              </w:rPr>
              <w:t>(a)</w:t>
            </w:r>
          </w:p>
        </w:tc>
        <w:tc>
          <w:tcPr>
            <w:tcW w:w="0" w:type="dxa"/>
            <w:vAlign w:val="bottom"/>
          </w:tcPr>
          <w:p>
            <w:pPr>
              <w:spacing w:after="0"/>
              <w:rPr>
                <w:sz w:val="1"/>
                <w:szCs w:val="1"/>
                <w:color w:val="auto"/>
              </w:rPr>
            </w:pPr>
          </w:p>
        </w:tc>
      </w:tr>
      <w:tr>
        <w:trPr>
          <w:trHeight w:val="108"/>
        </w:trPr>
        <w:tc>
          <w:tcPr>
            <w:tcW w:w="2760" w:type="dxa"/>
            <w:vAlign w:val="bottom"/>
          </w:tcPr>
          <w:p>
            <w:pPr>
              <w:spacing w:after="0"/>
              <w:rPr>
                <w:sz w:val="9"/>
                <w:szCs w:val="9"/>
                <w:color w:val="auto"/>
              </w:rPr>
            </w:pPr>
          </w:p>
        </w:tc>
        <w:tc>
          <w:tcPr>
            <w:tcW w:w="17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 xml:space="preserve">0.19 </w:t>
            </w:r>
            <w:r>
              <w:rPr>
                <w:rFonts w:ascii="Times New Roman" w:cs="Times New Roman" w:eastAsia="Times New Roman" w:hAnsi="Times New Roman"/>
                <w:sz w:val="12"/>
                <w:szCs w:val="12"/>
                <w:color w:val="auto"/>
                <w:vertAlign w:val="superscript"/>
              </w:rPr>
              <w:t>(a)</w:t>
            </w:r>
            <w:r>
              <w:rPr>
                <w:rFonts w:ascii="Times New Roman" w:cs="Times New Roman" w:eastAsia="Times New Roman" w:hAnsi="Times New Roman"/>
                <w:sz w:val="11"/>
                <w:szCs w:val="11"/>
                <w:color w:val="auto"/>
              </w:rPr>
              <w:t xml:space="preserve"> /</w:t>
            </w:r>
          </w:p>
        </w:tc>
        <w:tc>
          <w:tcPr>
            <w:tcW w:w="140" w:type="dxa"/>
            <w:vAlign w:val="bottom"/>
          </w:tcPr>
          <w:p>
            <w:pPr>
              <w:spacing w:after="0"/>
              <w:rPr>
                <w:sz w:val="9"/>
                <w:szCs w:val="9"/>
                <w:color w:val="auto"/>
              </w:rPr>
            </w:pPr>
          </w:p>
        </w:tc>
        <w:tc>
          <w:tcPr>
            <w:tcW w:w="140" w:type="dxa"/>
            <w:vAlign w:val="bottom"/>
            <w:tcBorders>
              <w:left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45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Diluted</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xml:space="preserve">0.20 </w:t>
            </w:r>
            <w:r>
              <w:rPr>
                <w:rFonts w:ascii="Times New Roman" w:cs="Times New Roman" w:eastAsia="Times New Roman" w:hAnsi="Times New Roman"/>
                <w:sz w:val="14"/>
                <w:szCs w:val="14"/>
                <w:color w:val="auto"/>
                <w:vertAlign w:val="superscript"/>
              </w:rPr>
              <w:t>(b)</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xml:space="preserve">0.28 </w:t>
            </w:r>
            <w:r>
              <w:rPr>
                <w:rFonts w:ascii="Times New Roman" w:cs="Times New Roman" w:eastAsia="Times New Roman" w:hAnsi="Times New Roman"/>
                <w:sz w:val="14"/>
                <w:szCs w:val="14"/>
                <w:color w:val="auto"/>
                <w:vertAlign w:val="superscript"/>
              </w:rPr>
              <w:t>(b)</w:t>
            </w:r>
          </w:p>
        </w:tc>
        <w:tc>
          <w:tcPr>
            <w:tcW w:w="140" w:type="dxa"/>
            <w:vAlign w:val="bottom"/>
          </w:tcPr>
          <w:p>
            <w:pPr>
              <w:spacing w:after="0"/>
              <w:rPr>
                <w:sz w:val="14"/>
                <w:szCs w:val="14"/>
                <w:color w:val="auto"/>
              </w:rPr>
            </w:pPr>
          </w:p>
        </w:tc>
        <w:tc>
          <w:tcPr>
            <w:tcW w:w="200" w:type="dxa"/>
            <w:vAlign w:val="bottom"/>
            <w:tcBorders>
              <w:left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 xml:space="preserve">0.21 </w:t>
            </w:r>
            <w:r>
              <w:rPr>
                <w:rFonts w:ascii="Times New Roman" w:cs="Times New Roman" w:eastAsia="Times New Roman" w:hAnsi="Times New Roman"/>
                <w:sz w:val="14"/>
                <w:szCs w:val="14"/>
                <w:color w:val="auto"/>
                <w:vertAlign w:val="superscript"/>
              </w:rPr>
              <w:t>(a)</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xml:space="preserve">0.60 </w:t>
            </w:r>
            <w:r>
              <w:rPr>
                <w:rFonts w:ascii="Times New Roman" w:cs="Times New Roman" w:eastAsia="Times New Roman" w:hAnsi="Times New Roman"/>
                <w:sz w:val="14"/>
                <w:szCs w:val="14"/>
                <w:color w:val="auto"/>
                <w:vertAlign w:val="superscript"/>
              </w:rPr>
              <w:t>(a)</w:t>
            </w:r>
          </w:p>
        </w:tc>
        <w:tc>
          <w:tcPr>
            <w:tcW w:w="0" w:type="dxa"/>
            <w:vAlign w:val="bottom"/>
          </w:tcPr>
          <w:p>
            <w:pPr>
              <w:spacing w:after="0"/>
              <w:rPr>
                <w:sz w:val="1"/>
                <w:szCs w:val="1"/>
                <w:color w:val="auto"/>
              </w:rPr>
            </w:pPr>
          </w:p>
        </w:tc>
      </w:tr>
      <w:tr>
        <w:trPr>
          <w:trHeight w:val="135"/>
        </w:trPr>
        <w:tc>
          <w:tcPr>
            <w:tcW w:w="454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Weighted average shares outstanding</w:t>
            </w:r>
          </w:p>
        </w:tc>
        <w:tc>
          <w:tcPr>
            <w:tcW w:w="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 xml:space="preserve">142,935,206 </w:t>
            </w:r>
            <w:r>
              <w:rPr>
                <w:rFonts w:ascii="Times New Roman" w:cs="Times New Roman" w:eastAsia="Times New Roman" w:hAnsi="Times New Roman"/>
                <w:sz w:val="14"/>
                <w:szCs w:val="14"/>
                <w:color w:val="auto"/>
                <w:vertAlign w:val="superscript"/>
              </w:rPr>
              <w:t>(b)</w:t>
            </w:r>
          </w:p>
        </w:tc>
        <w:tc>
          <w:tcPr>
            <w:tcW w:w="10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w w:val="98"/>
              </w:rPr>
              <w:t xml:space="preserve">222,222,197 </w:t>
            </w:r>
            <w:r>
              <w:rPr>
                <w:rFonts w:ascii="Times New Roman" w:cs="Times New Roman" w:eastAsia="Times New Roman" w:hAnsi="Times New Roman"/>
                <w:sz w:val="14"/>
                <w:szCs w:val="14"/>
                <w:color w:val="auto"/>
                <w:w w:val="98"/>
                <w:vertAlign w:val="superscript"/>
              </w:rPr>
              <w:t>(a)</w:t>
            </w:r>
            <w:r>
              <w:rPr>
                <w:rFonts w:ascii="Times New Roman" w:cs="Times New Roman" w:eastAsia="Times New Roman" w:hAnsi="Times New Roman"/>
                <w:sz w:val="13"/>
                <w:szCs w:val="13"/>
                <w:color w:val="auto"/>
                <w:w w:val="98"/>
              </w:rPr>
              <w:t xml:space="preserve"> /</w:t>
            </w:r>
          </w:p>
        </w:tc>
        <w:tc>
          <w:tcPr>
            <w:tcW w:w="140" w:type="dxa"/>
            <w:vAlign w:val="bottom"/>
            <w:vMerge w:val="restart"/>
          </w:tcPr>
          <w:p>
            <w:pPr>
              <w:spacing w:after="0"/>
              <w:rPr>
                <w:sz w:val="11"/>
                <w:szCs w:val="11"/>
                <w:color w:val="auto"/>
              </w:rPr>
            </w:pPr>
          </w:p>
        </w:tc>
        <w:tc>
          <w:tcPr>
            <w:tcW w:w="140" w:type="dxa"/>
            <w:vAlign w:val="bottom"/>
            <w:tcBorders>
              <w:left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 xml:space="preserve">219,165,997 </w:t>
            </w:r>
            <w:r>
              <w:rPr>
                <w:rFonts w:ascii="Times New Roman" w:cs="Times New Roman" w:eastAsia="Times New Roman" w:hAnsi="Times New Roman"/>
                <w:sz w:val="14"/>
                <w:szCs w:val="14"/>
                <w:color w:val="auto"/>
                <w:vertAlign w:val="superscript"/>
              </w:rPr>
              <w:t>(a)</w:t>
            </w:r>
          </w:p>
        </w:tc>
        <w:tc>
          <w:tcPr>
            <w:tcW w:w="10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 xml:space="preserve">215,365,920 </w:t>
            </w:r>
            <w:r>
              <w:rPr>
                <w:rFonts w:ascii="Times New Roman" w:cs="Times New Roman" w:eastAsia="Times New Roman" w:hAnsi="Times New Roman"/>
                <w:sz w:val="14"/>
                <w:szCs w:val="14"/>
                <w:color w:val="auto"/>
                <w:vertAlign w:val="superscript"/>
              </w:rPr>
              <w:t>(a)</w:t>
            </w:r>
          </w:p>
        </w:tc>
        <w:tc>
          <w:tcPr>
            <w:tcW w:w="0" w:type="dxa"/>
            <w:vAlign w:val="bottom"/>
          </w:tcPr>
          <w:p>
            <w:pPr>
              <w:spacing w:after="0"/>
              <w:rPr>
                <w:sz w:val="1"/>
                <w:szCs w:val="1"/>
                <w:color w:val="auto"/>
              </w:rPr>
            </w:pPr>
          </w:p>
        </w:tc>
      </w:tr>
      <w:tr>
        <w:trPr>
          <w:trHeight w:val="108"/>
        </w:trPr>
        <w:tc>
          <w:tcPr>
            <w:tcW w:w="2760" w:type="dxa"/>
            <w:vAlign w:val="bottom"/>
          </w:tcPr>
          <w:p>
            <w:pPr>
              <w:spacing w:after="0"/>
              <w:rPr>
                <w:sz w:val="9"/>
                <w:szCs w:val="9"/>
                <w:color w:val="auto"/>
              </w:rPr>
            </w:pPr>
          </w:p>
        </w:tc>
        <w:tc>
          <w:tcPr>
            <w:tcW w:w="178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140" w:type="dxa"/>
            <w:vAlign w:val="bottom"/>
            <w:tcBorders>
              <w:lef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54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Basic</w:t>
            </w:r>
          </w:p>
        </w:tc>
        <w:tc>
          <w:tcPr>
            <w:tcW w:w="8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 xml:space="preserve">142,934,221 </w:t>
            </w:r>
            <w:r>
              <w:rPr>
                <w:rFonts w:ascii="Times New Roman" w:cs="Times New Roman" w:eastAsia="Times New Roman" w:hAnsi="Times New Roman"/>
                <w:sz w:val="14"/>
                <w:szCs w:val="14"/>
                <w:color w:val="auto"/>
                <w:vertAlign w:val="superscript"/>
              </w:rPr>
              <w:t>(b)</w:t>
            </w:r>
          </w:p>
        </w:tc>
        <w:tc>
          <w:tcPr>
            <w:tcW w:w="140" w:type="dxa"/>
            <w:vAlign w:val="bottom"/>
            <w:tcBorders>
              <w:lef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 xml:space="preserve">151,362,643 </w:t>
            </w:r>
            <w:r>
              <w:rPr>
                <w:rFonts w:ascii="Times New Roman" w:cs="Times New Roman" w:eastAsia="Times New Roman" w:hAnsi="Times New Roman"/>
                <w:sz w:val="14"/>
                <w:szCs w:val="14"/>
                <w:color w:val="auto"/>
                <w:vertAlign w:val="superscript"/>
              </w:rPr>
              <w:t>(b)</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w w:val="98"/>
              </w:rPr>
              <w:t xml:space="preserve">223,320,457 </w:t>
            </w:r>
            <w:r>
              <w:rPr>
                <w:rFonts w:ascii="Times New Roman" w:cs="Times New Roman" w:eastAsia="Times New Roman" w:hAnsi="Times New Roman"/>
                <w:sz w:val="14"/>
                <w:szCs w:val="14"/>
                <w:color w:val="auto"/>
                <w:w w:val="98"/>
                <w:vertAlign w:val="superscript"/>
              </w:rPr>
              <w:t>(a)</w:t>
            </w:r>
            <w:r>
              <w:rPr>
                <w:rFonts w:ascii="Times New Roman" w:cs="Times New Roman" w:eastAsia="Times New Roman" w:hAnsi="Times New Roman"/>
                <w:sz w:val="13"/>
                <w:szCs w:val="13"/>
                <w:color w:val="auto"/>
                <w:w w:val="98"/>
              </w:rPr>
              <w:t xml:space="preserve"> /</w:t>
            </w:r>
          </w:p>
        </w:tc>
        <w:tc>
          <w:tcPr>
            <w:tcW w:w="140" w:type="dxa"/>
            <w:vAlign w:val="bottom"/>
            <w:tcBorders>
              <w:lef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 xml:space="preserve">219,165,997 </w:t>
            </w:r>
            <w:r>
              <w:rPr>
                <w:rFonts w:ascii="Times New Roman" w:cs="Times New Roman" w:eastAsia="Times New Roman" w:hAnsi="Times New Roman"/>
                <w:sz w:val="14"/>
                <w:szCs w:val="14"/>
                <w:color w:val="auto"/>
                <w:vertAlign w:val="superscript"/>
              </w:rPr>
              <w:t>(a)</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 xml:space="preserve">215,365,920 </w:t>
            </w:r>
            <w:r>
              <w:rPr>
                <w:rFonts w:ascii="Times New Roman" w:cs="Times New Roman" w:eastAsia="Times New Roman" w:hAnsi="Times New Roman"/>
                <w:sz w:val="14"/>
                <w:szCs w:val="14"/>
                <w:color w:val="auto"/>
                <w:vertAlign w:val="superscript"/>
              </w:rPr>
              <w:t>(a)</w:t>
            </w:r>
          </w:p>
        </w:tc>
        <w:tc>
          <w:tcPr>
            <w:tcW w:w="0" w:type="dxa"/>
            <w:vAlign w:val="bottom"/>
          </w:tcPr>
          <w:p>
            <w:pPr>
              <w:spacing w:after="0"/>
              <w:rPr>
                <w:sz w:val="1"/>
                <w:szCs w:val="1"/>
                <w:color w:val="auto"/>
              </w:rPr>
            </w:pPr>
          </w:p>
        </w:tc>
      </w:tr>
      <w:tr>
        <w:trPr>
          <w:trHeight w:val="162"/>
        </w:trPr>
        <w:tc>
          <w:tcPr>
            <w:tcW w:w="45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Diluted</w:t>
            </w: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 xml:space="preserve">151,158,760 </w:t>
            </w:r>
            <w:r>
              <w:rPr>
                <w:rFonts w:ascii="Times New Roman" w:cs="Times New Roman" w:eastAsia="Times New Roman" w:hAnsi="Times New Roman"/>
                <w:sz w:val="14"/>
                <w:szCs w:val="14"/>
                <w:color w:val="auto"/>
                <w:vertAlign w:val="superscript"/>
              </w:rPr>
              <w:t>(b)</w:t>
            </w:r>
          </w:p>
        </w:tc>
        <w:tc>
          <w:tcPr>
            <w:tcW w:w="140" w:type="dxa"/>
            <w:vAlign w:val="bottom"/>
            <w:tcBorders>
              <w:lef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-977265</wp:posOffset>
            </wp:positionV>
            <wp:extent cx="5754370" cy="857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8572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-436880</wp:posOffset>
            </wp:positionV>
            <wp:extent cx="5754370" cy="946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9461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-170815</wp:posOffset>
            </wp:positionV>
            <wp:extent cx="575437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1714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-805180</wp:posOffset>
            </wp:positionV>
            <wp:extent cx="5754370" cy="188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188595"/>
                    </a:xfrm>
                    <a:prstGeom prst="rect">
                      <a:avLst/>
                    </a:prstGeom>
                    <a:noFill/>
                  </pic:spPr>
                </pic:pic>
              </a:graphicData>
            </a:graphic>
          </wp:anchor>
        </w:drawing>
      </w:r>
    </w:p>
    <w:p>
      <w:pPr>
        <w:spacing w:after="0" w:line="92" w:lineRule="exact"/>
        <w:rPr>
          <w:sz w:val="20"/>
          <w:szCs w:val="20"/>
          <w:color w:val="auto"/>
        </w:rPr>
      </w:pPr>
    </w:p>
    <w:p>
      <w:pPr>
        <w:ind w:left="400" w:right="20" w:hanging="316"/>
        <w:spacing w:after="0" w:line="236" w:lineRule="auto"/>
        <w:tabs>
          <w:tab w:leader="none" w:pos="4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April 2019, the Company completed the Reorganization Transactions and the IPO, which, among other things, resulted in Tradeweb Markets Inc. becoming the successor of Tradeweb Markets LLC for financial reporting purposes. As a result, earnings per share information for the pre-IPO period is not comparable to the earnings per share information for the post-IPO period. Therefore, earnings per share information is being presented separately for the pre-IPO and post-IPO periods.</w:t>
      </w:r>
    </w:p>
    <w:p>
      <w:pPr>
        <w:spacing w:after="0" w:line="109" w:lineRule="exact"/>
        <w:rPr>
          <w:rFonts w:ascii="Times New Roman" w:cs="Times New Roman" w:eastAsia="Times New Roman" w:hAnsi="Times New Roman"/>
          <w:sz w:val="14"/>
          <w:szCs w:val="14"/>
          <w:color w:val="auto"/>
        </w:rPr>
      </w:pPr>
    </w:p>
    <w:p>
      <w:pPr>
        <w:ind w:left="1060" w:hanging="328"/>
        <w:spacing w:after="0"/>
        <w:tabs>
          <w:tab w:leader="none" w:pos="106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Presents information for Tradeweb Markets LLC (pre-IPO period).</w:t>
      </w:r>
    </w:p>
    <w:p>
      <w:pPr>
        <w:spacing w:after="0" w:line="136" w:lineRule="exact"/>
        <w:rPr>
          <w:rFonts w:ascii="Times New Roman" w:cs="Times New Roman" w:eastAsia="Times New Roman" w:hAnsi="Times New Roman"/>
          <w:sz w:val="14"/>
          <w:szCs w:val="14"/>
          <w:color w:val="auto"/>
        </w:rPr>
      </w:pPr>
    </w:p>
    <w:p>
      <w:pPr>
        <w:ind w:left="1060" w:hanging="328"/>
        <w:spacing w:after="0"/>
        <w:tabs>
          <w:tab w:leader="none" w:pos="106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Presents information for Tradeweb Markets Inc (post-IPO period).</w:t>
      </w:r>
    </w:p>
    <w:p>
      <w:pPr>
        <w:spacing w:after="0" w:line="13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See “Basic and Diluted EPS Calculations” below for additional information.</w:t>
      </w:r>
    </w:p>
    <w:p>
      <w:pPr>
        <w:spacing w:after="0" w:line="2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478155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06" w:right="14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5654675</wp:posOffset>
            </wp:positionH>
            <wp:positionV relativeFrom="page">
              <wp:posOffset>88900</wp:posOffset>
            </wp:positionV>
            <wp:extent cx="1003300" cy="3086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003300" cy="308610"/>
                    </a:xfrm>
                    <a:prstGeom prst="rect">
                      <a:avLst/>
                    </a:prstGeom>
                    <a:noFill/>
                  </pic:spPr>
                </pic:pic>
              </a:graphicData>
            </a:graphic>
          </wp:anchor>
        </w:drawing>
        <w:t>TRADEWEB MARKETS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tcBorders>
              <w:right w:val="single" w:sz="8" w:color="auto"/>
            </w:tcBorders>
            <w:gridSpan w:val="5"/>
          </w:tcPr>
          <w:p>
            <w:pPr>
              <w:jc w:val="right"/>
              <w:ind w:right="81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5"/>
          </w:tcPr>
          <w:p>
            <w:pPr>
              <w:jc w:val="right"/>
              <w:ind w:right="69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44"/>
        </w:trPr>
        <w:tc>
          <w:tcPr>
            <w:tcW w:w="4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center"/>
              <w:ind w:right="230"/>
              <w:spacing w:after="0" w:line="145" w:lineRule="exact"/>
              <w:rPr>
                <w:sz w:val="20"/>
                <w:szCs w:val="20"/>
                <w:color w:val="auto"/>
              </w:rPr>
            </w:pPr>
            <w:r>
              <w:rPr>
                <w:rFonts w:ascii="Times New Roman" w:cs="Times New Roman" w:eastAsia="Times New Roman" w:hAnsi="Times New Roman"/>
                <w:sz w:val="14"/>
                <w:szCs w:val="14"/>
                <w:b w:val="1"/>
                <w:bCs w:val="1"/>
                <w:color w:val="auto"/>
              </w:rPr>
              <w:t>Three</w:t>
            </w: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center"/>
              <w:ind w:right="35"/>
              <w:spacing w:after="0" w:line="145" w:lineRule="exact"/>
              <w:rPr>
                <w:sz w:val="20"/>
                <w:szCs w:val="20"/>
                <w:color w:val="auto"/>
              </w:rPr>
            </w:pPr>
            <w:r>
              <w:rPr>
                <w:rFonts w:ascii="Times New Roman" w:cs="Times New Roman" w:eastAsia="Times New Roman" w:hAnsi="Times New Roman"/>
                <w:sz w:val="14"/>
                <w:szCs w:val="14"/>
                <w:b w:val="1"/>
                <w:bCs w:val="1"/>
                <w:color w:val="auto"/>
                <w:w w:val="99"/>
              </w:rPr>
              <w:t>Nine</w:t>
            </w:r>
          </w:p>
        </w:tc>
        <w:tc>
          <w:tcPr>
            <w:tcW w:w="22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center"/>
              <w:ind w:right="230"/>
              <w:spacing w:after="0" w:line="145" w:lineRule="exact"/>
              <w:rPr>
                <w:sz w:val="20"/>
                <w:szCs w:val="20"/>
                <w:color w:val="auto"/>
              </w:rPr>
            </w:pPr>
            <w:r>
              <w:rPr>
                <w:rFonts w:ascii="Times New Roman" w:cs="Times New Roman" w:eastAsia="Times New Roman" w:hAnsi="Times New Roman"/>
                <w:sz w:val="14"/>
                <w:szCs w:val="14"/>
                <w:b w:val="1"/>
                <w:bCs w:val="1"/>
                <w:color w:val="auto"/>
              </w:rPr>
              <w:t>Three</w:t>
            </w: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center"/>
              <w:ind w:right="74"/>
              <w:spacing w:after="0" w:line="145" w:lineRule="exact"/>
              <w:rPr>
                <w:sz w:val="20"/>
                <w:szCs w:val="20"/>
                <w:color w:val="auto"/>
              </w:rPr>
            </w:pPr>
            <w:r>
              <w:rPr>
                <w:rFonts w:ascii="Times New Roman" w:cs="Times New Roman" w:eastAsia="Times New Roman" w:hAnsi="Times New Roman"/>
                <w:sz w:val="14"/>
                <w:szCs w:val="14"/>
                <w:b w:val="1"/>
                <w:bCs w:val="1"/>
                <w:color w:val="auto"/>
              </w:rPr>
              <w:t>Nine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140" w:type="dxa"/>
            <w:vAlign w:val="bottom"/>
          </w:tcPr>
          <w:p>
            <w:pPr>
              <w:spacing w:after="0"/>
              <w:rPr>
                <w:sz w:val="14"/>
                <w:szCs w:val="14"/>
                <w:color w:val="auto"/>
              </w:rPr>
            </w:pPr>
          </w:p>
        </w:tc>
        <w:tc>
          <w:tcPr>
            <w:tcW w:w="980" w:type="dxa"/>
            <w:vAlign w:val="bottom"/>
            <w:tcBorders>
              <w:right w:val="single" w:sz="8" w:color="auto"/>
            </w:tcBorders>
            <w:gridSpan w:val="2"/>
          </w:tcPr>
          <w:p>
            <w:pPr>
              <w:jc w:val="center"/>
              <w:ind w:right="270"/>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160" w:type="dxa"/>
            <w:vAlign w:val="bottom"/>
          </w:tcPr>
          <w:p>
            <w:pPr>
              <w:spacing w:after="0"/>
              <w:rPr>
                <w:sz w:val="14"/>
                <w:szCs w:val="14"/>
                <w:color w:val="auto"/>
              </w:rPr>
            </w:pPr>
          </w:p>
        </w:tc>
        <w:tc>
          <w:tcPr>
            <w:tcW w:w="900" w:type="dxa"/>
            <w:vAlign w:val="bottom"/>
            <w:gridSpan w:val="2"/>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0" w:type="dxa"/>
            <w:vAlign w:val="bottom"/>
          </w:tcPr>
          <w:p>
            <w:pPr>
              <w:spacing w:after="0"/>
              <w:rPr>
                <w:sz w:val="1"/>
                <w:szCs w:val="1"/>
                <w:color w:val="auto"/>
              </w:rPr>
            </w:pPr>
          </w:p>
        </w:tc>
      </w:tr>
      <w:tr>
        <w:trPr>
          <w:trHeight w:val="162"/>
        </w:trPr>
        <w:tc>
          <w:tcPr>
            <w:tcW w:w="4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40" w:type="dxa"/>
            <w:vAlign w:val="bottom"/>
          </w:tcPr>
          <w:p>
            <w:pPr>
              <w:spacing w:after="0"/>
              <w:rPr>
                <w:sz w:val="14"/>
                <w:szCs w:val="14"/>
                <w:color w:val="auto"/>
              </w:rPr>
            </w:pPr>
          </w:p>
        </w:tc>
        <w:tc>
          <w:tcPr>
            <w:tcW w:w="980" w:type="dxa"/>
            <w:vAlign w:val="bottom"/>
            <w:tcBorders>
              <w:right w:val="single" w:sz="8" w:color="auto"/>
            </w:tcBorders>
            <w:gridSpan w:val="2"/>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60" w:type="dxa"/>
            <w:vAlign w:val="bottom"/>
          </w:tcPr>
          <w:p>
            <w:pPr>
              <w:spacing w:after="0"/>
              <w:rPr>
                <w:sz w:val="14"/>
                <w:szCs w:val="14"/>
                <w:color w:val="auto"/>
              </w:rPr>
            </w:pPr>
          </w:p>
        </w:tc>
        <w:tc>
          <w:tcPr>
            <w:tcW w:w="900" w:type="dxa"/>
            <w:vAlign w:val="bottom"/>
            <w:gridSpan w:val="2"/>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62"/>
        </w:trPr>
        <w:tc>
          <w:tcPr>
            <w:tcW w:w="4440" w:type="dxa"/>
            <w:vAlign w:val="bottom"/>
            <w:vMerge w:val="restart"/>
          </w:tcPr>
          <w:p>
            <w:pPr>
              <w:spacing w:after="0"/>
              <w:rPr>
                <w:sz w:val="20"/>
                <w:szCs w:val="20"/>
                <w:color w:val="auto"/>
              </w:rPr>
            </w:pPr>
            <w:r>
              <w:rPr>
                <w:rFonts w:ascii="Arial" w:cs="Arial" w:eastAsia="Arial" w:hAnsi="Arial"/>
                <w:sz w:val="14"/>
                <w:szCs w:val="14"/>
                <w:b w:val="1"/>
                <w:bCs w:val="1"/>
                <w:color w:val="auto"/>
              </w:rPr>
              <w:t>Reconciliation of Net Income to Adjusted EBITDA, Adjusted</w:t>
            </w:r>
          </w:p>
        </w:tc>
        <w:tc>
          <w:tcPr>
            <w:tcW w:w="122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2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44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20" w:type="dxa"/>
            <w:vAlign w:val="bottom"/>
            <w:tcBorders>
              <w:bottom w:val="single" w:sz="8" w:color="auto"/>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40" w:type="dxa"/>
            <w:vAlign w:val="bottom"/>
          </w:tcPr>
          <w:p>
            <w:pPr>
              <w:spacing w:after="0" w:line="142" w:lineRule="exact"/>
              <w:rPr>
                <w:sz w:val="20"/>
                <w:szCs w:val="20"/>
                <w:color w:val="auto"/>
              </w:rPr>
            </w:pPr>
            <w:r>
              <w:rPr>
                <w:rFonts w:ascii="Arial" w:cs="Arial" w:eastAsia="Arial" w:hAnsi="Arial"/>
                <w:sz w:val="14"/>
                <w:szCs w:val="14"/>
                <w:b w:val="1"/>
                <w:bCs w:val="1"/>
                <w:color w:val="auto"/>
              </w:rPr>
              <w:t>EBITDA Margin, Adjusted EBIT and Adjusted EBIT Margin</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0" w:type="dxa"/>
            <w:vAlign w:val="bottom"/>
            <w:gridSpan w:val="6"/>
          </w:tcPr>
          <w:p>
            <w:pPr>
              <w:jc w:val="right"/>
              <w:ind w:right="73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top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48,578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115,746</w:t>
            </w:r>
          </w:p>
        </w:tc>
        <w:tc>
          <w:tcPr>
            <w:tcW w:w="220" w:type="dxa"/>
            <w:vAlign w:val="bottom"/>
            <w:tcBorders>
              <w:top w:val="single" w:sz="8" w:color="CCEEFF"/>
              <w:right w:val="single" w:sz="8" w:color="auto"/>
            </w:tcBorders>
            <w:shd w:val="clear" w:color="auto" w:fill="CCEEFF"/>
          </w:tcPr>
          <w:p>
            <w:pPr>
              <w:spacing w:after="0"/>
              <w:rPr>
                <w:sz w:val="18"/>
                <w:szCs w:val="18"/>
                <w:color w:val="auto"/>
              </w:rPr>
            </w:pPr>
          </w:p>
        </w:tc>
        <w:tc>
          <w:tcPr>
            <w:tcW w:w="3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45,955</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130,160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22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35,133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102,928</w:t>
            </w:r>
          </w:p>
        </w:tc>
        <w:tc>
          <w:tcPr>
            <w:tcW w:w="2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r>
              <w:rPr>
                <w:rFonts w:ascii="Times New Roman" w:cs="Times New Roman" w:eastAsia="Times New Roman" w:hAnsi="Times New Roman"/>
                <w:sz w:val="8"/>
                <w:szCs w:val="8"/>
                <w:color w:val="auto"/>
              </w:rPr>
              <w:t>(1)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22,398</w:t>
            </w:r>
          </w:p>
        </w:tc>
        <w:tc>
          <w:tcPr>
            <w:tcW w:w="22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21,413</w:t>
            </w:r>
          </w:p>
        </w:tc>
        <w:tc>
          <w:tcPr>
            <w:tcW w:w="2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foreign exchange (gains) / losses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22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(Gain) / loss from revaluation of foreign denominated cash</w:t>
            </w:r>
            <w:r>
              <w:rPr>
                <w:rFonts w:ascii="Times New Roman" w:cs="Times New Roman" w:eastAsia="Times New Roman" w:hAnsi="Times New Roman"/>
                <w:sz w:val="8"/>
                <w:szCs w:val="8"/>
                <w:color w:val="auto"/>
              </w:rPr>
              <w:t>(2)</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220" w:type="dxa"/>
            <w:vAlign w:val="bottom"/>
            <w:tcBorders>
              <w:bottom w:val="single" w:sz="8" w:color="CCEEFF"/>
              <w:right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93,449</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260,721</w:t>
            </w:r>
          </w:p>
        </w:tc>
        <w:tc>
          <w:tcPr>
            <w:tcW w:w="220" w:type="dxa"/>
            <w:vAlign w:val="bottom"/>
            <w:tcBorders>
              <w:bottom w:val="single" w:sz="8" w:color="CCEEFF"/>
              <w:right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66,583</w:t>
            </w: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214,091</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440" w:type="dxa"/>
            <w:vAlign w:val="bottom"/>
            <w:tcBorders>
              <w:top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Less: Depreciation and amortization</w:t>
            </w: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(35,133)</w:t>
            </w: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(102,928)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(16,362)</w:t>
            </w: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(48,808)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Acquisition and Refinitiv Transaction related D&amp;A</w:t>
            </w:r>
            <w:r>
              <w:rPr>
                <w:rFonts w:ascii="Times New Roman" w:cs="Times New Roman" w:eastAsia="Times New Roman" w:hAnsi="Times New Roman"/>
                <w:sz w:val="8"/>
                <w:szCs w:val="8"/>
                <w:color w:val="auto"/>
              </w:rPr>
              <w:t>(3)</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24,780</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72,122</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6,513</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Adjusted EBIT</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83,096</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229,915</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56,734</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184,859</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margin</w:t>
            </w:r>
            <w:r>
              <w:rPr>
                <w:rFonts w:ascii="Times New Roman" w:cs="Times New Roman" w:eastAsia="Times New Roman" w:hAnsi="Times New Roman"/>
                <w:sz w:val="8"/>
                <w:szCs w:val="8"/>
                <w:color w:val="auto"/>
              </w:rPr>
              <w:t>(4)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4"/>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 margin</w:t>
            </w:r>
            <w:r>
              <w:rPr>
                <w:rFonts w:ascii="Times New Roman" w:cs="Times New Roman" w:eastAsia="Times New Roman" w:hAnsi="Times New Roman"/>
                <w:sz w:val="8"/>
                <w:szCs w:val="8"/>
                <w:color w:val="auto"/>
              </w:rPr>
              <w:t>(4)</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41.3 %</w:t>
            </w:r>
          </w:p>
        </w:tc>
        <w:tc>
          <w:tcPr>
            <w:tcW w:w="1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39.8 %</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34.3 %</w:t>
            </w:r>
          </w:p>
        </w:tc>
        <w:tc>
          <w:tcPr>
            <w:tcW w:w="16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36.5 %</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60" w:hanging="333"/>
        <w:spacing w:after="0"/>
        <w:tabs>
          <w:tab w:leader="none" w:pos="6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non-cash stock-based compensation expense associated with the Special Option Award and post-IPO options awarded in 2019.</w:t>
      </w:r>
    </w:p>
    <w:p>
      <w:pPr>
        <w:spacing w:after="0" w:line="203" w:lineRule="exact"/>
        <w:rPr>
          <w:rFonts w:ascii="Times New Roman" w:cs="Times New Roman" w:eastAsia="Times New Roman" w:hAnsi="Times New Roman"/>
          <w:sz w:val="14"/>
          <w:szCs w:val="14"/>
          <w:color w:val="auto"/>
        </w:rPr>
      </w:pPr>
    </w:p>
    <w:p>
      <w:pPr>
        <w:ind w:left="660" w:hanging="333"/>
        <w:spacing w:after="0"/>
        <w:tabs>
          <w:tab w:leader="none" w:pos="6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foreign exchange gain or loss from the revaluation of cash denominated in a different currency than the entity’s functional currency.</w:t>
      </w:r>
    </w:p>
    <w:p>
      <w:pPr>
        <w:spacing w:after="0" w:line="203" w:lineRule="exact"/>
        <w:rPr>
          <w:rFonts w:ascii="Times New Roman" w:cs="Times New Roman" w:eastAsia="Times New Roman" w:hAnsi="Times New Roman"/>
          <w:sz w:val="14"/>
          <w:szCs w:val="14"/>
          <w:color w:val="auto"/>
        </w:rPr>
      </w:pPr>
    </w:p>
    <w:p>
      <w:pPr>
        <w:ind w:left="660" w:right="60" w:hanging="333"/>
        <w:spacing w:after="0" w:line="241" w:lineRule="auto"/>
        <w:tabs>
          <w:tab w:leader="none" w:pos="6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acquisition-related intangibles amortization and increased tangible asset and capitalized software depreciation and amortization resulting from the Refinitiv Transaction and the application of pushdown accounting (where all assets were marked to fair value as of the closing date of the Refinitiv Transaction).</w:t>
      </w:r>
    </w:p>
    <w:p>
      <w:pPr>
        <w:spacing w:after="0" w:line="68" w:lineRule="exact"/>
        <w:rPr>
          <w:rFonts w:ascii="Times New Roman" w:cs="Times New Roman" w:eastAsia="Times New Roman" w:hAnsi="Times New Roman"/>
          <w:sz w:val="14"/>
          <w:szCs w:val="14"/>
          <w:color w:val="auto"/>
        </w:rPr>
      </w:pPr>
    </w:p>
    <w:p>
      <w:pPr>
        <w:ind w:left="660" w:right="400" w:hanging="333"/>
        <w:spacing w:after="0" w:line="262" w:lineRule="auto"/>
        <w:tabs>
          <w:tab w:leader="none" w:pos="6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margin and Adjusted EBIT margin are defined as Adjusted EBITDA and Adjusted EBIT, respectively, divided by gross revenue for the applicable.</w:t>
      </w: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478155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06" w:right="141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2"/>
        </w:trPr>
        <w:tc>
          <w:tcPr>
            <w:tcW w:w="4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00" w:type="dxa"/>
            <w:vAlign w:val="bottom"/>
            <w:tcBorders>
              <w:right w:val="single" w:sz="8" w:color="auto"/>
            </w:tcBorders>
            <w:gridSpan w:val="5"/>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44"/>
        </w:trPr>
        <w:tc>
          <w:tcPr>
            <w:tcW w:w="4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center"/>
              <w:ind w:right="300"/>
              <w:spacing w:after="0" w:line="145" w:lineRule="exact"/>
              <w:rPr>
                <w:sz w:val="20"/>
                <w:szCs w:val="20"/>
                <w:color w:val="auto"/>
              </w:rPr>
            </w:pPr>
            <w:r>
              <w:rPr>
                <w:rFonts w:ascii="Times New Roman" w:cs="Times New Roman" w:eastAsia="Times New Roman" w:hAnsi="Times New Roman"/>
                <w:sz w:val="14"/>
                <w:szCs w:val="14"/>
                <w:b w:val="1"/>
                <w:bCs w:val="1"/>
                <w:color w:val="auto"/>
              </w:rPr>
              <w:t>Three</w:t>
            </w: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center"/>
              <w:ind w:right="53"/>
              <w:spacing w:after="0" w:line="145" w:lineRule="exact"/>
              <w:rPr>
                <w:sz w:val="20"/>
                <w:szCs w:val="20"/>
                <w:color w:val="auto"/>
              </w:rPr>
            </w:pPr>
            <w:r>
              <w:rPr>
                <w:rFonts w:ascii="Times New Roman" w:cs="Times New Roman" w:eastAsia="Times New Roman" w:hAnsi="Times New Roman"/>
                <w:sz w:val="14"/>
                <w:szCs w:val="14"/>
                <w:b w:val="1"/>
                <w:bCs w:val="1"/>
                <w:color w:val="auto"/>
                <w:w w:val="99"/>
              </w:rPr>
              <w:t>Nine</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b w:val="1"/>
                <w:bCs w:val="1"/>
                <w:color w:val="auto"/>
              </w:rPr>
              <w:t>Three</w:t>
            </w: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center"/>
              <w:ind w:right="54"/>
              <w:spacing w:after="0" w:line="145" w:lineRule="exact"/>
              <w:rPr>
                <w:sz w:val="20"/>
                <w:szCs w:val="20"/>
                <w:color w:val="auto"/>
              </w:rPr>
            </w:pPr>
            <w:r>
              <w:rPr>
                <w:rFonts w:ascii="Times New Roman" w:cs="Times New Roman" w:eastAsia="Times New Roman" w:hAnsi="Times New Roman"/>
                <w:sz w:val="14"/>
                <w:szCs w:val="14"/>
                <w:b w:val="1"/>
                <w:bCs w:val="1"/>
                <w:color w:val="auto"/>
              </w:rPr>
              <w:t>Nine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140" w:type="dxa"/>
            <w:vAlign w:val="bottom"/>
          </w:tcPr>
          <w:p>
            <w:pPr>
              <w:spacing w:after="0"/>
              <w:rPr>
                <w:sz w:val="14"/>
                <w:szCs w:val="14"/>
                <w:color w:val="auto"/>
              </w:rPr>
            </w:pPr>
          </w:p>
        </w:tc>
        <w:tc>
          <w:tcPr>
            <w:tcW w:w="104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14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0" w:type="dxa"/>
            <w:vAlign w:val="bottom"/>
          </w:tcPr>
          <w:p>
            <w:pPr>
              <w:spacing w:after="0"/>
              <w:rPr>
                <w:sz w:val="1"/>
                <w:szCs w:val="1"/>
                <w:color w:val="auto"/>
              </w:rPr>
            </w:pPr>
          </w:p>
        </w:tc>
      </w:tr>
      <w:tr>
        <w:trPr>
          <w:trHeight w:val="190"/>
        </w:trPr>
        <w:tc>
          <w:tcPr>
            <w:tcW w:w="4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Reconciliation of Net Income to</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40" w:type="dxa"/>
            <w:vAlign w:val="bottom"/>
          </w:tcPr>
          <w:p>
            <w:pPr>
              <w:spacing w:after="0"/>
              <w:rPr>
                <w:sz w:val="16"/>
                <w:szCs w:val="16"/>
                <w:color w:val="auto"/>
              </w:rPr>
            </w:pPr>
          </w:p>
        </w:tc>
        <w:tc>
          <w:tcPr>
            <w:tcW w:w="104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40" w:type="dxa"/>
            <w:vAlign w:val="bottom"/>
          </w:tcPr>
          <w:p>
            <w:pPr>
              <w:spacing w:after="0"/>
              <w:rPr>
                <w:sz w:val="16"/>
                <w:szCs w:val="16"/>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77"/>
        </w:trPr>
        <w:tc>
          <w:tcPr>
            <w:tcW w:w="45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80" w:type="dxa"/>
            <w:vAlign w:val="bottom"/>
            <w:tcBorders>
              <w:right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5"/>
                <w:szCs w:val="15"/>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238"/>
        </w:trPr>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Adjusted Net Income and Adjusted Diluted EPS</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Borders>
              <w:bottom w:val="single" w:sz="8" w:color="CCEEFF"/>
              <w:right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 xml:space="preserve">0.19 </w:t>
            </w:r>
            <w:r>
              <w:rPr>
                <w:rFonts w:ascii="Times New Roman" w:cs="Times New Roman" w:eastAsia="Times New Roman" w:hAnsi="Times New Roman"/>
                <w:sz w:val="8"/>
                <w:szCs w:val="8"/>
                <w:b w:val="1"/>
                <w:bCs w:val="1"/>
                <w:color w:val="auto"/>
              </w:rPr>
              <w:t>(a)</w:t>
            </w:r>
            <w:r>
              <w:rPr>
                <w:rFonts w:ascii="Times New Roman" w:cs="Times New Roman" w:eastAsia="Times New Roman" w:hAnsi="Times New Roman"/>
                <w:sz w:val="18"/>
                <w:szCs w:val="18"/>
                <w:b w:val="1"/>
                <w:bCs w:val="1"/>
                <w:color w:val="auto"/>
              </w:rPr>
              <w:t xml:space="preserve">  /</w:t>
            </w:r>
          </w:p>
        </w:tc>
        <w:tc>
          <w:tcPr>
            <w:tcW w:w="1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per diluted share</w:t>
            </w:r>
            <w:r>
              <w:rPr>
                <w:rFonts w:ascii="Times New Roman" w:cs="Times New Roman" w:eastAsia="Times New Roman" w:hAnsi="Times New Roman"/>
                <w:sz w:val="8"/>
                <w:szCs w:val="8"/>
                <w:b w:val="1"/>
                <w:bCs w:val="1"/>
                <w:color w:val="auto"/>
              </w:rPr>
              <w:t>(1)</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0.</w:t>
            </w:r>
            <w:r>
              <w:rPr>
                <w:rFonts w:ascii="Times New Roman" w:cs="Times New Roman" w:eastAsia="Times New Roman" w:hAnsi="Times New Roman"/>
                <w:sz w:val="18"/>
                <w:szCs w:val="18"/>
                <w:b w:val="1"/>
                <w:bCs w:val="1"/>
                <w:u w:val="single" w:color="auto"/>
                <w:color w:val="auto"/>
              </w:rPr>
              <w:t>20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8"/>
                <w:szCs w:val="8"/>
                <w:b w:val="1"/>
                <w:bCs w:val="1"/>
                <w:color w:val="auto"/>
              </w:rPr>
              <w:t>(b)</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 xml:space="preserve">0.28 </w:t>
            </w:r>
            <w:r>
              <w:rPr>
                <w:rFonts w:ascii="Times New Roman" w:cs="Times New Roman" w:eastAsia="Times New Roman" w:hAnsi="Times New Roman"/>
                <w:sz w:val="8"/>
                <w:szCs w:val="8"/>
                <w:b w:val="1"/>
                <w:bCs w:val="1"/>
                <w:color w:val="auto"/>
              </w:rPr>
              <w:t>(b)</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 xml:space="preserve">0.21 </w:t>
            </w:r>
            <w:r>
              <w:rPr>
                <w:rFonts w:ascii="Times New Roman" w:cs="Times New Roman" w:eastAsia="Times New Roman" w:hAnsi="Times New Roman"/>
                <w:sz w:val="8"/>
                <w:szCs w:val="8"/>
                <w:b w:val="1"/>
                <w:bCs w:val="1"/>
                <w:color w:val="auto"/>
              </w:rPr>
              <w:t>(a)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0.60 </w:t>
            </w:r>
            <w:r>
              <w:rPr>
                <w:rFonts w:ascii="Times New Roman" w:cs="Times New Roman" w:eastAsia="Times New Roman" w:hAnsi="Times New Roman"/>
                <w:sz w:val="8"/>
                <w:szCs w:val="8"/>
                <w:b w:val="1"/>
                <w:bCs w:val="1"/>
                <w:color w:val="auto"/>
              </w:rPr>
              <w:t>(a)</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Pre-IPO net income attributable to Tradeweb Markets LLC </w:t>
            </w:r>
            <w:r>
              <w:rPr>
                <w:rFonts w:ascii="Times New Roman" w:cs="Times New Roman" w:eastAsia="Times New Roman" w:hAnsi="Times New Roman"/>
                <w:sz w:val="8"/>
                <w:szCs w:val="8"/>
                <w:color w:val="auto"/>
              </w:rPr>
              <w:t>(1)</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xml:space="preserve">42,352 </w:t>
            </w:r>
            <w:r>
              <w:rPr>
                <w:rFonts w:ascii="Times New Roman" w:cs="Times New Roman" w:eastAsia="Times New Roman" w:hAnsi="Times New Roman"/>
                <w:sz w:val="8"/>
                <w:szCs w:val="8"/>
                <w:color w:val="auto"/>
              </w:rPr>
              <w:t>(a)</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xml:space="preserve">45,955 </w:t>
            </w:r>
            <w:r>
              <w:rPr>
                <w:rFonts w:ascii="Times New Roman" w:cs="Times New Roman" w:eastAsia="Times New Roman" w:hAnsi="Times New Roman"/>
                <w:sz w:val="8"/>
                <w:szCs w:val="8"/>
                <w:color w:val="auto"/>
              </w:rPr>
              <w:t>(a)</w:t>
            </w:r>
          </w:p>
        </w:tc>
        <w:tc>
          <w:tcPr>
            <w:tcW w:w="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xml:space="preserve">130,160 </w:t>
            </w:r>
            <w:r>
              <w:rPr>
                <w:rFonts w:ascii="Times New Roman" w:cs="Times New Roman" w:eastAsia="Times New Roman" w:hAnsi="Times New Roman"/>
                <w:sz w:val="8"/>
                <w:szCs w:val="8"/>
                <w:color w:val="auto"/>
              </w:rPr>
              <w:t>(a)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Add: Net income attributable to Tradeweb Markets Inc. </w:t>
            </w:r>
            <w:r>
              <w:rPr>
                <w:rFonts w:ascii="Times New Roman" w:cs="Times New Roman" w:eastAsia="Times New Roman" w:hAnsi="Times New Roman"/>
                <w:sz w:val="8"/>
                <w:szCs w:val="8"/>
                <w:color w:val="auto"/>
              </w:rPr>
              <w:t>(1)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xml:space="preserve">29,612 </w:t>
            </w:r>
            <w:r>
              <w:rPr>
                <w:rFonts w:ascii="Times New Roman" w:cs="Times New Roman" w:eastAsia="Times New Roman" w:hAnsi="Times New Roman"/>
                <w:sz w:val="8"/>
                <w:szCs w:val="8"/>
                <w:color w:val="auto"/>
              </w:rPr>
              <w:t>(b)</w:t>
            </w:r>
          </w:p>
        </w:tc>
        <w:tc>
          <w:tcPr>
            <w:tcW w:w="14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xml:space="preserve">42,440 </w:t>
            </w:r>
            <w:r>
              <w:rPr>
                <w:rFonts w:ascii="Times New Roman" w:cs="Times New Roman" w:eastAsia="Times New Roman" w:hAnsi="Times New Roman"/>
                <w:sz w:val="8"/>
                <w:szCs w:val="8"/>
                <w:color w:val="auto"/>
              </w:rPr>
              <w:t>(b)</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Add: Net income attributable to non-controlling</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interests </w:t>
            </w:r>
            <w:r>
              <w:rPr>
                <w:rFonts w:ascii="Times New Roman" w:cs="Times New Roman" w:eastAsia="Times New Roman" w:hAnsi="Times New Roman"/>
                <w:sz w:val="8"/>
                <w:szCs w:val="8"/>
                <w:color w:val="auto"/>
              </w:rPr>
              <w:t>(1)(2)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xml:space="preserve">18,966 </w:t>
            </w:r>
            <w:r>
              <w:rPr>
                <w:rFonts w:ascii="Times New Roman" w:cs="Times New Roman" w:eastAsia="Times New Roman" w:hAnsi="Times New Roman"/>
                <w:sz w:val="8"/>
                <w:szCs w:val="8"/>
                <w:color w:val="auto"/>
              </w:rPr>
              <w:t>(b)</w:t>
            </w:r>
          </w:p>
        </w:tc>
        <w:tc>
          <w:tcPr>
            <w:tcW w:w="140" w:type="dxa"/>
            <w:vAlign w:val="bottom"/>
          </w:tcPr>
          <w:p>
            <w:pPr>
              <w:spacing w:after="0"/>
              <w:rPr>
                <w:sz w:val="20"/>
                <w:szCs w:val="20"/>
                <w:color w:val="auto"/>
              </w:rPr>
            </w:pPr>
          </w:p>
        </w:tc>
        <w:tc>
          <w:tcPr>
            <w:tcW w:w="104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xml:space="preserve">30,954 </w:t>
            </w:r>
            <w:r>
              <w:rPr>
                <w:rFonts w:ascii="Times New Roman" w:cs="Times New Roman" w:eastAsia="Times New Roman" w:hAnsi="Times New Roman"/>
                <w:sz w:val="8"/>
                <w:szCs w:val="8"/>
                <w:color w:val="auto"/>
              </w:rPr>
              <w:t>(b)</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5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48,578 </w:t>
            </w:r>
            <w:r>
              <w:rPr>
                <w:rFonts w:ascii="Times New Roman" w:cs="Times New Roman" w:eastAsia="Times New Roman" w:hAnsi="Times New Roman"/>
                <w:sz w:val="8"/>
                <w:szCs w:val="8"/>
                <w:b w:val="1"/>
                <w:bCs w:val="1"/>
                <w:color w:val="auto"/>
              </w:rPr>
              <w:t>(b)</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115,746 </w:t>
            </w:r>
            <w:r>
              <w:rPr>
                <w:rFonts w:ascii="Times New Roman" w:cs="Times New Roman" w:eastAsia="Times New Roman" w:hAnsi="Times New Roman"/>
                <w:sz w:val="8"/>
                <w:szCs w:val="8"/>
                <w:b w:val="1"/>
                <w:bCs w:val="1"/>
                <w:color w:val="auto"/>
              </w:rPr>
              <w:t>(a)(b)</w:t>
            </w: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45,955 </w:t>
            </w:r>
            <w:r>
              <w:rPr>
                <w:rFonts w:ascii="Times New Roman" w:cs="Times New Roman" w:eastAsia="Times New Roman" w:hAnsi="Times New Roman"/>
                <w:sz w:val="8"/>
                <w:szCs w:val="8"/>
                <w:b w:val="1"/>
                <w:bCs w:val="1"/>
                <w:color w:val="auto"/>
              </w:rPr>
              <w:t>(a)</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130,160 </w:t>
            </w:r>
            <w:r>
              <w:rPr>
                <w:rFonts w:ascii="Times New Roman" w:cs="Times New Roman" w:eastAsia="Times New Roman" w:hAnsi="Times New Roman"/>
                <w:sz w:val="8"/>
                <w:szCs w:val="8"/>
                <w:b w:val="1"/>
                <w:bCs w:val="1"/>
                <w:color w:val="auto"/>
              </w:rPr>
              <w:t>(a)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21,413</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(2,537)</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Acquisition and Refinitiv Transaction related D&amp;A</w:t>
            </w:r>
            <w:r>
              <w:rPr>
                <w:rFonts w:ascii="Times New Roman" w:cs="Times New Roman" w:eastAsia="Times New Roman" w:hAnsi="Times New Roman"/>
                <w:sz w:val="8"/>
                <w:szCs w:val="8"/>
                <w:color w:val="auto"/>
              </w:rPr>
              <w:t>(3)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72,122</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r>
              <w:rPr>
                <w:rFonts w:ascii="Times New Roman" w:cs="Times New Roman" w:eastAsia="Times New Roman" w:hAnsi="Times New Roman"/>
                <w:sz w:val="8"/>
                <w:szCs w:val="8"/>
                <w:color w:val="auto"/>
              </w:rPr>
              <w:t>(4)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22,398</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Unrealized foreign exchange (gains) / losses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(2,499)</w:t>
            </w:r>
          </w:p>
        </w:tc>
        <w:tc>
          <w:tcPr>
            <w:tcW w:w="14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 loss from revaluation of foreign denominated cash</w:t>
            </w:r>
            <w:r>
              <w:rPr>
                <w:rFonts w:ascii="Times New Roman" w:cs="Times New Roman" w:eastAsia="Times New Roman" w:hAnsi="Times New Roman"/>
                <w:sz w:val="8"/>
                <w:szCs w:val="8"/>
                <w:color w:val="auto"/>
              </w:rPr>
              <w:t>(5)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(466)</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 before income taxes</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83,732</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231,584</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57,407</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186,585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income taxes</w:t>
            </w:r>
            <w:r>
              <w:rPr>
                <w:rFonts w:ascii="Times New Roman" w:cs="Times New Roman" w:eastAsia="Times New Roman" w:hAnsi="Times New Roman"/>
                <w:sz w:val="8"/>
                <w:szCs w:val="8"/>
                <w:color w:val="auto"/>
              </w:rPr>
              <w:t>(6)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(22,105)</w:t>
            </w:r>
          </w:p>
        </w:tc>
        <w:tc>
          <w:tcPr>
            <w:tcW w:w="14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(61,139)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(15,155)</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61,627</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170,445</w:t>
            </w:r>
          </w:p>
        </w:tc>
        <w:tc>
          <w:tcPr>
            <w:tcW w:w="10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42,252</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137,327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4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 xml:space="preserve">0.23 </w:t>
            </w:r>
            <w:r>
              <w:rPr>
                <w:rFonts w:ascii="Times New Roman" w:cs="Times New Roman" w:eastAsia="Times New Roman" w:hAnsi="Times New Roman"/>
                <w:sz w:val="8"/>
                <w:szCs w:val="8"/>
                <w:b w:val="1"/>
                <w:bCs w:val="1"/>
                <w:color w:val="auto"/>
              </w:rPr>
              <w:t>(a)</w:t>
            </w:r>
            <w:r>
              <w:rPr>
                <w:rFonts w:ascii="Times New Roman" w:cs="Times New Roman" w:eastAsia="Times New Roman" w:hAnsi="Times New Roman"/>
                <w:sz w:val="18"/>
                <w:szCs w:val="18"/>
                <w:b w:val="1"/>
                <w:bCs w:val="1"/>
                <w:color w:val="auto"/>
              </w:rPr>
              <w:t xml:space="preserve">  /</w:t>
            </w:r>
          </w:p>
        </w:tc>
        <w:tc>
          <w:tcPr>
            <w:tcW w:w="1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5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Adjusted Diluted EPS </w:t>
            </w:r>
            <w:r>
              <w:rPr>
                <w:rFonts w:ascii="Times New Roman" w:cs="Times New Roman" w:eastAsia="Times New Roman" w:hAnsi="Times New Roman"/>
                <w:sz w:val="8"/>
                <w:szCs w:val="8"/>
                <w:b w:val="1"/>
                <w:bCs w:val="1"/>
                <w:color w:val="auto"/>
              </w:rPr>
              <w:t>(1)(7)</w:t>
            </w:r>
          </w:p>
        </w:tc>
        <w:tc>
          <w:tcPr>
            <w:tcW w:w="14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0.27 </w:t>
            </w:r>
            <w:r>
              <w:rPr>
                <w:rFonts w:ascii="Times New Roman" w:cs="Times New Roman" w:eastAsia="Times New Roman" w:hAnsi="Times New Roman"/>
                <w:sz w:val="8"/>
                <w:szCs w:val="8"/>
                <w:b w:val="1"/>
                <w:bCs w:val="1"/>
                <w:color w:val="auto"/>
              </w:rPr>
              <w:t>(b)</w:t>
            </w:r>
          </w:p>
        </w:tc>
        <w:tc>
          <w:tcPr>
            <w:tcW w:w="1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0.51 </w:t>
            </w:r>
            <w:r>
              <w:rPr>
                <w:rFonts w:ascii="Times New Roman" w:cs="Times New Roman" w:eastAsia="Times New Roman" w:hAnsi="Times New Roman"/>
                <w:sz w:val="8"/>
                <w:szCs w:val="8"/>
                <w:b w:val="1"/>
                <w:bCs w:val="1"/>
                <w:color w:val="auto"/>
              </w:rPr>
              <w:t>(b)</w:t>
            </w:r>
          </w:p>
        </w:tc>
        <w:tc>
          <w:tcPr>
            <w:tcW w:w="10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0.19 </w:t>
            </w:r>
            <w:r>
              <w:rPr>
                <w:rFonts w:ascii="Times New Roman" w:cs="Times New Roman" w:eastAsia="Times New Roman" w:hAnsi="Times New Roman"/>
                <w:sz w:val="8"/>
                <w:szCs w:val="8"/>
                <w:b w:val="1"/>
                <w:bCs w:val="1"/>
                <w:color w:val="auto"/>
              </w:rPr>
              <w:t>(a)</w:t>
            </w:r>
          </w:p>
        </w:tc>
        <w:tc>
          <w:tcPr>
            <w:tcW w:w="1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0.64 </w:t>
            </w:r>
            <w:r>
              <w:rPr>
                <w:rFonts w:ascii="Times New Roman" w:cs="Times New Roman" w:eastAsia="Times New Roman" w:hAnsi="Times New Roman"/>
                <w:sz w:val="8"/>
                <w:szCs w:val="8"/>
                <w:b w:val="1"/>
                <w:bCs w:val="1"/>
                <w:color w:val="auto"/>
              </w:rPr>
              <w:t>(a)</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5654675</wp:posOffset>
            </wp:positionH>
            <wp:positionV relativeFrom="page">
              <wp:posOffset>88900</wp:posOffset>
            </wp:positionV>
            <wp:extent cx="1003300" cy="3086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003300" cy="308610"/>
                    </a:xfrm>
                    <a:prstGeom prst="rect">
                      <a:avLst/>
                    </a:prstGeom>
                    <a:noFill/>
                  </pic:spPr>
                </pic:pic>
              </a:graphicData>
            </a:graphic>
          </wp:anchor>
        </w:drawing>
      </w:r>
    </w:p>
    <w:p>
      <w:pPr>
        <w:ind w:left="400" w:right="280" w:hanging="316"/>
        <w:spacing w:after="0" w:line="262" w:lineRule="auto"/>
        <w:tabs>
          <w:tab w:leader="none" w:pos="4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April 2019, the Company completed the Reorganization Transactions and the IPO. As a result, certain earnings information is being presented separately for Tradeweb Markets LLC and Tradeweb Markets Inc.</w:t>
      </w:r>
    </w:p>
    <w:p>
      <w:pPr>
        <w:spacing w:after="0" w:line="94" w:lineRule="exact"/>
        <w:rPr>
          <w:rFonts w:ascii="Times New Roman" w:cs="Times New Roman" w:eastAsia="Times New Roman" w:hAnsi="Times New Roman"/>
          <w:sz w:val="14"/>
          <w:szCs w:val="14"/>
          <w:color w:val="auto"/>
        </w:rPr>
      </w:pPr>
    </w:p>
    <w:p>
      <w:pPr>
        <w:ind w:left="1060" w:hanging="328"/>
        <w:spacing w:after="0"/>
        <w:tabs>
          <w:tab w:leader="none" w:pos="1060"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Presents information for Tradeweb Markets LLC (pre-IPO period).</w:t>
      </w:r>
    </w:p>
    <w:p>
      <w:pPr>
        <w:spacing w:after="0" w:line="136" w:lineRule="exact"/>
        <w:rPr>
          <w:rFonts w:ascii="Times New Roman" w:cs="Times New Roman" w:eastAsia="Times New Roman" w:hAnsi="Times New Roman"/>
          <w:sz w:val="14"/>
          <w:szCs w:val="14"/>
          <w:color w:val="auto"/>
        </w:rPr>
      </w:pPr>
    </w:p>
    <w:p>
      <w:pPr>
        <w:ind w:left="1060" w:hanging="328"/>
        <w:spacing w:after="0"/>
        <w:tabs>
          <w:tab w:leader="none" w:pos="1060"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Presents information for Tradeweb Markets Inc. (post-IPO period).</w:t>
      </w:r>
    </w:p>
    <w:p>
      <w:pPr>
        <w:spacing w:after="0" w:line="2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See the “Basic and Diluted EPS Calculations” table below for additional information.</w:t>
      </w:r>
    </w:p>
    <w:p>
      <w:pPr>
        <w:spacing w:after="0" w:line="136" w:lineRule="exact"/>
        <w:rPr>
          <w:sz w:val="20"/>
          <w:szCs w:val="20"/>
          <w:color w:val="auto"/>
        </w:rPr>
      </w:pPr>
    </w:p>
    <w:p>
      <w:pPr>
        <w:ind w:left="400" w:right="60" w:hanging="316"/>
        <w:spacing w:after="0" w:line="262" w:lineRule="auto"/>
        <w:tabs>
          <w:tab w:leader="none" w:pos="4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post-IPO periods, represents the reallocation of net income attributable to non-controlling interests from the assumed exchange of all outstanding LLC Interests for shares of Class A or Class B common stock.</w:t>
      </w:r>
    </w:p>
    <w:p>
      <w:pPr>
        <w:spacing w:after="0" w:line="161" w:lineRule="exact"/>
        <w:rPr>
          <w:rFonts w:ascii="Times New Roman" w:cs="Times New Roman" w:eastAsia="Times New Roman" w:hAnsi="Times New Roman"/>
          <w:sz w:val="14"/>
          <w:szCs w:val="14"/>
          <w:color w:val="auto"/>
        </w:rPr>
      </w:pPr>
    </w:p>
    <w:p>
      <w:pPr>
        <w:ind w:left="400" w:right="120" w:hanging="316"/>
        <w:spacing w:after="0" w:line="241" w:lineRule="auto"/>
        <w:tabs>
          <w:tab w:leader="none" w:pos="4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acquisition-related intangibles amortization and increased tangible asset and capitalized software depreciation and amortization resulting from the Refinitiv Transaction and the application of pushdown accounting (where all assets were marked to fair value as of the closing date of the Refinitiv Transaction).</w:t>
      </w:r>
    </w:p>
    <w:p>
      <w:pPr>
        <w:spacing w:after="0" w:line="176" w:lineRule="exact"/>
        <w:rPr>
          <w:rFonts w:ascii="Times New Roman" w:cs="Times New Roman" w:eastAsia="Times New Roman" w:hAnsi="Times New Roman"/>
          <w:sz w:val="14"/>
          <w:szCs w:val="14"/>
          <w:color w:val="auto"/>
        </w:rPr>
      </w:pPr>
    </w:p>
    <w:p>
      <w:pPr>
        <w:ind w:left="400" w:hanging="316"/>
        <w:spacing w:after="0"/>
        <w:tabs>
          <w:tab w:leader="none" w:pos="4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non-cash stock-based compensation expense associated with the Special Option Award and post-IPO options awarded in 2019.</w:t>
      </w:r>
    </w:p>
    <w:p>
      <w:pPr>
        <w:spacing w:after="0" w:line="203" w:lineRule="exact"/>
        <w:rPr>
          <w:rFonts w:ascii="Times New Roman" w:cs="Times New Roman" w:eastAsia="Times New Roman" w:hAnsi="Times New Roman"/>
          <w:sz w:val="14"/>
          <w:szCs w:val="14"/>
          <w:color w:val="auto"/>
        </w:rPr>
      </w:pPr>
    </w:p>
    <w:p>
      <w:pPr>
        <w:ind w:left="400" w:hanging="316"/>
        <w:spacing w:after="0"/>
        <w:tabs>
          <w:tab w:leader="none" w:pos="4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foreign exchange gain or loss from the revaluation of cash denominated in a different currency than the entity’s functional currency.</w:t>
      </w:r>
    </w:p>
    <w:p>
      <w:pPr>
        <w:spacing w:after="0" w:line="203" w:lineRule="exact"/>
        <w:rPr>
          <w:rFonts w:ascii="Times New Roman" w:cs="Times New Roman" w:eastAsia="Times New Roman" w:hAnsi="Times New Roman"/>
          <w:sz w:val="14"/>
          <w:szCs w:val="14"/>
          <w:color w:val="auto"/>
        </w:rPr>
      </w:pPr>
    </w:p>
    <w:p>
      <w:pPr>
        <w:ind w:left="400" w:right="80" w:hanging="316"/>
        <w:spacing w:after="0" w:line="262" w:lineRule="auto"/>
        <w:tabs>
          <w:tab w:leader="none" w:pos="4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corporate income taxes at an assumed effective tax rate of 26.4% for all periods presented applied to Adjusted Net Income before income taxes. For pre-IPO periods, this adjustment assumes Tradeweb Markets LLC was subject to a corporate tax rate for the periods presented.</w:t>
      </w:r>
    </w:p>
    <w:p>
      <w:pPr>
        <w:spacing w:after="0" w:line="53" w:lineRule="exact"/>
        <w:rPr>
          <w:rFonts w:ascii="Times New Roman" w:cs="Times New Roman" w:eastAsia="Times New Roman" w:hAnsi="Times New Roman"/>
          <w:sz w:val="14"/>
          <w:szCs w:val="14"/>
          <w:color w:val="auto"/>
        </w:rPr>
      </w:pPr>
    </w:p>
    <w:p>
      <w:pPr>
        <w:ind w:left="400" w:right="120" w:hanging="316"/>
        <w:spacing w:after="0" w:line="262" w:lineRule="auto"/>
        <w:tabs>
          <w:tab w:leader="none" w:pos="4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Due to the Reorganization Transactions and the IPO completed in April 2019, shares outstanding during the nine months ended September 30, 2019 represent shares of TWM LLC (pre-IPO period) and shares of Class A and Class B common stock of Tradeweb Markets Inc. (post-IPO period).</w:t>
      </w:r>
    </w:p>
    <w:p>
      <w:pPr>
        <w:spacing w:after="0" w:line="378"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492760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58" w:right="1419" w:bottom="1440" w:gutter="0" w:footer="0" w:header="0"/>
        </w:sectPr>
      </w:pPr>
    </w:p>
    <w:bookmarkStart w:id="12" w:name="page13"/>
    <w:bookmarkEnd w:id="12"/>
    <w:p>
      <w:pPr>
        <w:ind w:right="1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5654675</wp:posOffset>
            </wp:positionH>
            <wp:positionV relativeFrom="page">
              <wp:posOffset>88900</wp:posOffset>
            </wp:positionV>
            <wp:extent cx="1003300" cy="3086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003300" cy="308610"/>
                    </a:xfrm>
                    <a:prstGeom prst="rect">
                      <a:avLst/>
                    </a:prstGeom>
                    <a:noFill/>
                  </pic:spPr>
                </pic:pic>
              </a:graphicData>
            </a:graphic>
          </wp:anchor>
        </w:drawing>
        <w:t>The following table summarizes the calculation of Adjusted Diluted EPS for the three and nine months ended September 30, 2019 and 2018:</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w:t>
            </w:r>
          </w:p>
        </w:tc>
        <w:tc>
          <w:tcPr>
            <w:tcW w:w="11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Pre-IPO Period</w:t>
            </w:r>
          </w:p>
        </w:tc>
        <w:tc>
          <w:tcPr>
            <w:tcW w:w="11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Post-IPO Period</w:t>
            </w:r>
          </w:p>
        </w:tc>
        <w:tc>
          <w:tcPr>
            <w:tcW w:w="140" w:type="dxa"/>
            <w:vAlign w:val="bottom"/>
          </w:tcPr>
          <w:p>
            <w:pPr>
              <w:spacing w:after="0"/>
              <w:rPr>
                <w:sz w:val="15"/>
                <w:szCs w:val="15"/>
                <w:color w:val="auto"/>
              </w:rPr>
            </w:pPr>
          </w:p>
        </w:tc>
        <w:tc>
          <w:tcPr>
            <w:tcW w:w="9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9"/>
              </w:rPr>
              <w:t>Nine</w:t>
            </w:r>
          </w:p>
        </w:tc>
        <w:tc>
          <w:tcPr>
            <w:tcW w:w="0" w:type="dxa"/>
            <w:vAlign w:val="bottom"/>
          </w:tcPr>
          <w:p>
            <w:pPr>
              <w:spacing w:after="0"/>
              <w:rPr>
                <w:sz w:val="1"/>
                <w:szCs w:val="1"/>
                <w:color w:val="auto"/>
              </w:rPr>
            </w:pPr>
          </w:p>
        </w:tc>
      </w:tr>
      <w:tr>
        <w:trPr>
          <w:trHeight w:val="131"/>
        </w:trPr>
        <w:tc>
          <w:tcPr>
            <w:tcW w:w="3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68"/>
              <w:spacing w:after="0" w:line="131" w:lineRule="exact"/>
              <w:rPr>
                <w:sz w:val="20"/>
                <w:szCs w:val="20"/>
                <w:color w:val="auto"/>
              </w:rPr>
            </w:pPr>
            <w:r>
              <w:rPr>
                <w:rFonts w:ascii="Times New Roman" w:cs="Times New Roman" w:eastAsia="Times New Roman" w:hAnsi="Times New Roman"/>
                <w:sz w:val="14"/>
                <w:szCs w:val="14"/>
                <w:b w:val="1"/>
                <w:bCs w:val="1"/>
                <w:color w:val="auto"/>
              </w:rPr>
              <w:t>Nine</w:t>
            </w: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88"/>
              <w:spacing w:after="0" w:line="131" w:lineRule="exact"/>
              <w:rPr>
                <w:sz w:val="20"/>
                <w:szCs w:val="20"/>
                <w:color w:val="auto"/>
              </w:rPr>
            </w:pPr>
            <w:r>
              <w:rPr>
                <w:rFonts w:ascii="Times New Roman" w:cs="Times New Roman" w:eastAsia="Times New Roman" w:hAnsi="Times New Roman"/>
                <w:sz w:val="14"/>
                <w:szCs w:val="14"/>
                <w:b w:val="1"/>
                <w:bCs w:val="1"/>
                <w:color w:val="auto"/>
                <w:w w:val="99"/>
              </w:rPr>
              <w:t>Nine</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16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16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14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0" w:type="dxa"/>
            <w:vAlign w:val="bottom"/>
          </w:tcPr>
          <w:p>
            <w:pPr>
              <w:spacing w:after="0"/>
              <w:rPr>
                <w:sz w:val="1"/>
                <w:szCs w:val="1"/>
                <w:color w:val="auto"/>
              </w:rPr>
            </w:pPr>
          </w:p>
        </w:tc>
      </w:tr>
      <w:tr>
        <w:trPr>
          <w:trHeight w:val="190"/>
        </w:trPr>
        <w:tc>
          <w:tcPr>
            <w:tcW w:w="3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Reconciliation of Diluted Weighted Average Shares</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60" w:type="dxa"/>
            <w:vAlign w:val="bottom"/>
          </w:tcPr>
          <w:p>
            <w:pPr>
              <w:spacing w:after="0"/>
              <w:rPr>
                <w:sz w:val="16"/>
                <w:szCs w:val="16"/>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60" w:type="dxa"/>
            <w:vAlign w:val="bottom"/>
          </w:tcPr>
          <w:p>
            <w:pPr>
              <w:spacing w:after="0"/>
              <w:rPr>
                <w:sz w:val="16"/>
                <w:szCs w:val="16"/>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40" w:type="dxa"/>
            <w:vAlign w:val="bottom"/>
          </w:tcPr>
          <w:p>
            <w:pPr>
              <w:spacing w:after="0"/>
              <w:rPr>
                <w:sz w:val="16"/>
                <w:szCs w:val="16"/>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07"/>
        </w:trPr>
        <w:tc>
          <w:tcPr>
            <w:tcW w:w="34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6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8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2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9"/>
                <w:szCs w:val="9"/>
                <w:color w:val="auto"/>
              </w:rPr>
            </w:pPr>
          </w:p>
        </w:tc>
        <w:tc>
          <w:tcPr>
            <w:tcW w:w="9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9"/>
        </w:trPr>
        <w:tc>
          <w:tcPr>
            <w:tcW w:w="34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to</w:t>
            </w:r>
          </w:p>
        </w:tc>
        <w:tc>
          <w:tcPr>
            <w:tcW w:w="16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Adjusted Diluted Weighted Average Shares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0" w:type="dxa"/>
            <w:vAlign w:val="bottom"/>
          </w:tcPr>
          <w:p>
            <w:pPr>
              <w:spacing w:after="0"/>
              <w:rPr>
                <w:sz w:val="1"/>
                <w:szCs w:val="1"/>
                <w:color w:val="auto"/>
              </w:rPr>
            </w:pPr>
          </w:p>
        </w:tc>
      </w:tr>
      <w:tr>
        <w:trPr>
          <w:trHeight w:val="173"/>
        </w:trPr>
        <w:tc>
          <w:tcPr>
            <w:tcW w:w="3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40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Diluted weighted average TWM LLC shares outstanding</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223,320,457</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219,165,997</w:t>
            </w: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215,365,920</w:t>
            </w:r>
          </w:p>
        </w:tc>
        <w:tc>
          <w:tcPr>
            <w:tcW w:w="0" w:type="dxa"/>
            <w:vAlign w:val="bottom"/>
          </w:tcPr>
          <w:p>
            <w:pPr>
              <w:spacing w:after="0"/>
              <w:rPr>
                <w:sz w:val="1"/>
                <w:szCs w:val="1"/>
                <w:color w:val="auto"/>
              </w:rPr>
            </w:pPr>
          </w:p>
        </w:tc>
      </w:tr>
      <w:tr>
        <w:trPr>
          <w:trHeight w:val="126"/>
        </w:trPr>
        <w:tc>
          <w:tcPr>
            <w:tcW w:w="34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Diluted weighted average shares of Class A and Class B</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151,362,643</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151,158,760</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400" w:type="dxa"/>
            <w:vAlign w:val="bottom"/>
          </w:tcPr>
          <w:p>
            <w:pPr>
              <w:spacing w:after="0"/>
              <w:rPr>
                <w:sz w:val="20"/>
                <w:szCs w:val="20"/>
                <w:color w:val="auto"/>
              </w:rPr>
            </w:pPr>
            <w:r>
              <w:rPr>
                <w:rFonts w:ascii="Times New Roman" w:cs="Times New Roman" w:eastAsia="Times New Roman" w:hAnsi="Times New Roman"/>
                <w:sz w:val="14"/>
                <w:szCs w:val="14"/>
                <w:color w:val="auto"/>
              </w:rPr>
              <w:t>common stock outstanding</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4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Assumed exchange of LLC interests for shares of Class A</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79,289,005</w:t>
            </w: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79,289,005</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or Class B common stock </w:t>
            </w:r>
            <w:r>
              <w:rPr>
                <w:rFonts w:ascii="Times New Roman" w:cs="Times New Roman" w:eastAsia="Times New Roman" w:hAnsi="Times New Roman"/>
                <w:sz w:val="14"/>
                <w:szCs w:val="14"/>
                <w:color w:val="auto"/>
                <w:vertAlign w:val="superscript"/>
              </w:rPr>
              <w:t>(1)</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400" w:type="dxa"/>
            <w:vAlign w:val="bottom"/>
            <w:tcBorders>
              <w:bottom w:val="single" w:sz="8" w:color="CCEEFF"/>
            </w:tcBorders>
          </w:tcPr>
          <w:p>
            <w:pPr>
              <w:spacing w:after="0" w:line="155" w:lineRule="exact"/>
              <w:rPr>
                <w:sz w:val="20"/>
                <w:szCs w:val="20"/>
                <w:color w:val="auto"/>
              </w:rPr>
            </w:pPr>
            <w:r>
              <w:rPr>
                <w:rFonts w:ascii="Times New Roman" w:cs="Times New Roman" w:eastAsia="Times New Roman" w:hAnsi="Times New Roman"/>
                <w:sz w:val="14"/>
                <w:szCs w:val="14"/>
                <w:color w:val="auto"/>
              </w:rPr>
              <w:t>Adjusted diluted weighted average shares outstanding</w:t>
            </w:r>
          </w:p>
        </w:tc>
        <w:tc>
          <w:tcPr>
            <w:tcW w:w="16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230,651,648</w:t>
            </w:r>
          </w:p>
        </w:tc>
        <w:tc>
          <w:tcPr>
            <w:tcW w:w="14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223,320,457</w:t>
            </w:r>
          </w:p>
        </w:tc>
        <w:tc>
          <w:tcPr>
            <w:tcW w:w="16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230,447,765</w:t>
            </w:r>
          </w:p>
        </w:tc>
        <w:tc>
          <w:tcPr>
            <w:tcW w:w="14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219,165,997</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215,365,920</w:t>
            </w:r>
          </w:p>
        </w:tc>
        <w:tc>
          <w:tcPr>
            <w:tcW w:w="0" w:type="dxa"/>
            <w:vAlign w:val="bottom"/>
          </w:tcPr>
          <w:p>
            <w:pPr>
              <w:spacing w:after="0"/>
              <w:rPr>
                <w:sz w:val="1"/>
                <w:szCs w:val="1"/>
                <w:color w:val="auto"/>
              </w:rPr>
            </w:pPr>
          </w:p>
        </w:tc>
      </w:tr>
      <w:tr>
        <w:trPr>
          <w:trHeight w:val="169"/>
        </w:trPr>
        <w:tc>
          <w:tcPr>
            <w:tcW w:w="340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Adjusted Net Income (in thousands)</w:t>
            </w:r>
          </w:p>
        </w:tc>
        <w:tc>
          <w:tcPr>
            <w:tcW w:w="1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61,627</w:t>
            </w:r>
          </w:p>
        </w:tc>
        <w:tc>
          <w:tcPr>
            <w:tcW w:w="1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52,190</w:t>
            </w:r>
          </w:p>
        </w:tc>
        <w:tc>
          <w:tcPr>
            <w:tcW w:w="1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118,255</w:t>
            </w:r>
          </w:p>
        </w:tc>
        <w:tc>
          <w:tcPr>
            <w:tcW w:w="1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42,252</w:t>
            </w:r>
          </w:p>
        </w:tc>
        <w:tc>
          <w:tcPr>
            <w:tcW w:w="1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5"/>
                <w:szCs w:val="5"/>
                <w:color w:val="auto"/>
                <w:w w:val="78"/>
              </w:rPr>
              <w:t>$</w:t>
            </w: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137,327</w:t>
            </w:r>
          </w:p>
        </w:tc>
        <w:tc>
          <w:tcPr>
            <w:tcW w:w="0" w:type="dxa"/>
            <w:vAlign w:val="bottom"/>
          </w:tcPr>
          <w:p>
            <w:pPr>
              <w:spacing w:after="0"/>
              <w:rPr>
                <w:sz w:val="1"/>
                <w:szCs w:val="1"/>
                <w:color w:val="auto"/>
              </w:rPr>
            </w:pPr>
          </w:p>
        </w:tc>
      </w:tr>
      <w:tr>
        <w:trPr>
          <w:trHeight w:val="143"/>
        </w:trPr>
        <w:tc>
          <w:tcPr>
            <w:tcW w:w="340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Adjusted Diluted EPS</w:t>
            </w:r>
          </w:p>
        </w:tc>
        <w:tc>
          <w:tcPr>
            <w:tcW w:w="160" w:type="dxa"/>
            <w:vAlign w:val="bottom"/>
          </w:tcPr>
          <w:p>
            <w:pPr>
              <w:spacing w:after="0"/>
              <w:rPr>
                <w:sz w:val="12"/>
                <w:szCs w:val="1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0.27</w:t>
            </w:r>
          </w:p>
        </w:tc>
        <w:tc>
          <w:tcPr>
            <w:tcW w:w="140" w:type="dxa"/>
            <w:vAlign w:val="bottom"/>
          </w:tcPr>
          <w:p>
            <w:pPr>
              <w:spacing w:after="0"/>
              <w:rPr>
                <w:sz w:val="12"/>
                <w:szCs w:val="12"/>
                <w:color w:val="auto"/>
              </w:rPr>
            </w:pPr>
          </w:p>
        </w:tc>
        <w:tc>
          <w:tcPr>
            <w:tcW w:w="160" w:type="dxa"/>
            <w:vAlign w:val="bottom"/>
            <w:tcBorders>
              <w:bottom w:val="single" w:sz="8" w:color="auto"/>
            </w:tcBorders>
          </w:tcPr>
          <w:p>
            <w:pPr>
              <w:jc w:val="right"/>
              <w:ind w:right="8"/>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0.23</w:t>
            </w:r>
          </w:p>
        </w:tc>
        <w:tc>
          <w:tcPr>
            <w:tcW w:w="160" w:type="dxa"/>
            <w:vAlign w:val="bottom"/>
          </w:tcPr>
          <w:p>
            <w:pPr>
              <w:spacing w:after="0"/>
              <w:rPr>
                <w:sz w:val="12"/>
                <w:szCs w:val="12"/>
                <w:color w:val="auto"/>
              </w:rPr>
            </w:pPr>
          </w:p>
        </w:tc>
        <w:tc>
          <w:tcPr>
            <w:tcW w:w="1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0.51</w:t>
            </w:r>
          </w:p>
        </w:tc>
        <w:tc>
          <w:tcPr>
            <w:tcW w:w="14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0.19</w:t>
            </w:r>
          </w:p>
        </w:tc>
        <w:tc>
          <w:tcPr>
            <w:tcW w:w="1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5"/>
                <w:szCs w:val="5"/>
                <w:color w:val="auto"/>
                <w:w w:val="78"/>
              </w:rPr>
              <w:t>$</w:t>
            </w:r>
          </w:p>
        </w:tc>
        <w:tc>
          <w:tcPr>
            <w:tcW w:w="84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0.64</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20" w:right="520" w:hanging="317"/>
        <w:spacing w:after="0" w:line="262" w:lineRule="auto"/>
        <w:tabs>
          <w:tab w:leader="none" w:pos="3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the exchange of all outstanding LLC Interests for shares of Class A or Class B common stock, resulting in the elimination of the non-controlling interests and recognition of the net income attributable to non-controlling interests.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tcBorders>
              <w:right w:val="single" w:sz="8" w:color="auto"/>
            </w:tcBorders>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5"/>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44"/>
        </w:trPr>
        <w:tc>
          <w:tcPr>
            <w:tcW w:w="4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Three</w:t>
            </w: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center"/>
              <w:ind w:right="77"/>
              <w:spacing w:after="0" w:line="145" w:lineRule="exact"/>
              <w:rPr>
                <w:sz w:val="20"/>
                <w:szCs w:val="20"/>
                <w:color w:val="auto"/>
              </w:rPr>
            </w:pPr>
            <w:r>
              <w:rPr>
                <w:rFonts w:ascii="Times New Roman" w:cs="Times New Roman" w:eastAsia="Times New Roman" w:hAnsi="Times New Roman"/>
                <w:sz w:val="14"/>
                <w:szCs w:val="14"/>
                <w:b w:val="1"/>
                <w:bCs w:val="1"/>
                <w:color w:val="auto"/>
                <w:w w:val="99"/>
              </w:rPr>
              <w:t>Nine</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center"/>
              <w:ind w:right="300"/>
              <w:spacing w:after="0" w:line="145" w:lineRule="exact"/>
              <w:rPr>
                <w:sz w:val="20"/>
                <w:szCs w:val="20"/>
                <w:color w:val="auto"/>
              </w:rPr>
            </w:pPr>
            <w:r>
              <w:rPr>
                <w:rFonts w:ascii="Times New Roman" w:cs="Times New Roman" w:eastAsia="Times New Roman" w:hAnsi="Times New Roman"/>
                <w:sz w:val="14"/>
                <w:szCs w:val="14"/>
                <w:b w:val="1"/>
                <w:bCs w:val="1"/>
                <w:color w:val="auto"/>
              </w:rPr>
              <w:t>Three</w:t>
            </w: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center"/>
              <w:ind w:right="77"/>
              <w:spacing w:after="0" w:line="145" w:lineRule="exact"/>
              <w:rPr>
                <w:sz w:val="20"/>
                <w:szCs w:val="20"/>
                <w:color w:val="auto"/>
              </w:rPr>
            </w:pPr>
            <w:r>
              <w:rPr>
                <w:rFonts w:ascii="Times New Roman" w:cs="Times New Roman" w:eastAsia="Times New Roman" w:hAnsi="Times New Roman"/>
                <w:sz w:val="14"/>
                <w:szCs w:val="14"/>
                <w:b w:val="1"/>
                <w:bCs w:val="1"/>
                <w:color w:val="auto"/>
                <w:w w:val="99"/>
              </w:rPr>
              <w:t>Nine</w:t>
            </w: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90"/>
        </w:trPr>
        <w:tc>
          <w:tcPr>
            <w:tcW w:w="4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Reconciliation of Operating Expenses to Adjusted Expenses</w:t>
            </w:r>
          </w:p>
        </w:tc>
        <w:tc>
          <w:tcPr>
            <w:tcW w:w="11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80" w:type="dxa"/>
            <w:vAlign w:val="bottom"/>
            <w:tcBorders>
              <w:right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4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9"/>
        </w:trPr>
        <w:tc>
          <w:tcPr>
            <w:tcW w:w="482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0" w:type="dxa"/>
            <w:vAlign w:val="bottom"/>
          </w:tcPr>
          <w:p>
            <w:pPr>
              <w:spacing w:after="0"/>
              <w:rPr>
                <w:sz w:val="1"/>
                <w:szCs w:val="1"/>
                <w:color w:val="auto"/>
              </w:rPr>
            </w:pPr>
          </w:p>
        </w:tc>
      </w:tr>
      <w:tr>
        <w:trPr>
          <w:trHeight w:val="210"/>
        </w:trPr>
        <w:tc>
          <w:tcPr>
            <w:tcW w:w="48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142,723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442,768</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114,973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338,607</w:t>
            </w:r>
          </w:p>
        </w:tc>
        <w:tc>
          <w:tcPr>
            <w:tcW w:w="0" w:type="dxa"/>
            <w:vAlign w:val="bottom"/>
          </w:tcPr>
          <w:p>
            <w:pPr>
              <w:spacing w:after="0"/>
              <w:rPr>
                <w:sz w:val="1"/>
                <w:szCs w:val="1"/>
                <w:color w:val="auto"/>
              </w:rPr>
            </w:pPr>
          </w:p>
        </w:tc>
      </w:tr>
      <w:tr>
        <w:trPr>
          <w:trHeight w:val="210"/>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Acquisition and Refinitiv Transaction related D&amp;A</w:t>
            </w:r>
            <w:r>
              <w:rPr>
                <w:rFonts w:ascii="Times New Roman" w:cs="Times New Roman" w:eastAsia="Times New Roman" w:hAnsi="Times New Roman"/>
                <w:sz w:val="8"/>
                <w:szCs w:val="8"/>
                <w:color w:val="auto"/>
              </w:rPr>
              <w:t>(1)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(72,122)</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(19,576)</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r>
              <w:rPr>
                <w:rFonts w:ascii="Times New Roman" w:cs="Times New Roman" w:eastAsia="Times New Roman" w:hAnsi="Times New Roman"/>
                <w:sz w:val="8"/>
                <w:szCs w:val="8"/>
                <w:color w:val="auto"/>
              </w:rPr>
              <w:t>(2)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(22,398)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Unrealized foreign exchange gains / (losses)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0" w:type="dxa"/>
            <w:vAlign w:val="bottom"/>
          </w:tcPr>
          <w:p>
            <w:pPr>
              <w:spacing w:after="0"/>
              <w:rPr>
                <w:sz w:val="1"/>
                <w:szCs w:val="1"/>
                <w:color w:val="auto"/>
              </w:rPr>
            </w:pPr>
          </w:p>
        </w:tc>
      </w:tr>
      <w:tr>
        <w:trPr>
          <w:trHeight w:val="216"/>
        </w:trPr>
        <w:tc>
          <w:tcPr>
            <w:tcW w:w="48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 (loss) from revaluation of foreign-denominated cash</w:t>
            </w:r>
            <w:r>
              <w:rPr>
                <w:rFonts w:ascii="Times New Roman" w:cs="Times New Roman" w:eastAsia="Times New Roman" w:hAnsi="Times New Roman"/>
                <w:sz w:val="8"/>
                <w:szCs w:val="8"/>
                <w:color w:val="auto"/>
              </w:rPr>
              <w:t>(3)</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0" w:type="dxa"/>
            <w:vAlign w:val="bottom"/>
          </w:tcPr>
          <w:p>
            <w:pPr>
              <w:spacing w:after="0"/>
              <w:rPr>
                <w:sz w:val="1"/>
                <w:szCs w:val="1"/>
                <w:color w:val="auto"/>
              </w:rPr>
            </w:pPr>
          </w:p>
        </w:tc>
      </w:tr>
      <w:tr>
        <w:trPr>
          <w:trHeight w:val="210"/>
        </w:trPr>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Adjusted Expenses</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117,885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348,343</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108,519</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320,912</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660" w:right="80" w:hanging="333"/>
        <w:spacing w:after="0" w:line="241" w:lineRule="auto"/>
        <w:tabs>
          <w:tab w:leader="none" w:pos="6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acquisition-related intangibles amortization and increased tangible asset and capitalized software depreciation and amortization resulting from the Refinitiv Transaction and the application of pushdown accounting (where all assets were marked to fair value as of the closing date of the Refinitiv Transaction).</w:t>
      </w:r>
    </w:p>
    <w:p>
      <w:pPr>
        <w:spacing w:after="0" w:line="176" w:lineRule="exact"/>
        <w:rPr>
          <w:rFonts w:ascii="Times New Roman" w:cs="Times New Roman" w:eastAsia="Times New Roman" w:hAnsi="Times New Roman"/>
          <w:sz w:val="14"/>
          <w:szCs w:val="14"/>
          <w:color w:val="auto"/>
        </w:rPr>
      </w:pPr>
    </w:p>
    <w:p>
      <w:pPr>
        <w:ind w:left="660" w:hanging="333"/>
        <w:spacing w:after="0"/>
        <w:tabs>
          <w:tab w:leader="none" w:pos="6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non-cash stock-based compensation expense associated with the Special Option Award and post-IPO options awarded in 2019.</w:t>
      </w:r>
    </w:p>
    <w:p>
      <w:pPr>
        <w:spacing w:after="0" w:line="203" w:lineRule="exact"/>
        <w:rPr>
          <w:rFonts w:ascii="Times New Roman" w:cs="Times New Roman" w:eastAsia="Times New Roman" w:hAnsi="Times New Roman"/>
          <w:sz w:val="14"/>
          <w:szCs w:val="14"/>
          <w:color w:val="auto"/>
        </w:rPr>
      </w:pPr>
    </w:p>
    <w:p>
      <w:pPr>
        <w:ind w:left="660" w:hanging="333"/>
        <w:spacing w:after="0"/>
        <w:tabs>
          <w:tab w:leader="none" w:pos="6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foreign exchange gain or loss from the revaluation of cash denominated in a different currency than the entity’s functional currency.</w:t>
      </w:r>
    </w:p>
    <w:p>
      <w:pPr>
        <w:sectPr>
          <w:pgSz w:w="11900" w:h="16838" w:orient="portrait"/>
          <w:cols w:equalWidth="0" w:num="1">
            <w:col w:w="9080"/>
          </w:cols>
          <w:pgMar w:left="1420" w:top="1026"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980"/>
        <w:spacing w:after="0" w:line="263" w:lineRule="auto"/>
        <w:rPr>
          <w:sz w:val="20"/>
          <w:szCs w:val="20"/>
          <w:color w:val="auto"/>
        </w:rPr>
      </w:pPr>
      <w:r>
        <w:rPr>
          <w:rFonts w:ascii="Times New Roman" w:cs="Times New Roman" w:eastAsia="Times New Roman" w:hAnsi="Times New Roman"/>
          <w:sz w:val="18"/>
          <w:szCs w:val="18"/>
          <w:b w:val="1"/>
          <w:bCs w:val="1"/>
          <w:color w:val="auto"/>
        </w:rPr>
        <w:t>Reconciliation of Cash Flows from Operating Activities to Free Cash Flow</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575437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Capitalization of software development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37134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713480" cy="8890"/>
                    </a:xfrm>
                    <a:prstGeom prst="rect">
                      <a:avLst/>
                    </a:prstGeom>
                    <a:noFill/>
                  </pic:spPr>
                </pic:pic>
              </a:graphicData>
            </a:graphic>
          </wp:anchor>
        </w:drawing>
      </w:r>
    </w:p>
    <w:p>
      <w:pPr>
        <w:spacing w:after="0" w:line="3" w:lineRule="exact"/>
        <w:rPr>
          <w:sz w:val="20"/>
          <w:szCs w:val="20"/>
          <w:color w:val="auto"/>
        </w:rPr>
      </w:pPr>
    </w:p>
    <w:p>
      <w:pPr>
        <w:ind w:right="440"/>
        <w:spacing w:after="0" w:line="276" w:lineRule="auto"/>
        <w:rPr>
          <w:sz w:val="20"/>
          <w:szCs w:val="20"/>
          <w:color w:val="auto"/>
        </w:rPr>
      </w:pPr>
      <w:r>
        <w:rPr>
          <w:rFonts w:ascii="Times New Roman" w:cs="Times New Roman" w:eastAsia="Times New Roman" w:hAnsi="Times New Roman"/>
          <w:sz w:val="18"/>
          <w:szCs w:val="18"/>
          <w:color w:val="auto"/>
        </w:rPr>
        <w:t xml:space="preserve">Less: Purchases of furniture, equipment and leasehold improvements </w:t>
      </w:r>
      <w:r>
        <w:rPr>
          <w:rFonts w:ascii="Times New Roman" w:cs="Times New Roman" w:eastAsia="Times New Roman" w:hAnsi="Times New Roman"/>
          <w:sz w:val="18"/>
          <w:szCs w:val="18"/>
          <w:b w:val="1"/>
          <w:bCs w:val="1"/>
          <w:color w:val="auto"/>
        </w:rPr>
        <w:t>Free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-301625</wp:posOffset>
            </wp:positionV>
            <wp:extent cx="5754370" cy="2914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914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31"/>
        </w:trPr>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center"/>
              <w:ind w:right="61"/>
              <w:spacing w:after="0" w:line="131" w:lineRule="exact"/>
              <w:rPr>
                <w:sz w:val="20"/>
                <w:szCs w:val="20"/>
                <w:color w:val="auto"/>
              </w:rPr>
            </w:pPr>
            <w:r>
              <w:rPr>
                <w:rFonts w:ascii="Times New Roman" w:cs="Times New Roman" w:eastAsia="Times New Roman" w:hAnsi="Times New Roman"/>
                <w:sz w:val="14"/>
                <w:szCs w:val="14"/>
                <w:b w:val="1"/>
                <w:bCs w:val="1"/>
                <w:color w:val="auto"/>
              </w:rPr>
              <w:t>Nine</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61"/>
              <w:spacing w:after="0" w:line="131" w:lineRule="exact"/>
              <w:rPr>
                <w:sz w:val="20"/>
                <w:szCs w:val="20"/>
                <w:color w:val="auto"/>
              </w:rPr>
            </w:pPr>
            <w:r>
              <w:rPr>
                <w:rFonts w:ascii="Times New Roman" w:cs="Times New Roman" w:eastAsia="Times New Roman" w:hAnsi="Times New Roman"/>
                <w:sz w:val="14"/>
                <w:szCs w:val="14"/>
                <w:b w:val="1"/>
                <w:bCs w:val="1"/>
                <w:color w:val="auto"/>
                <w:w w:val="99"/>
              </w:rPr>
              <w:t>Nine</w:t>
            </w:r>
          </w:p>
        </w:tc>
      </w:tr>
      <w:tr>
        <w:trPr>
          <w:trHeight w:val="162"/>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Months</w:t>
            </w:r>
          </w:p>
        </w:tc>
      </w:tr>
      <w:tr>
        <w:trPr>
          <w:trHeight w:val="190"/>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Ended</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9"/>
        </w:trPr>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9"/>
              </w:rPr>
              <w:t>2018</w:t>
            </w:r>
          </w:p>
        </w:tc>
      </w:tr>
      <w:tr>
        <w:trPr>
          <w:trHeight w:val="210"/>
        </w:trPr>
        <w:tc>
          <w:tcPr>
            <w:tcW w:w="20" w:type="dxa"/>
            <w:vAlign w:val="bottom"/>
          </w:tcPr>
          <w:p>
            <w:pPr>
              <w:spacing w:after="0"/>
              <w:rPr>
                <w:sz w:val="18"/>
                <w:szCs w:val="18"/>
                <w:color w:val="auto"/>
              </w:rPr>
            </w:pPr>
          </w:p>
        </w:tc>
        <w:tc>
          <w:tcPr>
            <w:tcW w:w="1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190,465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164,828</w:t>
            </w:r>
          </w:p>
        </w:tc>
      </w:tr>
      <w:tr>
        <w:trPr>
          <w:trHeight w:val="191"/>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(21,200)</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(19,523)</w:t>
            </w:r>
          </w:p>
        </w:tc>
      </w:tr>
      <w:tr>
        <w:trPr>
          <w:trHeight w:val="234"/>
        </w:trPr>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(8,567)</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(6,327)</w:t>
            </w:r>
          </w:p>
        </w:tc>
      </w:tr>
      <w:tr>
        <w:trPr>
          <w:trHeight w:val="210"/>
        </w:trPr>
        <w:tc>
          <w:tcPr>
            <w:tcW w:w="20" w:type="dxa"/>
            <w:vAlign w:val="bottom"/>
          </w:tcPr>
          <w:p>
            <w:pPr>
              <w:spacing w:after="0"/>
              <w:rPr>
                <w:sz w:val="18"/>
                <w:szCs w:val="18"/>
                <w:color w:val="auto"/>
              </w:rPr>
            </w:pPr>
          </w:p>
        </w:tc>
        <w:tc>
          <w:tcPr>
            <w:tcW w:w="1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160,698</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138,978</w:t>
            </w:r>
          </w:p>
        </w:tc>
      </w:tr>
    </w:tbl>
    <w:p>
      <w:pPr>
        <w:spacing w:after="0" w:line="216" w:lineRule="exact"/>
        <w:rPr>
          <w:sz w:val="20"/>
          <w:szCs w:val="20"/>
          <w:color w:val="auto"/>
        </w:rPr>
      </w:pPr>
    </w:p>
    <w:p>
      <w:pPr>
        <w:sectPr>
          <w:pgSz w:w="11900" w:h="16838" w:orient="portrait"/>
          <w:cols w:equalWidth="0" w:num="2">
            <w:col w:w="5420" w:space="720"/>
            <w:col w:w="2940"/>
          </w:cols>
          <w:pgMar w:left="1420" w:top="1026" w:right="1399" w:bottom="1440" w:gutter="0" w:footer="0" w:header="0"/>
          <w:type w:val="continuous"/>
        </w:sectPr>
      </w:pPr>
    </w:p>
    <w:p>
      <w:pPr>
        <w:spacing w:after="0" w:line="139"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478155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026" w:right="139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5654675</wp:posOffset>
            </wp:positionH>
            <wp:positionV relativeFrom="page">
              <wp:posOffset>88900</wp:posOffset>
            </wp:positionV>
            <wp:extent cx="1003300" cy="3086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1003300" cy="308610"/>
                    </a:xfrm>
                    <a:prstGeom prst="rect">
                      <a:avLst/>
                    </a:prstGeom>
                    <a:noFill/>
                  </pic:spPr>
                </pic:pic>
              </a:graphicData>
            </a:graphic>
          </wp:anchor>
        </w:drawing>
        <w:t>TRADEWEB MARKETS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BASIC AND DILUTED EPS CALCULATIONS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w:t>
      </w:r>
    </w:p>
    <w:p>
      <w:pPr>
        <w:spacing w:after="0" w:line="20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basic and diluted earnings per share calculations for Tradeweb Markets LLC (pre-IPO period):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ind w:right="8"/>
              <w:spacing w:after="0" w:line="145" w:lineRule="exact"/>
              <w:rPr>
                <w:sz w:val="20"/>
                <w:szCs w:val="20"/>
                <w:color w:val="auto"/>
              </w:rPr>
            </w:pPr>
            <w:r>
              <w:rPr>
                <w:rFonts w:ascii="Times New Roman" w:cs="Times New Roman" w:eastAsia="Times New Roman" w:hAnsi="Times New Roman"/>
                <w:sz w:val="14"/>
                <w:szCs w:val="14"/>
                <w:b w:val="1"/>
                <w:bCs w:val="1"/>
                <w:color w:val="auto"/>
              </w:rPr>
              <w:t>Nine Months</w:t>
            </w:r>
          </w:p>
        </w:tc>
        <w:tc>
          <w:tcPr>
            <w:tcW w:w="20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ind w:right="8"/>
              <w:spacing w:after="0" w:line="145" w:lineRule="exact"/>
              <w:rPr>
                <w:sz w:val="20"/>
                <w:szCs w:val="20"/>
                <w:color w:val="auto"/>
              </w:rPr>
            </w:pPr>
            <w:r>
              <w:rPr>
                <w:rFonts w:ascii="Times New Roman" w:cs="Times New Roman" w:eastAsia="Times New Roman" w:hAnsi="Times New Roman"/>
                <w:sz w:val="14"/>
                <w:szCs w:val="14"/>
                <w:b w:val="1"/>
                <w:bCs w:val="1"/>
                <w:color w:val="auto"/>
              </w:rPr>
              <w:t>Nine Months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Ended</w:t>
            </w:r>
          </w:p>
        </w:tc>
        <w:tc>
          <w:tcPr>
            <w:tcW w:w="20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464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00" w:type="dxa"/>
            <w:vAlign w:val="bottom"/>
            <w:tcBorders>
              <w:bottom w:val="single" w:sz="8" w:color="auto"/>
              <w:right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20" w:type="dxa"/>
            <w:vAlign w:val="bottom"/>
            <w:tcBorders>
              <w:bottom w:val="single" w:sz="8" w:color="auto"/>
            </w:tcBorders>
            <w:gridSpan w:val="3"/>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EPS: Pre-IPO net income attributable to Tradeweb Markets LLC</w:t>
            </w:r>
            <w:r>
              <w:rPr>
                <w:rFonts w:ascii="Times New Roman" w:cs="Times New Roman" w:eastAsia="Times New Roman" w:hAnsi="Times New Roman"/>
                <w:sz w:val="14"/>
                <w:szCs w:val="14"/>
                <w:b w:val="1"/>
                <w:bCs w:val="1"/>
                <w:color w:val="auto"/>
                <w:vertAlign w:val="superscript"/>
              </w:rPr>
              <w:t>(1)</w:t>
            </w:r>
          </w:p>
        </w:tc>
        <w:tc>
          <w:tcPr>
            <w:tcW w:w="1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right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2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color w:val="auto"/>
              </w:rPr>
              <w:t>Numerator:</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420" w:type="dxa"/>
            <w:vAlign w:val="bottom"/>
            <w:gridSpan w:val="3"/>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Pre-IPO net income attributable to Tradeweb Markets LLC</w:t>
            </w:r>
          </w:p>
        </w:tc>
        <w:tc>
          <w:tcPr>
            <w:tcW w:w="260" w:type="dxa"/>
            <w:vAlign w:val="bottom"/>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42,352</w:t>
            </w:r>
          </w:p>
        </w:tc>
        <w:tc>
          <w:tcPr>
            <w:tcW w:w="200" w:type="dxa"/>
            <w:vAlign w:val="bottom"/>
            <w:tcBorders>
              <w:right w:val="single" w:sz="8" w:color="auto"/>
            </w:tcBorders>
            <w:shd w:val="clear" w:color="auto" w:fill="CCEEFF"/>
          </w:tcPr>
          <w:p>
            <w:pPr>
              <w:spacing w:after="0"/>
              <w:rPr>
                <w:sz w:val="13"/>
                <w:szCs w:val="13"/>
                <w:color w:val="auto"/>
              </w:rPr>
            </w:pPr>
          </w:p>
        </w:tc>
        <w:tc>
          <w:tcPr>
            <w:tcW w:w="300" w:type="dxa"/>
            <w:vAlign w:val="bottom"/>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45,955</w:t>
            </w:r>
          </w:p>
        </w:tc>
        <w:tc>
          <w:tcPr>
            <w:tcW w:w="220" w:type="dxa"/>
            <w:vAlign w:val="bottom"/>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130,160</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420" w:type="dxa"/>
            <w:vAlign w:val="bottom"/>
            <w:gridSpan w:val="3"/>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Denominator:</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tcBorders>
              <w:right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46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4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Weighted average LLC Interests outstanding - Basic</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222,222,197</w:t>
            </w:r>
          </w:p>
        </w:tc>
        <w:tc>
          <w:tcPr>
            <w:tcW w:w="20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219,165,997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215,365,920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Dilutive effect of equity-settled PRSUs</w:t>
            </w:r>
          </w:p>
        </w:tc>
        <w:tc>
          <w:tcPr>
            <w:tcW w:w="1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1,098,260</w:t>
            </w:r>
          </w:p>
        </w:tc>
        <w:tc>
          <w:tcPr>
            <w:tcW w:w="200" w:type="dxa"/>
            <w:vAlign w:val="bottom"/>
            <w:tcBorders>
              <w:right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420" w:type="dxa"/>
            <w:vAlign w:val="bottom"/>
            <w:tcBorders>
              <w:bottom w:val="single" w:sz="8" w:color="CCEEFF"/>
            </w:tcBorders>
            <w:gridSpan w:val="3"/>
          </w:tcPr>
          <w:p>
            <w:pPr>
              <w:spacing w:after="0" w:line="155" w:lineRule="exact"/>
              <w:rPr>
                <w:sz w:val="20"/>
                <w:szCs w:val="20"/>
                <w:color w:val="auto"/>
              </w:rPr>
            </w:pPr>
            <w:r>
              <w:rPr>
                <w:rFonts w:ascii="Times New Roman" w:cs="Times New Roman" w:eastAsia="Times New Roman" w:hAnsi="Times New Roman"/>
                <w:sz w:val="14"/>
                <w:szCs w:val="14"/>
                <w:color w:val="auto"/>
              </w:rPr>
              <w:t>Weighted average LLC Interests outstanding - Diluted</w:t>
            </w: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223,320,457</w:t>
            </w:r>
          </w:p>
        </w:tc>
        <w:tc>
          <w:tcPr>
            <w:tcW w:w="200" w:type="dxa"/>
            <w:vAlign w:val="bottom"/>
            <w:tcBorders>
              <w:bottom w:val="single" w:sz="8" w:color="CCEEFF"/>
              <w:right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219,165,997</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215,365,920</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tcBorders>
              <w:right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54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Earnings per share - Basic</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0.19</w:t>
            </w:r>
          </w:p>
        </w:tc>
        <w:tc>
          <w:tcPr>
            <w:tcW w:w="200" w:type="dxa"/>
            <w:vAlign w:val="bottom"/>
            <w:tcBorders>
              <w:right w:val="single" w:sz="8" w:color="auto"/>
            </w:tcBorders>
          </w:tcPr>
          <w:p>
            <w:pPr>
              <w:spacing w:after="0"/>
              <w:rPr>
                <w:sz w:val="13"/>
                <w:szCs w:val="13"/>
                <w:color w:val="auto"/>
              </w:rPr>
            </w:pPr>
          </w:p>
        </w:tc>
        <w:tc>
          <w:tcPr>
            <w:tcW w:w="3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0.21</w:t>
            </w:r>
          </w:p>
        </w:tc>
        <w:tc>
          <w:tcPr>
            <w:tcW w:w="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0.60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20" w:type="dxa"/>
            <w:vAlign w:val="bottom"/>
            <w:tcBorders>
              <w:top w:val="single" w:sz="8" w:color="CCEEFF"/>
              <w:bottom w:val="single" w:sz="8" w:color="CCEEFF"/>
            </w:tcBorders>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Earnings per share - Diluted</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0.19</w:t>
            </w:r>
          </w:p>
        </w:tc>
        <w:tc>
          <w:tcPr>
            <w:tcW w:w="200" w:type="dxa"/>
            <w:vAlign w:val="bottom"/>
            <w:tcBorders>
              <w:top w:val="single" w:sz="8" w:color="CCEEFF"/>
              <w:bottom w:val="single" w:sz="8" w:color="CCEEFF"/>
              <w:right w:val="single" w:sz="8" w:color="auto"/>
            </w:tcBorders>
            <w:shd w:val="clear" w:color="auto" w:fill="CCEEFF"/>
          </w:tcPr>
          <w:p>
            <w:pPr>
              <w:spacing w:after="0"/>
              <w:rPr>
                <w:sz w:val="13"/>
                <w:szCs w:val="13"/>
                <w:color w:val="auto"/>
              </w:rPr>
            </w:pP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0.21</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0.60</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660" w:right="280" w:hanging="333"/>
        <w:spacing w:after="0" w:line="236" w:lineRule="auto"/>
        <w:tabs>
          <w:tab w:leader="none" w:pos="6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Earnings per share and weighted average shares outstanding for the pre-IPO periods have been computed to give effect to the Reorganization Transactions, including the amendment and restatement of the fourth amended and restated limited liability company agreement of Tradeweb Markets LLC to, among other things, (i) provide for a new single class of common membership interests in Tradeweb Markets LLC (“LLC Interests”) and (ii) exchange all of the original members’ existing membership interests for LLC Interests.</w:t>
      </w:r>
    </w:p>
    <w:p>
      <w:pPr>
        <w:spacing w:after="0" w:line="18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basic and diluted earnings per share calculations for Tradeweb Markets Inc. (post-IPO period):</w:t>
      </w:r>
    </w:p>
    <w:p>
      <w:pPr>
        <w:sectPr>
          <w:pgSz w:w="11900" w:h="16838" w:orient="portrait"/>
          <w:cols w:equalWidth="0" w:num="1">
            <w:col w:w="9060"/>
          </w:cols>
          <w:pgMar w:left="1420" w:top="806"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EPS: Post-IPO net income attributable to Tradeweb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-102870</wp:posOffset>
            </wp:positionV>
            <wp:extent cx="5754370" cy="1200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1200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u w:val="single" w:color="auto"/>
          <w:color w:val="auto"/>
        </w:rPr>
        <w:t>Numerator:</w:t>
      </w:r>
    </w:p>
    <w:p>
      <w:pPr>
        <w:spacing w:after="0"/>
        <w:rPr>
          <w:sz w:val="20"/>
          <w:szCs w:val="20"/>
          <w:color w:val="auto"/>
        </w:rPr>
      </w:pPr>
      <w:r>
        <w:rPr>
          <w:rFonts w:ascii="Times New Roman" w:cs="Times New Roman" w:eastAsia="Times New Roman" w:hAnsi="Times New Roman"/>
          <w:sz w:val="14"/>
          <w:szCs w:val="14"/>
          <w:color w:val="auto"/>
        </w:rPr>
        <w:t>Post-IPO net income attributable to Tradeweb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-97155</wp:posOffset>
            </wp:positionV>
            <wp:extent cx="5754370" cy="1028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102870"/>
                    </a:xfrm>
                    <a:prstGeom prst="rect">
                      <a:avLst/>
                    </a:prstGeom>
                    <a:noFill/>
                  </pic:spPr>
                </pic:pic>
              </a:graphicData>
            </a:graphic>
          </wp:anchor>
        </w:drawing>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-86995</wp:posOffset>
            </wp:positionV>
            <wp:extent cx="5754370" cy="1028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102870"/>
                    </a:xfrm>
                    <a:prstGeom prst="rect">
                      <a:avLst/>
                    </a:prstGeom>
                    <a:noFill/>
                  </pic:spPr>
                </pic:pic>
              </a:graphicData>
            </a:graphic>
          </wp:anchor>
        </w:drawing>
      </w:r>
    </w:p>
    <w:p>
      <w:pPr>
        <w:ind w:left="120" w:right="900" w:hanging="107"/>
        <w:spacing w:after="0" w:line="241" w:lineRule="auto"/>
        <w:rPr>
          <w:sz w:val="20"/>
          <w:szCs w:val="20"/>
          <w:color w:val="auto"/>
        </w:rPr>
      </w:pPr>
      <w:r>
        <w:rPr>
          <w:rFonts w:ascii="Times New Roman" w:cs="Times New Roman" w:eastAsia="Times New Roman" w:hAnsi="Times New Roman"/>
          <w:sz w:val="14"/>
          <w:szCs w:val="14"/>
          <w:color w:val="auto"/>
        </w:rPr>
        <w:t>Weighted average shares of Class A and Class B common stock outstanding - Basic Dilutive effect of equity-settled PRSUs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-97790</wp:posOffset>
            </wp:positionV>
            <wp:extent cx="5754370" cy="1028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10287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4"/>
          <w:szCs w:val="14"/>
          <w:color w:val="auto"/>
        </w:rPr>
        <w:t>Dilutive effect of options</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b w:val="1"/>
          <w:bCs w:val="1"/>
          <w:color w:val="auto"/>
        </w:rPr>
        <w:t>Successor</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center"/>
              <w:ind w:right="208"/>
              <w:spacing w:after="0" w:line="145"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3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center"/>
              <w:ind w:right="8"/>
              <w:spacing w:after="0" w:line="145" w:lineRule="exact"/>
              <w:rPr>
                <w:sz w:val="20"/>
                <w:szCs w:val="20"/>
                <w:color w:val="auto"/>
              </w:rPr>
            </w:pPr>
            <w:r>
              <w:rPr>
                <w:rFonts w:ascii="Times New Roman" w:cs="Times New Roman" w:eastAsia="Times New Roman" w:hAnsi="Times New Roman"/>
                <w:sz w:val="14"/>
                <w:szCs w:val="14"/>
                <w:b w:val="1"/>
                <w:bCs w:val="1"/>
                <w:color w:val="auto"/>
              </w:rPr>
              <w:t>Nine Months</w:t>
            </w:r>
          </w:p>
        </w:tc>
      </w:tr>
      <w:tr>
        <w:trPr>
          <w:trHeight w:val="162"/>
        </w:trPr>
        <w:tc>
          <w:tcPr>
            <w:tcW w:w="80" w:type="dxa"/>
            <w:vAlign w:val="bottom"/>
          </w:tcPr>
          <w:p>
            <w:pPr>
              <w:spacing w:after="0"/>
              <w:rPr>
                <w:sz w:val="14"/>
                <w:szCs w:val="14"/>
                <w:color w:val="auto"/>
              </w:rPr>
            </w:pPr>
          </w:p>
        </w:tc>
        <w:tc>
          <w:tcPr>
            <w:tcW w:w="120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Ended</w:t>
            </w:r>
          </w:p>
        </w:tc>
        <w:tc>
          <w:tcPr>
            <w:tcW w:w="340" w:type="dxa"/>
            <w:vAlign w:val="bottom"/>
          </w:tcPr>
          <w:p>
            <w:pPr>
              <w:spacing w:after="0"/>
              <w:rPr>
                <w:sz w:val="14"/>
                <w:szCs w:val="14"/>
                <w:color w:val="auto"/>
              </w:rPr>
            </w:pPr>
          </w:p>
        </w:tc>
        <w:tc>
          <w:tcPr>
            <w:tcW w:w="10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Ended</w:t>
            </w:r>
          </w:p>
        </w:tc>
      </w:tr>
      <w:tr>
        <w:trPr>
          <w:trHeight w:val="162"/>
        </w:trPr>
        <w:tc>
          <w:tcPr>
            <w:tcW w:w="80" w:type="dxa"/>
            <w:vAlign w:val="bottom"/>
          </w:tcPr>
          <w:p>
            <w:pPr>
              <w:spacing w:after="0"/>
              <w:rPr>
                <w:sz w:val="14"/>
                <w:szCs w:val="14"/>
                <w:color w:val="auto"/>
              </w:rPr>
            </w:pPr>
          </w:p>
        </w:tc>
        <w:tc>
          <w:tcPr>
            <w:tcW w:w="1200" w:type="dxa"/>
            <w:vAlign w:val="bottom"/>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tcPr>
          <w:p>
            <w:pPr>
              <w:spacing w:after="0"/>
              <w:rPr>
                <w:sz w:val="14"/>
                <w:szCs w:val="14"/>
                <w:color w:val="auto"/>
              </w:rPr>
            </w:pPr>
          </w:p>
        </w:tc>
        <w:tc>
          <w:tcPr>
            <w:tcW w:w="10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3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9"/>
              </w:rPr>
              <w:t>2019</w:t>
            </w:r>
          </w:p>
        </w:tc>
      </w:tr>
      <w:tr>
        <w:trPr>
          <w:trHeight w:val="497"/>
        </w:trPr>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29,612</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42,440</w:t>
            </w:r>
          </w:p>
        </w:tc>
      </w:tr>
      <w:tr>
        <w:trPr>
          <w:trHeight w:val="460"/>
        </w:trPr>
        <w:tc>
          <w:tcPr>
            <w:tcW w:w="80" w:type="dxa"/>
            <w:vAlign w:val="bottom"/>
          </w:tcPr>
          <w:p>
            <w:pPr>
              <w:spacing w:after="0"/>
              <w:rPr>
                <w:sz w:val="24"/>
                <w:szCs w:val="24"/>
                <w:color w:val="auto"/>
              </w:rPr>
            </w:pPr>
          </w:p>
        </w:tc>
        <w:tc>
          <w:tcPr>
            <w:tcW w:w="12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142,935,206</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142,934,221</w:t>
            </w:r>
          </w:p>
        </w:tc>
      </w:tr>
      <w:tr>
        <w:trPr>
          <w:trHeight w:val="162"/>
        </w:trPr>
        <w:tc>
          <w:tcPr>
            <w:tcW w:w="80" w:type="dxa"/>
            <w:vAlign w:val="bottom"/>
          </w:tcPr>
          <w:p>
            <w:pPr>
              <w:spacing w:after="0"/>
              <w:rPr>
                <w:sz w:val="14"/>
                <w:szCs w:val="14"/>
                <w:color w:val="auto"/>
              </w:rPr>
            </w:pPr>
          </w:p>
        </w:tc>
        <w:tc>
          <w:tcPr>
            <w:tcW w:w="12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2,492,381</w:t>
            </w:r>
          </w:p>
        </w:tc>
        <w:tc>
          <w:tcPr>
            <w:tcW w:w="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2,355,938</w:t>
            </w:r>
          </w:p>
        </w:tc>
      </w:tr>
      <w:tr>
        <w:trPr>
          <w:trHeight w:val="165"/>
        </w:trPr>
        <w:tc>
          <w:tcPr>
            <w:tcW w:w="80" w:type="dxa"/>
            <w:vAlign w:val="bottom"/>
          </w:tcPr>
          <w:p>
            <w:pPr>
              <w:spacing w:after="0"/>
              <w:rPr>
                <w:sz w:val="14"/>
                <w:szCs w:val="14"/>
                <w:color w:val="auto"/>
              </w:rPr>
            </w:pPr>
          </w:p>
        </w:tc>
        <w:tc>
          <w:tcPr>
            <w:tcW w:w="12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5,935,056</w:t>
            </w:r>
          </w:p>
        </w:tc>
        <w:tc>
          <w:tcPr>
            <w:tcW w:w="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5,868,601</w:t>
            </w:r>
          </w:p>
        </w:tc>
      </w:tr>
    </w:tbl>
    <w:p>
      <w:pPr>
        <w:spacing w:after="0" w:line="1" w:lineRule="exact"/>
        <w:rPr>
          <w:sz w:val="20"/>
          <w:szCs w:val="20"/>
          <w:color w:val="auto"/>
        </w:rPr>
      </w:pPr>
    </w:p>
    <w:p>
      <w:pPr>
        <w:sectPr>
          <w:pgSz w:w="11900" w:h="16838" w:orient="portrait"/>
          <w:cols w:equalWidth="0" w:num="2">
            <w:col w:w="5720" w:space="720"/>
            <w:col w:w="2620"/>
          </w:cols>
          <w:pgMar w:left="1420" w:top="806" w:right="1419" w:bottom="1440" w:gutter="0" w:footer="0" w:header="0"/>
          <w:type w:val="continuous"/>
        </w:sect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5660" w:type="dxa"/>
            <w:vAlign w:val="bottom"/>
            <w:tcBorders>
              <w:top w:val="single" w:sz="8" w:color="CCEEFF"/>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Weighted average shares of Class A and Class B common stock outstanding - Diluted</w:t>
            </w:r>
          </w:p>
        </w:tc>
        <w:tc>
          <w:tcPr>
            <w:tcW w:w="76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151,362,643</w:t>
            </w:r>
          </w:p>
        </w:tc>
        <w:tc>
          <w:tcPr>
            <w:tcW w:w="46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151,158,760</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5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Earnings per share - Basic</w:t>
            </w:r>
          </w:p>
        </w:tc>
        <w:tc>
          <w:tcPr>
            <w:tcW w:w="940" w:type="dxa"/>
            <w:vAlign w:val="bottom"/>
            <w:gridSpan w:val="2"/>
            <w:shd w:val="clear" w:color="auto" w:fill="CCEEFF"/>
          </w:tcPr>
          <w:p>
            <w:pPr>
              <w:jc w:val="right"/>
              <w:ind w:right="63"/>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0.21</w:t>
            </w:r>
          </w:p>
        </w:tc>
        <w:tc>
          <w:tcPr>
            <w:tcW w:w="46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ind w:right="63"/>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0.30</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660" w:type="dxa"/>
            <w:vAlign w:val="bottom"/>
            <w:tcBorders>
              <w:top w:val="single" w:sz="8" w:color="CCEEFF"/>
            </w:tcBorders>
          </w:tcPr>
          <w:p>
            <w:pPr>
              <w:spacing w:after="0" w:line="136" w:lineRule="exact"/>
              <w:rPr>
                <w:sz w:val="20"/>
                <w:szCs w:val="20"/>
                <w:color w:val="auto"/>
              </w:rPr>
            </w:pPr>
            <w:r>
              <w:rPr>
                <w:rFonts w:ascii="Times New Roman" w:cs="Times New Roman" w:eastAsia="Times New Roman" w:hAnsi="Times New Roman"/>
                <w:sz w:val="14"/>
                <w:szCs w:val="14"/>
                <w:color w:val="auto"/>
              </w:rPr>
              <w:t>Earnings per share - Diluted</w:t>
            </w:r>
          </w:p>
        </w:tc>
        <w:tc>
          <w:tcPr>
            <w:tcW w:w="760" w:type="dxa"/>
            <w:vAlign w:val="bottom"/>
            <w:tcBorders>
              <w:top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0.20</w:t>
            </w:r>
          </w:p>
        </w:tc>
        <w:tc>
          <w:tcPr>
            <w:tcW w:w="460" w:type="dxa"/>
            <w:vAlign w:val="bottom"/>
            <w:tcBorders>
              <w:top w:val="single" w:sz="8" w:color="CCEEFF"/>
            </w:tcBorders>
          </w:tcPr>
          <w:p>
            <w:pPr>
              <w:spacing w:after="0"/>
              <w:rPr>
                <w:sz w:val="12"/>
                <w:szCs w:val="12"/>
                <w:color w:val="auto"/>
              </w:rPr>
            </w:pPr>
          </w:p>
        </w:tc>
        <w:tc>
          <w:tcPr>
            <w:tcW w:w="20" w:type="dxa"/>
            <w:vAlign w:val="bottom"/>
            <w:tcBorders>
              <w:top w:val="single" w:sz="8" w:color="CCEEFF"/>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0.28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478155</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06" w:right="141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5654675</wp:posOffset>
            </wp:positionH>
            <wp:positionV relativeFrom="page">
              <wp:posOffset>88900</wp:posOffset>
            </wp:positionV>
            <wp:extent cx="1003300" cy="3086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1003300" cy="308610"/>
                    </a:xfrm>
                    <a:prstGeom prst="rect">
                      <a:avLst/>
                    </a:prstGeom>
                    <a:noFill/>
                  </pic:spPr>
                </pic:pic>
              </a:graphicData>
            </a:graphic>
          </wp:anchor>
        </w:drawing>
        <w:t>TRADEWEB MARKETS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REVENUES BY ASSET CLASS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3"/>
          </w:tcPr>
          <w:p>
            <w:pPr>
              <w:jc w:val="center"/>
              <w:ind w:right="42"/>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3"/>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3"/>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2018</w:t>
            </w:r>
          </w:p>
        </w:tc>
        <w:tc>
          <w:tcPr>
            <w:tcW w:w="160" w:type="dxa"/>
            <w:vAlign w:val="bottom"/>
          </w:tcPr>
          <w:p>
            <w:pPr>
              <w:spacing w:after="0"/>
              <w:rPr>
                <w:sz w:val="15"/>
                <w:szCs w:val="15"/>
                <w:color w:val="auto"/>
              </w:rPr>
            </w:pPr>
          </w:p>
        </w:tc>
        <w:tc>
          <w:tcPr>
            <w:tcW w:w="158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2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5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37"/>
              <w:spacing w:after="0" w:line="142" w:lineRule="exact"/>
              <w:rPr>
                <w:sz w:val="20"/>
                <w:szCs w:val="20"/>
                <w:color w:val="auto"/>
              </w:rPr>
            </w:pPr>
            <w:r>
              <w:rPr>
                <w:rFonts w:ascii="Times New Roman" w:cs="Times New Roman" w:eastAsia="Times New Roman" w:hAnsi="Times New Roman"/>
                <w:sz w:val="14"/>
                <w:szCs w:val="14"/>
                <w:b w:val="1"/>
                <w:bCs w:val="1"/>
                <w:color w:val="auto"/>
                <w:w w:val="95"/>
              </w:rPr>
              <w:t>Variable</w:t>
            </w: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Fixed</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top w:val="single" w:sz="8" w:color="auto"/>
            </w:tcBorders>
          </w:tcPr>
          <w:p>
            <w:pPr>
              <w:jc w:val="right"/>
              <w:ind w:right="2"/>
              <w:spacing w:after="0" w:line="142" w:lineRule="exact"/>
              <w:rPr>
                <w:sz w:val="20"/>
                <w:szCs w:val="20"/>
                <w:color w:val="auto"/>
              </w:rPr>
            </w:pPr>
            <w:r>
              <w:rPr>
                <w:rFonts w:ascii="Times New Roman" w:cs="Times New Roman" w:eastAsia="Times New Roman" w:hAnsi="Times New Roman"/>
                <w:sz w:val="14"/>
                <w:szCs w:val="14"/>
                <w:b w:val="1"/>
                <w:bCs w:val="1"/>
                <w:color w:val="auto"/>
              </w:rPr>
              <w:t>Variable</w:t>
            </w: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Fixed</w:t>
            </w:r>
          </w:p>
        </w:tc>
        <w:tc>
          <w:tcPr>
            <w:tcW w:w="16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Variable</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Fixed</w:t>
            </w:r>
          </w:p>
        </w:tc>
        <w:tc>
          <w:tcPr>
            <w:tcW w:w="160" w:type="dxa"/>
            <w:vAlign w:val="bottom"/>
          </w:tcPr>
          <w:p>
            <w:pPr>
              <w:spacing w:after="0"/>
              <w:rPr>
                <w:sz w:val="12"/>
                <w:szCs w:val="12"/>
                <w:color w:val="auto"/>
              </w:rPr>
            </w:pPr>
          </w:p>
        </w:tc>
        <w:tc>
          <w:tcPr>
            <w:tcW w:w="70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Variable</w:t>
            </w:r>
          </w:p>
        </w:tc>
        <w:tc>
          <w:tcPr>
            <w:tcW w:w="4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Fixed</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5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gridSpan w:val="4"/>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Rates</w:t>
            </w:r>
          </w:p>
        </w:tc>
        <w:tc>
          <w:tcPr>
            <w:tcW w:w="28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64,885</w:t>
            </w:r>
          </w:p>
        </w:tc>
        <w:tc>
          <w:tcPr>
            <w:tcW w:w="82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$ 50,620</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76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$ 42,808</w:t>
            </w:r>
          </w:p>
        </w:tc>
        <w:tc>
          <w:tcPr>
            <w:tcW w:w="82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$ 49,784</w:t>
            </w:r>
          </w:p>
        </w:tc>
        <w:tc>
          <w:tcPr>
            <w:tcW w:w="82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$ 22,077</w:t>
            </w:r>
          </w:p>
        </w:tc>
        <w:tc>
          <w:tcPr>
            <w:tcW w:w="28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6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51.6 %  1.7 %</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Credit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34,417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5,161</w:t>
            </w:r>
          </w:p>
        </w:tc>
        <w:tc>
          <w:tcPr>
            <w:tcW w:w="120" w:type="dxa"/>
            <w:vAlign w:val="bottom"/>
            <w:tcBorders>
              <w:right w:val="single" w:sz="8" w:color="auto"/>
            </w:tcBorders>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28,526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5,116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18"/>
                <w:szCs w:val="18"/>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20.7 %  0.9 %</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9,896</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20" w:type="dxa"/>
            <w:vAlign w:val="bottom"/>
            <w:tcBorders>
              <w:right w:val="single" w:sz="8" w:color="auto"/>
            </w:tcBorders>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7,066</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1,019</w:t>
            </w:r>
          </w:p>
        </w:tc>
        <w:tc>
          <w:tcPr>
            <w:tcW w:w="16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40.1 % 71.9 %</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Money Markets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3,737</w:t>
            </w:r>
          </w:p>
        </w:tc>
        <w:tc>
          <w:tcPr>
            <w:tcW w:w="120" w:type="dxa"/>
            <w:vAlign w:val="bottom"/>
            <w:tcBorders>
              <w:right w:val="single" w:sz="8" w:color="auto"/>
            </w:tcBorders>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5,089</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3,578</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60" w:type="dxa"/>
            <w:vAlign w:val="bottom"/>
          </w:tcPr>
          <w:p>
            <w:pPr>
              <w:spacing w:after="0"/>
              <w:rPr>
                <w:sz w:val="18"/>
                <w:szCs w:val="18"/>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32.5 %  4.4 %</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Data</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16,914</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15,770</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1,144</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n/a</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6,171</w:t>
            </w:r>
          </w:p>
        </w:tc>
        <w:tc>
          <w:tcPr>
            <w:tcW w:w="120" w:type="dxa"/>
            <w:vAlign w:val="bottom"/>
            <w:tcBorders>
              <w:right w:val="single" w:sz="8" w:color="auto"/>
            </w:tcBorders>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6,072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60" w:type="dxa"/>
            <w:vAlign w:val="bottom"/>
          </w:tcPr>
          <w:p>
            <w:pPr>
              <w:spacing w:after="0"/>
              <w:rPr>
                <w:sz w:val="18"/>
                <w:szCs w:val="18"/>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(100.0)%  1.6 %</w:t>
            </w:r>
          </w:p>
        </w:tc>
        <w:tc>
          <w:tcPr>
            <w:tcW w:w="0" w:type="dxa"/>
            <w:vAlign w:val="bottom"/>
          </w:tcPr>
          <w:p>
            <w:pPr>
              <w:spacing w:after="0"/>
              <w:rPr>
                <w:sz w:val="1"/>
                <w:szCs w:val="1"/>
                <w:color w:val="auto"/>
              </w:rPr>
            </w:pPr>
          </w:p>
        </w:tc>
      </w:tr>
      <w:tr>
        <w:trPr>
          <w:trHeight w:val="217"/>
        </w:trPr>
        <w:tc>
          <w:tcPr>
            <w:tcW w:w="2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revenue</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115,941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1"/>
              </w:rPr>
              <w:t>$</w:t>
            </w:r>
            <w:r>
              <w:rPr>
                <w:rFonts w:ascii="Times New Roman" w:cs="Times New Roman" w:eastAsia="Times New Roman" w:hAnsi="Times New Roman"/>
                <w:sz w:val="18"/>
                <w:szCs w:val="18"/>
                <w:color w:val="auto"/>
                <w:w w:val="91"/>
              </w:rPr>
              <w:t xml:space="preserve"> 85,040</w:t>
            </w:r>
          </w:p>
        </w:tc>
        <w:tc>
          <w:tcPr>
            <w:tcW w:w="12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1"/>
              </w:rPr>
              <w:t>$</w:t>
            </w:r>
            <w:r>
              <w:rPr>
                <w:rFonts w:ascii="Times New Roman" w:cs="Times New Roman" w:eastAsia="Times New Roman" w:hAnsi="Times New Roman"/>
                <w:sz w:val="18"/>
                <w:szCs w:val="18"/>
                <w:color w:val="auto"/>
                <w:w w:val="91"/>
              </w:rPr>
              <w:t xml:space="preserve"> 83,515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1"/>
              </w:rPr>
              <w:t>$</w:t>
            </w:r>
            <w:r>
              <w:rPr>
                <w:rFonts w:ascii="Times New Roman" w:cs="Times New Roman" w:eastAsia="Times New Roman" w:hAnsi="Times New Roman"/>
                <w:sz w:val="18"/>
                <w:szCs w:val="18"/>
                <w:color w:val="auto"/>
                <w:w w:val="91"/>
              </w:rPr>
              <w:t xml:space="preserve"> 81,738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1"/>
              </w:rPr>
              <w:t>$</w:t>
            </w:r>
            <w:r>
              <w:rPr>
                <w:rFonts w:ascii="Times New Roman" w:cs="Times New Roman" w:eastAsia="Times New Roman" w:hAnsi="Times New Roman"/>
                <w:sz w:val="18"/>
                <w:szCs w:val="18"/>
                <w:color w:val="auto"/>
                <w:w w:val="91"/>
              </w:rPr>
              <w:t xml:space="preserve"> 32,426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3,302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TRADEWEB MARKETS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AVERAGE VARIABLE FEES PER MILLION DOLLARS OF VOLUME</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Three</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5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5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Ended</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5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4"/>
                <w:szCs w:val="14"/>
                <w:color w:val="auto"/>
              </w:rPr>
            </w:pPr>
          </w:p>
        </w:tc>
        <w:tc>
          <w:tcPr>
            <w:tcW w:w="11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YoY</w:t>
            </w:r>
          </w:p>
        </w:tc>
      </w:tr>
      <w:tr>
        <w:trPr>
          <w:trHeight w:val="173"/>
        </w:trPr>
        <w:tc>
          <w:tcPr>
            <w:tcW w:w="546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2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tcBorders>
              <w:bottom w:val="single" w:sz="8" w:color="CCEEFF"/>
            </w:tcBorders>
          </w:tcPr>
          <w:p>
            <w:pPr>
              <w:spacing w:after="0"/>
              <w:rPr>
                <w:sz w:val="15"/>
                <w:szCs w:val="15"/>
                <w:color w:val="auto"/>
              </w:rPr>
            </w:pPr>
          </w:p>
        </w:tc>
      </w:tr>
      <w:tr>
        <w:trPr>
          <w:trHeight w:val="210"/>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5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Rates - excluding short-tenor swaps (less than 1 year)</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38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8.0 %</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w:t>
            </w:r>
          </w:p>
        </w:tc>
        <w:tc>
          <w:tcPr>
            <w:tcW w:w="3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37.45</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Equities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38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2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7.8 %</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Markets</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3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Total Fees per Million</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38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5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Fees per Million - excluding short-tenor swaps (less than 1 year)</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3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478155</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06" w:right="14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5654675</wp:posOffset>
            </wp:positionH>
            <wp:positionV relativeFrom="page">
              <wp:posOffset>88900</wp:posOffset>
            </wp:positionV>
            <wp:extent cx="1003300" cy="3086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1003300" cy="308610"/>
                    </a:xfrm>
                    <a:prstGeom prst="rect">
                      <a:avLst/>
                    </a:prstGeom>
                    <a:noFill/>
                  </pic:spPr>
                </pic:pic>
              </a:graphicData>
            </a:graphic>
          </wp:anchor>
        </w:drawing>
        <w:t>TRADEWEB MARKETS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AVERAGE DAILY VOLUME</w:t>
      </w:r>
    </w:p>
    <w:p>
      <w:pPr>
        <w:spacing w:after="0" w:line="9" w:lineRule="exact"/>
        <w:rPr>
          <w:sz w:val="20"/>
          <w:szCs w:val="20"/>
          <w:color w:val="auto"/>
        </w:rPr>
      </w:pPr>
    </w:p>
    <w:tbl>
      <w:tblPr>
        <w:tblLayout w:type="fixed"/>
        <w:tblInd w:w="90" w:type="dxa"/>
        <w:tblCellMar>
          <w:top w:w="0" w:type="dxa"/>
          <w:left w:w="0" w:type="dxa"/>
          <w:bottom w:w="0" w:type="dxa"/>
          <w:right w:w="0" w:type="dxa"/>
        </w:tblCellMar>
      </w:tblPr>
      <w:tr>
        <w:trPr>
          <w:trHeight w:val="242"/>
        </w:trPr>
        <w:tc>
          <w:tcPr>
            <w:tcW w:w="940" w:type="dxa"/>
            <w:vAlign w:val="bottom"/>
          </w:tcPr>
          <w:p>
            <w:pPr>
              <w:spacing w:after="0"/>
              <w:rPr>
                <w:sz w:val="21"/>
                <w:szCs w:val="21"/>
                <w:color w:val="auto"/>
              </w:rPr>
            </w:pPr>
          </w:p>
        </w:tc>
        <w:tc>
          <w:tcPr>
            <w:tcW w:w="2200" w:type="dxa"/>
            <w:vAlign w:val="bottom"/>
            <w:tcBorders>
              <w:right w:val="single" w:sz="8" w:color="auto"/>
            </w:tcBorders>
          </w:tcPr>
          <w:p>
            <w:pPr>
              <w:spacing w:after="0"/>
              <w:rPr>
                <w:sz w:val="21"/>
                <w:szCs w:val="21"/>
                <w:color w:val="auto"/>
              </w:rPr>
            </w:pPr>
          </w:p>
        </w:tc>
        <w:tc>
          <w:tcPr>
            <w:tcW w:w="2200" w:type="dxa"/>
            <w:vAlign w:val="bottom"/>
            <w:tcBorders>
              <w:top w:val="single" w:sz="8" w:color="auto"/>
              <w:right w:val="single" w:sz="8" w:color="auto"/>
            </w:tcBorders>
            <w:gridSpan w:val="2"/>
          </w:tcPr>
          <w:p>
            <w:pPr>
              <w:jc w:val="right"/>
              <w:ind w:right="783"/>
              <w:spacing w:after="0"/>
              <w:rPr>
                <w:sz w:val="20"/>
                <w:szCs w:val="20"/>
                <w:color w:val="auto"/>
              </w:rPr>
            </w:pPr>
            <w:r>
              <w:rPr>
                <w:rFonts w:ascii="Times New Roman" w:cs="Times New Roman" w:eastAsia="Times New Roman" w:hAnsi="Times New Roman"/>
                <w:sz w:val="15"/>
                <w:szCs w:val="15"/>
                <w:b w:val="1"/>
                <w:bCs w:val="1"/>
                <w:color w:val="auto"/>
              </w:rPr>
              <w:t>2019 Q3</w:t>
            </w:r>
          </w:p>
        </w:tc>
        <w:tc>
          <w:tcPr>
            <w:tcW w:w="2200" w:type="dxa"/>
            <w:vAlign w:val="bottom"/>
            <w:tcBorders>
              <w:top w:val="single" w:sz="8" w:color="auto"/>
              <w:right w:val="single" w:sz="8" w:color="auto"/>
            </w:tcBorders>
            <w:gridSpan w:val="2"/>
          </w:tcPr>
          <w:p>
            <w:pPr>
              <w:jc w:val="right"/>
              <w:ind w:right="763"/>
              <w:spacing w:after="0"/>
              <w:rPr>
                <w:sz w:val="20"/>
                <w:szCs w:val="20"/>
                <w:color w:val="auto"/>
              </w:rPr>
            </w:pPr>
            <w:r>
              <w:rPr>
                <w:rFonts w:ascii="Times New Roman" w:cs="Times New Roman" w:eastAsia="Times New Roman" w:hAnsi="Times New Roman"/>
                <w:sz w:val="15"/>
                <w:szCs w:val="15"/>
                <w:b w:val="1"/>
                <w:bCs w:val="1"/>
                <w:color w:val="auto"/>
              </w:rPr>
              <w:t>2018 Q3</w:t>
            </w:r>
          </w:p>
        </w:tc>
        <w:tc>
          <w:tcPr>
            <w:tcW w:w="960" w:type="dxa"/>
            <w:vAlign w:val="bottom"/>
            <w:tcBorders>
              <w:top w:val="single" w:sz="8" w:color="auto"/>
              <w:right w:val="single" w:sz="8" w:color="auto"/>
            </w:tcBorders>
          </w:tcPr>
          <w:p>
            <w:pPr>
              <w:jc w:val="right"/>
              <w:ind w:right="283"/>
              <w:spacing w:after="0"/>
              <w:rPr>
                <w:sz w:val="20"/>
                <w:szCs w:val="20"/>
                <w:color w:val="auto"/>
              </w:rPr>
            </w:pPr>
            <w:r>
              <w:rPr>
                <w:rFonts w:ascii="Times New Roman" w:cs="Times New Roman" w:eastAsia="Times New Roman" w:hAnsi="Times New Roman"/>
                <w:sz w:val="15"/>
                <w:szCs w:val="15"/>
                <w:b w:val="1"/>
                <w:bCs w:val="1"/>
                <w:color w:val="auto"/>
              </w:rPr>
              <w:t>YoY</w:t>
            </w:r>
          </w:p>
        </w:tc>
        <w:tc>
          <w:tcPr>
            <w:tcW w:w="0" w:type="dxa"/>
            <w:vAlign w:val="bottom"/>
          </w:tcPr>
          <w:p>
            <w:pPr>
              <w:spacing w:after="0"/>
              <w:rPr>
                <w:sz w:val="1"/>
                <w:szCs w:val="1"/>
                <w:color w:val="auto"/>
              </w:rPr>
            </w:pPr>
          </w:p>
        </w:tc>
      </w:tr>
      <w:tr>
        <w:trPr>
          <w:trHeight w:val="288"/>
        </w:trPr>
        <w:tc>
          <w:tcPr>
            <w:tcW w:w="9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Asset</w:t>
            </w:r>
          </w:p>
        </w:tc>
        <w:tc>
          <w:tcPr>
            <w:tcW w:w="2200" w:type="dxa"/>
            <w:vAlign w:val="bottom"/>
            <w:tcBorders>
              <w:right w:val="single" w:sz="8" w:color="auto"/>
            </w:tcBorders>
          </w:tcPr>
          <w:p>
            <w:pPr>
              <w:spacing w:after="0"/>
              <w:rPr>
                <w:sz w:val="24"/>
                <w:szCs w:val="24"/>
                <w:color w:val="auto"/>
              </w:rPr>
            </w:pPr>
          </w:p>
        </w:tc>
        <w:tc>
          <w:tcPr>
            <w:tcW w:w="1240" w:type="dxa"/>
            <w:vAlign w:val="bottom"/>
          </w:tcPr>
          <w:p>
            <w:pPr>
              <w:jc w:val="right"/>
              <w:ind w:right="443"/>
              <w:spacing w:after="0"/>
              <w:rPr>
                <w:sz w:val="20"/>
                <w:szCs w:val="20"/>
                <w:color w:val="auto"/>
              </w:rPr>
            </w:pPr>
            <w:r>
              <w:rPr>
                <w:rFonts w:ascii="Times New Roman" w:cs="Times New Roman" w:eastAsia="Times New Roman" w:hAnsi="Times New Roman"/>
                <w:sz w:val="15"/>
                <w:szCs w:val="15"/>
                <w:color w:val="auto"/>
              </w:rPr>
              <w:t>ADV</w:t>
            </w:r>
          </w:p>
        </w:tc>
        <w:tc>
          <w:tcPr>
            <w:tcW w:w="960" w:type="dxa"/>
            <w:vAlign w:val="bottom"/>
            <w:tcBorders>
              <w:right w:val="single" w:sz="8" w:color="auto"/>
            </w:tcBorders>
          </w:tcPr>
          <w:p>
            <w:pPr>
              <w:jc w:val="center"/>
              <w:ind w:right="83"/>
              <w:spacing w:after="0"/>
              <w:rPr>
                <w:sz w:val="20"/>
                <w:szCs w:val="20"/>
                <w:color w:val="auto"/>
              </w:rPr>
            </w:pPr>
            <w:r>
              <w:rPr>
                <w:rFonts w:ascii="Times New Roman" w:cs="Times New Roman" w:eastAsia="Times New Roman" w:hAnsi="Times New Roman"/>
                <w:sz w:val="15"/>
                <w:szCs w:val="15"/>
                <w:color w:val="auto"/>
                <w:w w:val="99"/>
              </w:rPr>
              <w:t>Volume</w:t>
            </w:r>
          </w:p>
        </w:tc>
        <w:tc>
          <w:tcPr>
            <w:tcW w:w="1240" w:type="dxa"/>
            <w:vAlign w:val="bottom"/>
          </w:tcPr>
          <w:p>
            <w:pPr>
              <w:jc w:val="right"/>
              <w:ind w:right="443"/>
              <w:spacing w:after="0"/>
              <w:rPr>
                <w:sz w:val="20"/>
                <w:szCs w:val="20"/>
                <w:color w:val="auto"/>
              </w:rPr>
            </w:pPr>
            <w:r>
              <w:rPr>
                <w:rFonts w:ascii="Times New Roman" w:cs="Times New Roman" w:eastAsia="Times New Roman" w:hAnsi="Times New Roman"/>
                <w:sz w:val="15"/>
                <w:szCs w:val="15"/>
                <w:color w:val="auto"/>
              </w:rPr>
              <w:t>ADV</w:t>
            </w:r>
          </w:p>
        </w:tc>
        <w:tc>
          <w:tcPr>
            <w:tcW w:w="960" w:type="dxa"/>
            <w:vAlign w:val="bottom"/>
            <w:tcBorders>
              <w:right w:val="single" w:sz="8" w:color="auto"/>
            </w:tcBorders>
          </w:tcPr>
          <w:p>
            <w:pPr>
              <w:jc w:val="center"/>
              <w:ind w:right="83"/>
              <w:spacing w:after="0"/>
              <w:rPr>
                <w:sz w:val="20"/>
                <w:szCs w:val="20"/>
                <w:color w:val="auto"/>
              </w:rPr>
            </w:pPr>
            <w:r>
              <w:rPr>
                <w:rFonts w:ascii="Times New Roman" w:cs="Times New Roman" w:eastAsia="Times New Roman" w:hAnsi="Times New Roman"/>
                <w:sz w:val="15"/>
                <w:szCs w:val="15"/>
                <w:color w:val="auto"/>
                <w:w w:val="99"/>
              </w:rPr>
              <w:t>Volume</w:t>
            </w:r>
          </w:p>
        </w:tc>
        <w:tc>
          <w:tcPr>
            <w:tcW w:w="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9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5"/>
                <w:szCs w:val="15"/>
                <w:color w:val="auto"/>
              </w:rPr>
              <w:t>Class</w:t>
            </w:r>
          </w:p>
        </w:tc>
        <w:tc>
          <w:tcPr>
            <w:tcW w:w="22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Product</w:t>
            </w:r>
          </w:p>
        </w:tc>
        <w:tc>
          <w:tcPr>
            <w:tcW w:w="124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5"/>
                <w:szCs w:val="15"/>
                <w:color w:val="auto"/>
              </w:rPr>
              <w:t>(USD mm)</w:t>
            </w:r>
          </w:p>
        </w:tc>
        <w:tc>
          <w:tcPr>
            <w:tcW w:w="960" w:type="dxa"/>
            <w:vAlign w:val="bottom"/>
            <w:tcBorders>
              <w:bottom w:val="single" w:sz="8" w:color="auto"/>
              <w:right w:val="single" w:sz="8" w:color="auto"/>
            </w:tcBorders>
          </w:tcPr>
          <w:p>
            <w:pPr>
              <w:jc w:val="center"/>
              <w:ind w:right="43"/>
              <w:spacing w:after="0"/>
              <w:rPr>
                <w:sz w:val="20"/>
                <w:szCs w:val="20"/>
                <w:color w:val="auto"/>
              </w:rPr>
            </w:pPr>
            <w:r>
              <w:rPr>
                <w:rFonts w:ascii="Times New Roman" w:cs="Times New Roman" w:eastAsia="Times New Roman" w:hAnsi="Times New Roman"/>
                <w:sz w:val="15"/>
                <w:szCs w:val="15"/>
                <w:color w:val="auto"/>
              </w:rPr>
              <w:t>(USD mm)</w:t>
            </w:r>
          </w:p>
        </w:tc>
        <w:tc>
          <w:tcPr>
            <w:tcW w:w="124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5"/>
                <w:szCs w:val="15"/>
                <w:color w:val="auto"/>
              </w:rPr>
              <w:t>(USD mm)</w:t>
            </w:r>
          </w:p>
        </w:tc>
        <w:tc>
          <w:tcPr>
            <w:tcW w:w="960" w:type="dxa"/>
            <w:vAlign w:val="bottom"/>
            <w:tcBorders>
              <w:bottom w:val="single" w:sz="8" w:color="auto"/>
              <w:right w:val="single" w:sz="8" w:color="auto"/>
            </w:tcBorders>
          </w:tcPr>
          <w:p>
            <w:pPr>
              <w:jc w:val="center"/>
              <w:ind w:right="43"/>
              <w:spacing w:after="0"/>
              <w:rPr>
                <w:sz w:val="20"/>
                <w:szCs w:val="20"/>
                <w:color w:val="auto"/>
              </w:rPr>
            </w:pPr>
            <w:r>
              <w:rPr>
                <w:rFonts w:ascii="Times New Roman" w:cs="Times New Roman" w:eastAsia="Times New Roman" w:hAnsi="Times New Roman"/>
                <w:sz w:val="15"/>
                <w:szCs w:val="15"/>
                <w:color w:val="auto"/>
              </w:rPr>
              <w:t>(USD mm)</w:t>
            </w:r>
          </w:p>
        </w:tc>
        <w:tc>
          <w:tcPr>
            <w:tcW w:w="96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5"/>
                <w:szCs w:val="15"/>
                <w:color w:val="auto"/>
              </w:rPr>
              <w:t>ADV</w:t>
            </w:r>
          </w:p>
        </w:tc>
        <w:tc>
          <w:tcPr>
            <w:tcW w:w="0" w:type="dxa"/>
            <w:vAlign w:val="bottom"/>
          </w:tcPr>
          <w:p>
            <w:pPr>
              <w:spacing w:after="0"/>
              <w:rPr>
                <w:sz w:val="1"/>
                <w:szCs w:val="1"/>
                <w:color w:val="auto"/>
              </w:rPr>
            </w:pPr>
          </w:p>
        </w:tc>
      </w:tr>
      <w:tr>
        <w:trPr>
          <w:trHeight w:val="223"/>
        </w:trPr>
        <w:tc>
          <w:tcPr>
            <w:tcW w:w="9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5"/>
                <w:szCs w:val="15"/>
                <w:b w:val="1"/>
                <w:bCs w:val="1"/>
                <w:color w:val="auto"/>
              </w:rPr>
              <w:t>Rates</w:t>
            </w:r>
          </w:p>
        </w:tc>
        <w:tc>
          <w:tcPr>
            <w:tcW w:w="220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Cash</w:t>
            </w:r>
          </w:p>
        </w:tc>
        <w:tc>
          <w:tcPr>
            <w:tcW w:w="12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284,629</w:t>
            </w:r>
          </w:p>
        </w:tc>
        <w:tc>
          <w:tcPr>
            <w:tcW w:w="9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18,260,913</w:t>
            </w:r>
          </w:p>
        </w:tc>
        <w:tc>
          <w:tcPr>
            <w:tcW w:w="12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208,879</w:t>
            </w:r>
          </w:p>
        </w:tc>
        <w:tc>
          <w:tcPr>
            <w:tcW w:w="9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13,196,047</w:t>
            </w:r>
          </w:p>
        </w:tc>
        <w:tc>
          <w:tcPr>
            <w:tcW w:w="9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36.26%</w:t>
            </w:r>
          </w:p>
        </w:tc>
        <w:tc>
          <w:tcPr>
            <w:tcW w:w="0" w:type="dxa"/>
            <w:vAlign w:val="bottom"/>
          </w:tcPr>
          <w:p>
            <w:pPr>
              <w:spacing w:after="0"/>
              <w:rPr>
                <w:sz w:val="1"/>
                <w:szCs w:val="1"/>
                <w:color w:val="auto"/>
              </w:rPr>
            </w:pPr>
          </w:p>
        </w:tc>
      </w:tr>
      <w:tr>
        <w:trPr>
          <w:trHeight w:val="222"/>
        </w:trPr>
        <w:tc>
          <w:tcPr>
            <w:tcW w:w="940" w:type="dxa"/>
            <w:vAlign w:val="bottom"/>
            <w:tcBorders>
              <w:left w:val="single" w:sz="8" w:color="auto"/>
              <w:right w:val="single" w:sz="8" w:color="auto"/>
            </w:tcBorders>
          </w:tcPr>
          <w:p>
            <w:pPr>
              <w:spacing w:after="0"/>
              <w:rPr>
                <w:sz w:val="19"/>
                <w:szCs w:val="19"/>
                <w:color w:val="auto"/>
              </w:rPr>
            </w:pPr>
          </w:p>
        </w:tc>
        <w:tc>
          <w:tcPr>
            <w:tcW w:w="2200" w:type="dxa"/>
            <w:vAlign w:val="bottom"/>
            <w:tcBorders>
              <w:right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i w:val="1"/>
                <w:iCs w:val="1"/>
                <w:color w:val="auto"/>
              </w:rPr>
              <w:t>U.S. Government Bonds</w:t>
            </w:r>
          </w:p>
        </w:tc>
        <w:tc>
          <w:tcPr>
            <w:tcW w:w="12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82,128</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5,256,162</w:t>
            </w:r>
          </w:p>
        </w:tc>
        <w:tc>
          <w:tcPr>
            <w:tcW w:w="12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65,558</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4,130,170</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25.27%</w:t>
            </w:r>
          </w:p>
        </w:tc>
        <w:tc>
          <w:tcPr>
            <w:tcW w:w="0" w:type="dxa"/>
            <w:vAlign w:val="bottom"/>
          </w:tcPr>
          <w:p>
            <w:pPr>
              <w:spacing w:after="0"/>
              <w:rPr>
                <w:sz w:val="1"/>
                <w:szCs w:val="1"/>
                <w:color w:val="auto"/>
              </w:rPr>
            </w:pPr>
          </w:p>
        </w:tc>
      </w:tr>
      <w:tr>
        <w:trPr>
          <w:trHeight w:val="22"/>
        </w:trPr>
        <w:tc>
          <w:tcPr>
            <w:tcW w:w="940" w:type="dxa"/>
            <w:vAlign w:val="bottom"/>
            <w:tcBorders>
              <w:left w:val="single" w:sz="8" w:color="auto"/>
              <w:right w:val="single" w:sz="8" w:color="auto"/>
            </w:tcBorders>
          </w:tcPr>
          <w:p>
            <w:pPr>
              <w:spacing w:after="0" w:line="20" w:lineRule="exact"/>
              <w:rPr>
                <w:sz w:val="1"/>
                <w:szCs w:val="1"/>
                <w:color w:val="auto"/>
              </w:rPr>
            </w:pPr>
          </w:p>
        </w:tc>
        <w:tc>
          <w:tcPr>
            <w:tcW w:w="2200" w:type="dxa"/>
            <w:vAlign w:val="bottom"/>
            <w:tcBorders>
              <w:right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40" w:type="dxa"/>
            <w:vAlign w:val="bottom"/>
            <w:tcBorders>
              <w:left w:val="single" w:sz="8" w:color="auto"/>
              <w:right w:val="single" w:sz="8" w:color="auto"/>
            </w:tcBorders>
          </w:tcPr>
          <w:p>
            <w:pPr>
              <w:spacing w:after="0"/>
              <w:rPr>
                <w:sz w:val="19"/>
                <w:szCs w:val="19"/>
                <w:color w:val="auto"/>
              </w:rPr>
            </w:pPr>
          </w:p>
        </w:tc>
        <w:tc>
          <w:tcPr>
            <w:tcW w:w="2200" w:type="dxa"/>
            <w:vAlign w:val="bottom"/>
            <w:tcBorders>
              <w:bottom w:val="single" w:sz="8" w:color="CCEEFF"/>
              <w:right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i w:val="1"/>
                <w:iCs w:val="1"/>
                <w:color w:val="auto"/>
              </w:rPr>
              <w:t>European Government Bonds</w:t>
            </w:r>
          </w:p>
        </w:tc>
        <w:tc>
          <w:tcPr>
            <w:tcW w:w="124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23,373</w:t>
            </w:r>
          </w:p>
        </w:tc>
        <w:tc>
          <w:tcPr>
            <w:tcW w:w="9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1,542,540</w:t>
            </w:r>
          </w:p>
        </w:tc>
        <w:tc>
          <w:tcPr>
            <w:tcW w:w="124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17,745</w:t>
            </w:r>
          </w:p>
        </w:tc>
        <w:tc>
          <w:tcPr>
            <w:tcW w:w="9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1,153,418</w:t>
            </w:r>
          </w:p>
        </w:tc>
        <w:tc>
          <w:tcPr>
            <w:tcW w:w="9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31.72%</w:t>
            </w:r>
          </w:p>
        </w:tc>
        <w:tc>
          <w:tcPr>
            <w:tcW w:w="0" w:type="dxa"/>
            <w:vAlign w:val="bottom"/>
          </w:tcPr>
          <w:p>
            <w:pPr>
              <w:spacing w:after="0"/>
              <w:rPr>
                <w:sz w:val="1"/>
                <w:szCs w:val="1"/>
                <w:color w:val="auto"/>
              </w:rPr>
            </w:pPr>
          </w:p>
        </w:tc>
      </w:tr>
      <w:tr>
        <w:trPr>
          <w:trHeight w:val="222"/>
        </w:trPr>
        <w:tc>
          <w:tcPr>
            <w:tcW w:w="940" w:type="dxa"/>
            <w:vAlign w:val="bottom"/>
            <w:tcBorders>
              <w:left w:val="single" w:sz="8" w:color="auto"/>
              <w:right w:val="single" w:sz="8" w:color="auto"/>
            </w:tcBorders>
          </w:tcPr>
          <w:p>
            <w:pPr>
              <w:spacing w:after="0"/>
              <w:rPr>
                <w:sz w:val="19"/>
                <w:szCs w:val="19"/>
                <w:color w:val="auto"/>
              </w:rPr>
            </w:pPr>
          </w:p>
        </w:tc>
        <w:tc>
          <w:tcPr>
            <w:tcW w:w="2200" w:type="dxa"/>
            <w:vAlign w:val="bottom"/>
            <w:tcBorders>
              <w:right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i w:val="1"/>
                <w:iCs w:val="1"/>
                <w:color w:val="auto"/>
              </w:rPr>
              <w:t>Mortgages</w:t>
            </w:r>
          </w:p>
        </w:tc>
        <w:tc>
          <w:tcPr>
            <w:tcW w:w="12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175,478</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11,230,569</w:t>
            </w:r>
          </w:p>
        </w:tc>
        <w:tc>
          <w:tcPr>
            <w:tcW w:w="12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123,600</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7,786,799</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41.97%</w:t>
            </w:r>
          </w:p>
        </w:tc>
        <w:tc>
          <w:tcPr>
            <w:tcW w:w="0" w:type="dxa"/>
            <w:vAlign w:val="bottom"/>
          </w:tcPr>
          <w:p>
            <w:pPr>
              <w:spacing w:after="0"/>
              <w:rPr>
                <w:sz w:val="1"/>
                <w:szCs w:val="1"/>
                <w:color w:val="auto"/>
              </w:rPr>
            </w:pPr>
          </w:p>
        </w:tc>
      </w:tr>
      <w:tr>
        <w:trPr>
          <w:trHeight w:val="22"/>
        </w:trPr>
        <w:tc>
          <w:tcPr>
            <w:tcW w:w="940" w:type="dxa"/>
            <w:vAlign w:val="bottom"/>
            <w:tcBorders>
              <w:left w:val="single" w:sz="8" w:color="auto"/>
              <w:right w:val="single" w:sz="8" w:color="auto"/>
            </w:tcBorders>
          </w:tcPr>
          <w:p>
            <w:pPr>
              <w:spacing w:after="0" w:line="20" w:lineRule="exact"/>
              <w:rPr>
                <w:sz w:val="1"/>
                <w:szCs w:val="1"/>
                <w:color w:val="auto"/>
              </w:rPr>
            </w:pPr>
          </w:p>
        </w:tc>
        <w:tc>
          <w:tcPr>
            <w:tcW w:w="2200" w:type="dxa"/>
            <w:vAlign w:val="bottom"/>
            <w:tcBorders>
              <w:right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40" w:type="dxa"/>
            <w:vAlign w:val="bottom"/>
            <w:tcBorders>
              <w:left w:val="single" w:sz="8" w:color="auto"/>
              <w:right w:val="single" w:sz="8" w:color="auto"/>
            </w:tcBorders>
          </w:tcPr>
          <w:p>
            <w:pPr>
              <w:spacing w:after="0"/>
              <w:rPr>
                <w:sz w:val="19"/>
                <w:szCs w:val="19"/>
                <w:color w:val="auto"/>
              </w:rPr>
            </w:pPr>
          </w:p>
        </w:tc>
        <w:tc>
          <w:tcPr>
            <w:tcW w:w="2200" w:type="dxa"/>
            <w:vAlign w:val="bottom"/>
            <w:tcBorders>
              <w:bottom w:val="single" w:sz="8" w:color="CCEEFF"/>
              <w:right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i w:val="1"/>
                <w:iCs w:val="1"/>
                <w:color w:val="auto"/>
              </w:rPr>
              <w:t>Other Government Bonds</w:t>
            </w:r>
          </w:p>
        </w:tc>
        <w:tc>
          <w:tcPr>
            <w:tcW w:w="124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3,651</w:t>
            </w:r>
          </w:p>
        </w:tc>
        <w:tc>
          <w:tcPr>
            <w:tcW w:w="9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231,641</w:t>
            </w:r>
          </w:p>
        </w:tc>
        <w:tc>
          <w:tcPr>
            <w:tcW w:w="124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1,976</w:t>
            </w:r>
          </w:p>
        </w:tc>
        <w:tc>
          <w:tcPr>
            <w:tcW w:w="9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125,659</w:t>
            </w:r>
          </w:p>
        </w:tc>
        <w:tc>
          <w:tcPr>
            <w:tcW w:w="9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84.72%</w:t>
            </w:r>
          </w:p>
        </w:tc>
        <w:tc>
          <w:tcPr>
            <w:tcW w:w="0" w:type="dxa"/>
            <w:vAlign w:val="bottom"/>
          </w:tcPr>
          <w:p>
            <w:pPr>
              <w:spacing w:after="0"/>
              <w:rPr>
                <w:sz w:val="1"/>
                <w:szCs w:val="1"/>
                <w:color w:val="auto"/>
              </w:rPr>
            </w:pPr>
          </w:p>
        </w:tc>
      </w:tr>
      <w:tr>
        <w:trPr>
          <w:trHeight w:val="222"/>
        </w:trPr>
        <w:tc>
          <w:tcPr>
            <w:tcW w:w="940" w:type="dxa"/>
            <w:vAlign w:val="bottom"/>
            <w:tcBorders>
              <w:left w:val="single" w:sz="8" w:color="auto"/>
              <w:right w:val="single" w:sz="8" w:color="auto"/>
            </w:tcBorders>
          </w:tcPr>
          <w:p>
            <w:pPr>
              <w:spacing w:after="0"/>
              <w:rPr>
                <w:sz w:val="19"/>
                <w:szCs w:val="19"/>
                <w:color w:val="auto"/>
              </w:rPr>
            </w:pPr>
          </w:p>
        </w:tc>
        <w:tc>
          <w:tcPr>
            <w:tcW w:w="22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5"/>
                <w:szCs w:val="15"/>
                <w:color w:val="auto"/>
              </w:rPr>
              <w:t>Derivatives</w:t>
            </w:r>
          </w:p>
        </w:tc>
        <w:tc>
          <w:tcPr>
            <w:tcW w:w="12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278,749</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18,044,201</w:t>
            </w:r>
          </w:p>
        </w:tc>
        <w:tc>
          <w:tcPr>
            <w:tcW w:w="12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133,693</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8,514,786</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108.50%</w:t>
            </w:r>
          </w:p>
        </w:tc>
        <w:tc>
          <w:tcPr>
            <w:tcW w:w="0" w:type="dxa"/>
            <w:vAlign w:val="bottom"/>
          </w:tcPr>
          <w:p>
            <w:pPr>
              <w:spacing w:after="0"/>
              <w:rPr>
                <w:sz w:val="1"/>
                <w:szCs w:val="1"/>
                <w:color w:val="auto"/>
              </w:rPr>
            </w:pPr>
          </w:p>
        </w:tc>
      </w:tr>
      <w:tr>
        <w:trPr>
          <w:trHeight w:val="22"/>
        </w:trPr>
        <w:tc>
          <w:tcPr>
            <w:tcW w:w="940" w:type="dxa"/>
            <w:vAlign w:val="bottom"/>
            <w:tcBorders>
              <w:left w:val="single" w:sz="8" w:color="auto"/>
              <w:right w:val="single" w:sz="8" w:color="auto"/>
            </w:tcBorders>
          </w:tcPr>
          <w:p>
            <w:pPr>
              <w:spacing w:after="0" w:line="20" w:lineRule="exact"/>
              <w:rPr>
                <w:sz w:val="1"/>
                <w:szCs w:val="1"/>
                <w:color w:val="auto"/>
              </w:rPr>
            </w:pPr>
          </w:p>
        </w:tc>
        <w:tc>
          <w:tcPr>
            <w:tcW w:w="2200" w:type="dxa"/>
            <w:vAlign w:val="bottom"/>
            <w:tcBorders>
              <w:right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40" w:type="dxa"/>
            <w:vAlign w:val="bottom"/>
            <w:tcBorders>
              <w:left w:val="single" w:sz="8" w:color="auto"/>
              <w:right w:val="single" w:sz="8" w:color="auto"/>
            </w:tcBorders>
          </w:tcPr>
          <w:p>
            <w:pPr>
              <w:spacing w:after="0"/>
              <w:rPr>
                <w:sz w:val="19"/>
                <w:szCs w:val="19"/>
                <w:color w:val="auto"/>
              </w:rPr>
            </w:pPr>
          </w:p>
        </w:tc>
        <w:tc>
          <w:tcPr>
            <w:tcW w:w="2200" w:type="dxa"/>
            <w:vAlign w:val="bottom"/>
            <w:tcBorders>
              <w:bottom w:val="single" w:sz="8" w:color="CCEEFF"/>
              <w:right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i w:val="1"/>
                <w:iCs w:val="1"/>
                <w:color w:val="auto"/>
              </w:rPr>
              <w:t xml:space="preserve">Swaps/Swaptions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 xml:space="preserve"> 1Y</w:t>
            </w:r>
          </w:p>
        </w:tc>
        <w:tc>
          <w:tcPr>
            <w:tcW w:w="124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148,195</w:t>
            </w:r>
          </w:p>
        </w:tc>
        <w:tc>
          <w:tcPr>
            <w:tcW w:w="9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9,610,603</w:t>
            </w:r>
          </w:p>
        </w:tc>
        <w:tc>
          <w:tcPr>
            <w:tcW w:w="124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104,080</w:t>
            </w:r>
          </w:p>
        </w:tc>
        <w:tc>
          <w:tcPr>
            <w:tcW w:w="9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6,635,855</w:t>
            </w:r>
          </w:p>
        </w:tc>
        <w:tc>
          <w:tcPr>
            <w:tcW w:w="9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42.39%</w:t>
            </w:r>
          </w:p>
        </w:tc>
        <w:tc>
          <w:tcPr>
            <w:tcW w:w="0" w:type="dxa"/>
            <w:vAlign w:val="bottom"/>
          </w:tcPr>
          <w:p>
            <w:pPr>
              <w:spacing w:after="0"/>
              <w:rPr>
                <w:sz w:val="1"/>
                <w:szCs w:val="1"/>
                <w:color w:val="auto"/>
              </w:rPr>
            </w:pPr>
          </w:p>
        </w:tc>
      </w:tr>
      <w:tr>
        <w:trPr>
          <w:trHeight w:val="222"/>
        </w:trPr>
        <w:tc>
          <w:tcPr>
            <w:tcW w:w="940" w:type="dxa"/>
            <w:vAlign w:val="bottom"/>
            <w:tcBorders>
              <w:left w:val="single" w:sz="8" w:color="auto"/>
              <w:right w:val="single" w:sz="8" w:color="auto"/>
            </w:tcBorders>
          </w:tcPr>
          <w:p>
            <w:pPr>
              <w:spacing w:after="0"/>
              <w:rPr>
                <w:sz w:val="19"/>
                <w:szCs w:val="19"/>
                <w:color w:val="auto"/>
              </w:rPr>
            </w:pPr>
          </w:p>
        </w:tc>
        <w:tc>
          <w:tcPr>
            <w:tcW w:w="2200" w:type="dxa"/>
            <w:vAlign w:val="bottom"/>
            <w:tcBorders>
              <w:right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i w:val="1"/>
                <w:iCs w:val="1"/>
                <w:color w:val="auto"/>
              </w:rPr>
              <w:t>Swaps/Swaptions &lt; 1Y</w:t>
            </w:r>
          </w:p>
        </w:tc>
        <w:tc>
          <w:tcPr>
            <w:tcW w:w="12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129,981</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8,396,929</w:t>
            </w:r>
          </w:p>
        </w:tc>
        <w:tc>
          <w:tcPr>
            <w:tcW w:w="12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29,125</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1,848,185</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346.28%</w:t>
            </w:r>
          </w:p>
        </w:tc>
        <w:tc>
          <w:tcPr>
            <w:tcW w:w="0" w:type="dxa"/>
            <w:vAlign w:val="bottom"/>
          </w:tcPr>
          <w:p>
            <w:pPr>
              <w:spacing w:after="0"/>
              <w:rPr>
                <w:sz w:val="1"/>
                <w:szCs w:val="1"/>
                <w:color w:val="auto"/>
              </w:rPr>
            </w:pPr>
          </w:p>
        </w:tc>
      </w:tr>
      <w:tr>
        <w:trPr>
          <w:trHeight w:val="22"/>
        </w:trPr>
        <w:tc>
          <w:tcPr>
            <w:tcW w:w="940" w:type="dxa"/>
            <w:vAlign w:val="bottom"/>
            <w:tcBorders>
              <w:left w:val="single" w:sz="8" w:color="auto"/>
              <w:right w:val="single" w:sz="8" w:color="auto"/>
            </w:tcBorders>
          </w:tcPr>
          <w:p>
            <w:pPr>
              <w:spacing w:after="0" w:line="20" w:lineRule="exact"/>
              <w:rPr>
                <w:sz w:val="1"/>
                <w:szCs w:val="1"/>
                <w:color w:val="auto"/>
              </w:rPr>
            </w:pPr>
          </w:p>
        </w:tc>
        <w:tc>
          <w:tcPr>
            <w:tcW w:w="2200" w:type="dxa"/>
            <w:vAlign w:val="bottom"/>
            <w:tcBorders>
              <w:right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40" w:type="dxa"/>
            <w:vAlign w:val="bottom"/>
            <w:tcBorders>
              <w:left w:val="single" w:sz="8" w:color="auto"/>
              <w:right w:val="single" w:sz="8" w:color="auto"/>
            </w:tcBorders>
          </w:tcPr>
          <w:p>
            <w:pPr>
              <w:spacing w:after="0"/>
              <w:rPr>
                <w:sz w:val="19"/>
                <w:szCs w:val="19"/>
                <w:color w:val="auto"/>
              </w:rPr>
            </w:pPr>
          </w:p>
        </w:tc>
        <w:tc>
          <w:tcPr>
            <w:tcW w:w="2200" w:type="dxa"/>
            <w:vAlign w:val="bottom"/>
            <w:tcBorders>
              <w:bottom w:val="single" w:sz="8" w:color="CCEEFF"/>
              <w:right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i w:val="1"/>
                <w:iCs w:val="1"/>
                <w:color w:val="auto"/>
              </w:rPr>
              <w:t>Futures</w:t>
            </w:r>
          </w:p>
        </w:tc>
        <w:tc>
          <w:tcPr>
            <w:tcW w:w="124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573</w:t>
            </w:r>
          </w:p>
        </w:tc>
        <w:tc>
          <w:tcPr>
            <w:tcW w:w="9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36,669</w:t>
            </w:r>
          </w:p>
        </w:tc>
        <w:tc>
          <w:tcPr>
            <w:tcW w:w="124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488</w:t>
            </w:r>
          </w:p>
        </w:tc>
        <w:tc>
          <w:tcPr>
            <w:tcW w:w="9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30,745</w:t>
            </w:r>
          </w:p>
        </w:tc>
        <w:tc>
          <w:tcPr>
            <w:tcW w:w="9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17.44%</w:t>
            </w:r>
          </w:p>
        </w:tc>
        <w:tc>
          <w:tcPr>
            <w:tcW w:w="0" w:type="dxa"/>
            <w:vAlign w:val="bottom"/>
          </w:tcPr>
          <w:p>
            <w:pPr>
              <w:spacing w:after="0"/>
              <w:rPr>
                <w:sz w:val="1"/>
                <w:szCs w:val="1"/>
                <w:color w:val="auto"/>
              </w:rPr>
            </w:pPr>
          </w:p>
        </w:tc>
      </w:tr>
      <w:tr>
        <w:trPr>
          <w:trHeight w:val="243"/>
        </w:trPr>
        <w:tc>
          <w:tcPr>
            <w:tcW w:w="940" w:type="dxa"/>
            <w:vAlign w:val="bottom"/>
            <w:tcBorders>
              <w:left w:val="single" w:sz="8" w:color="auto"/>
              <w:bottom w:val="single" w:sz="8" w:color="auto"/>
              <w:right w:val="single" w:sz="8" w:color="auto"/>
            </w:tcBorders>
          </w:tcPr>
          <w:p>
            <w:pPr>
              <w:spacing w:after="0"/>
              <w:rPr>
                <w:sz w:val="21"/>
                <w:szCs w:val="21"/>
                <w:color w:val="auto"/>
              </w:rPr>
            </w:pPr>
          </w:p>
        </w:tc>
        <w:tc>
          <w:tcPr>
            <w:tcW w:w="22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5"/>
                <w:szCs w:val="15"/>
                <w:color w:val="auto"/>
              </w:rPr>
              <w:t>Total</w:t>
            </w:r>
          </w:p>
        </w:tc>
        <w:tc>
          <w:tcPr>
            <w:tcW w:w="12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563,379</w:t>
            </w: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36,305,114</w:t>
            </w:r>
          </w:p>
        </w:tc>
        <w:tc>
          <w:tcPr>
            <w:tcW w:w="12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342,572</w:t>
            </w: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21,710,832</w:t>
            </w: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64.46%</w:t>
            </w:r>
          </w:p>
        </w:tc>
        <w:tc>
          <w:tcPr>
            <w:tcW w:w="0" w:type="dxa"/>
            <w:vAlign w:val="bottom"/>
          </w:tcPr>
          <w:p>
            <w:pPr>
              <w:spacing w:after="0"/>
              <w:rPr>
                <w:sz w:val="1"/>
                <w:szCs w:val="1"/>
                <w:color w:val="auto"/>
              </w:rPr>
            </w:pPr>
          </w:p>
        </w:tc>
      </w:tr>
      <w:tr>
        <w:trPr>
          <w:trHeight w:val="203"/>
        </w:trPr>
        <w:tc>
          <w:tcPr>
            <w:tcW w:w="9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5"/>
                <w:szCs w:val="15"/>
                <w:b w:val="1"/>
                <w:bCs w:val="1"/>
                <w:color w:val="auto"/>
              </w:rPr>
              <w:t>Credit</w:t>
            </w:r>
          </w:p>
        </w:tc>
        <w:tc>
          <w:tcPr>
            <w:tcW w:w="2200" w:type="dxa"/>
            <w:vAlign w:val="bottom"/>
            <w:tcBorders>
              <w:bottom w:val="single" w:sz="8" w:color="CCEEFF"/>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Cash</w:t>
            </w:r>
          </w:p>
        </w:tc>
        <w:tc>
          <w:tcPr>
            <w:tcW w:w="124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5,437</w:t>
            </w:r>
          </w:p>
        </w:tc>
        <w:tc>
          <w:tcPr>
            <w:tcW w:w="9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352,688</w:t>
            </w:r>
          </w:p>
        </w:tc>
        <w:tc>
          <w:tcPr>
            <w:tcW w:w="124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3,950</w:t>
            </w:r>
          </w:p>
        </w:tc>
        <w:tc>
          <w:tcPr>
            <w:tcW w:w="9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251,695</w:t>
            </w:r>
          </w:p>
        </w:tc>
        <w:tc>
          <w:tcPr>
            <w:tcW w:w="9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37.64%</w:t>
            </w:r>
          </w:p>
        </w:tc>
        <w:tc>
          <w:tcPr>
            <w:tcW w:w="0" w:type="dxa"/>
            <w:vAlign w:val="bottom"/>
          </w:tcPr>
          <w:p>
            <w:pPr>
              <w:spacing w:after="0"/>
              <w:rPr>
                <w:sz w:val="1"/>
                <w:szCs w:val="1"/>
                <w:color w:val="auto"/>
              </w:rPr>
            </w:pPr>
          </w:p>
        </w:tc>
      </w:tr>
      <w:tr>
        <w:trPr>
          <w:trHeight w:val="222"/>
        </w:trPr>
        <w:tc>
          <w:tcPr>
            <w:tcW w:w="940" w:type="dxa"/>
            <w:vAlign w:val="bottom"/>
            <w:tcBorders>
              <w:left w:val="single" w:sz="8" w:color="auto"/>
              <w:right w:val="single" w:sz="8" w:color="auto"/>
            </w:tcBorders>
          </w:tcPr>
          <w:p>
            <w:pPr>
              <w:spacing w:after="0"/>
              <w:rPr>
                <w:sz w:val="19"/>
                <w:szCs w:val="19"/>
                <w:color w:val="auto"/>
              </w:rPr>
            </w:pPr>
          </w:p>
        </w:tc>
        <w:tc>
          <w:tcPr>
            <w:tcW w:w="2200" w:type="dxa"/>
            <w:vAlign w:val="bottom"/>
            <w:tcBorders>
              <w:right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i w:val="1"/>
                <w:iCs w:val="1"/>
                <w:color w:val="auto"/>
              </w:rPr>
              <w:t>U.S. High-Grade</w:t>
            </w:r>
          </w:p>
        </w:tc>
        <w:tc>
          <w:tcPr>
            <w:tcW w:w="12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2,476</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158,462</w:t>
            </w:r>
          </w:p>
        </w:tc>
        <w:tc>
          <w:tcPr>
            <w:tcW w:w="12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1,712</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107,881</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44.59%</w:t>
            </w:r>
          </w:p>
        </w:tc>
        <w:tc>
          <w:tcPr>
            <w:tcW w:w="0" w:type="dxa"/>
            <w:vAlign w:val="bottom"/>
          </w:tcPr>
          <w:p>
            <w:pPr>
              <w:spacing w:after="0"/>
              <w:rPr>
                <w:sz w:val="1"/>
                <w:szCs w:val="1"/>
                <w:color w:val="auto"/>
              </w:rPr>
            </w:pPr>
          </w:p>
        </w:tc>
      </w:tr>
      <w:tr>
        <w:trPr>
          <w:trHeight w:val="22"/>
        </w:trPr>
        <w:tc>
          <w:tcPr>
            <w:tcW w:w="940" w:type="dxa"/>
            <w:vAlign w:val="bottom"/>
            <w:tcBorders>
              <w:left w:val="single" w:sz="8" w:color="auto"/>
              <w:right w:val="single" w:sz="8" w:color="auto"/>
            </w:tcBorders>
          </w:tcPr>
          <w:p>
            <w:pPr>
              <w:spacing w:after="0" w:line="20" w:lineRule="exact"/>
              <w:rPr>
                <w:sz w:val="1"/>
                <w:szCs w:val="1"/>
                <w:color w:val="auto"/>
              </w:rPr>
            </w:pPr>
          </w:p>
        </w:tc>
        <w:tc>
          <w:tcPr>
            <w:tcW w:w="2200" w:type="dxa"/>
            <w:vAlign w:val="bottom"/>
            <w:tcBorders>
              <w:right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40" w:type="dxa"/>
            <w:vAlign w:val="bottom"/>
            <w:tcBorders>
              <w:left w:val="single" w:sz="8" w:color="auto"/>
              <w:right w:val="single" w:sz="8" w:color="auto"/>
            </w:tcBorders>
          </w:tcPr>
          <w:p>
            <w:pPr>
              <w:spacing w:after="0"/>
              <w:rPr>
                <w:sz w:val="19"/>
                <w:szCs w:val="19"/>
                <w:color w:val="auto"/>
              </w:rPr>
            </w:pPr>
          </w:p>
        </w:tc>
        <w:tc>
          <w:tcPr>
            <w:tcW w:w="2200" w:type="dxa"/>
            <w:vAlign w:val="bottom"/>
            <w:tcBorders>
              <w:bottom w:val="single" w:sz="8" w:color="CCEEFF"/>
              <w:right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i w:val="1"/>
                <w:iCs w:val="1"/>
                <w:color w:val="auto"/>
              </w:rPr>
              <w:t>U.S. High-Yield</w:t>
            </w:r>
          </w:p>
        </w:tc>
        <w:tc>
          <w:tcPr>
            <w:tcW w:w="124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328</w:t>
            </w:r>
          </w:p>
        </w:tc>
        <w:tc>
          <w:tcPr>
            <w:tcW w:w="9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20,973</w:t>
            </w:r>
          </w:p>
        </w:tc>
        <w:tc>
          <w:tcPr>
            <w:tcW w:w="124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230</w:t>
            </w:r>
          </w:p>
        </w:tc>
        <w:tc>
          <w:tcPr>
            <w:tcW w:w="9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14,461</w:t>
            </w:r>
          </w:p>
        </w:tc>
        <w:tc>
          <w:tcPr>
            <w:tcW w:w="9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42.77%</w:t>
            </w:r>
          </w:p>
        </w:tc>
        <w:tc>
          <w:tcPr>
            <w:tcW w:w="0" w:type="dxa"/>
            <w:vAlign w:val="bottom"/>
          </w:tcPr>
          <w:p>
            <w:pPr>
              <w:spacing w:after="0"/>
              <w:rPr>
                <w:sz w:val="1"/>
                <w:szCs w:val="1"/>
                <w:color w:val="auto"/>
              </w:rPr>
            </w:pPr>
          </w:p>
        </w:tc>
      </w:tr>
      <w:tr>
        <w:trPr>
          <w:trHeight w:val="222"/>
        </w:trPr>
        <w:tc>
          <w:tcPr>
            <w:tcW w:w="940" w:type="dxa"/>
            <w:vAlign w:val="bottom"/>
            <w:tcBorders>
              <w:left w:val="single" w:sz="8" w:color="auto"/>
              <w:right w:val="single" w:sz="8" w:color="auto"/>
            </w:tcBorders>
          </w:tcPr>
          <w:p>
            <w:pPr>
              <w:spacing w:after="0"/>
              <w:rPr>
                <w:sz w:val="19"/>
                <w:szCs w:val="19"/>
                <w:color w:val="auto"/>
              </w:rPr>
            </w:pPr>
          </w:p>
        </w:tc>
        <w:tc>
          <w:tcPr>
            <w:tcW w:w="2200" w:type="dxa"/>
            <w:vAlign w:val="bottom"/>
            <w:tcBorders>
              <w:right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i w:val="1"/>
                <w:iCs w:val="1"/>
                <w:color w:val="auto"/>
              </w:rPr>
              <w:t>European Credit</w:t>
            </w:r>
          </w:p>
        </w:tc>
        <w:tc>
          <w:tcPr>
            <w:tcW w:w="12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1,203</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79,409</w:t>
            </w:r>
          </w:p>
        </w:tc>
        <w:tc>
          <w:tcPr>
            <w:tcW w:w="12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1,098</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71,357</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9.60%</w:t>
            </w:r>
          </w:p>
        </w:tc>
        <w:tc>
          <w:tcPr>
            <w:tcW w:w="0" w:type="dxa"/>
            <w:vAlign w:val="bottom"/>
          </w:tcPr>
          <w:p>
            <w:pPr>
              <w:spacing w:after="0"/>
              <w:rPr>
                <w:sz w:val="1"/>
                <w:szCs w:val="1"/>
                <w:color w:val="auto"/>
              </w:rPr>
            </w:pPr>
          </w:p>
        </w:tc>
      </w:tr>
      <w:tr>
        <w:trPr>
          <w:trHeight w:val="22"/>
        </w:trPr>
        <w:tc>
          <w:tcPr>
            <w:tcW w:w="940" w:type="dxa"/>
            <w:vAlign w:val="bottom"/>
            <w:tcBorders>
              <w:left w:val="single" w:sz="8" w:color="auto"/>
              <w:right w:val="single" w:sz="8" w:color="auto"/>
            </w:tcBorders>
          </w:tcPr>
          <w:p>
            <w:pPr>
              <w:spacing w:after="0" w:line="20" w:lineRule="exact"/>
              <w:rPr>
                <w:sz w:val="1"/>
                <w:szCs w:val="1"/>
                <w:color w:val="auto"/>
              </w:rPr>
            </w:pPr>
          </w:p>
        </w:tc>
        <w:tc>
          <w:tcPr>
            <w:tcW w:w="2200" w:type="dxa"/>
            <w:vAlign w:val="bottom"/>
            <w:tcBorders>
              <w:right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40" w:type="dxa"/>
            <w:vAlign w:val="bottom"/>
            <w:tcBorders>
              <w:left w:val="single" w:sz="8" w:color="auto"/>
              <w:right w:val="single" w:sz="8" w:color="auto"/>
            </w:tcBorders>
          </w:tcPr>
          <w:p>
            <w:pPr>
              <w:spacing w:after="0"/>
              <w:rPr>
                <w:sz w:val="19"/>
                <w:szCs w:val="19"/>
                <w:color w:val="auto"/>
              </w:rPr>
            </w:pPr>
          </w:p>
        </w:tc>
        <w:tc>
          <w:tcPr>
            <w:tcW w:w="2200" w:type="dxa"/>
            <w:vAlign w:val="bottom"/>
            <w:tcBorders>
              <w:bottom w:val="single" w:sz="8" w:color="CCEEFF"/>
              <w:right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i w:val="1"/>
                <w:iCs w:val="1"/>
                <w:color w:val="auto"/>
              </w:rPr>
              <w:t>Municipal Bonds</w:t>
            </w:r>
          </w:p>
        </w:tc>
        <w:tc>
          <w:tcPr>
            <w:tcW w:w="124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226</w:t>
            </w:r>
          </w:p>
        </w:tc>
        <w:tc>
          <w:tcPr>
            <w:tcW w:w="9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14,433</w:t>
            </w:r>
          </w:p>
        </w:tc>
        <w:tc>
          <w:tcPr>
            <w:tcW w:w="124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256</w:t>
            </w:r>
          </w:p>
        </w:tc>
        <w:tc>
          <w:tcPr>
            <w:tcW w:w="9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16,134</w:t>
            </w:r>
          </w:p>
        </w:tc>
        <w:tc>
          <w:tcPr>
            <w:tcW w:w="960" w:type="dxa"/>
            <w:vAlign w:val="bottom"/>
            <w:tcBorders>
              <w:bottom w:val="single" w:sz="8" w:color="CCEEFF"/>
              <w:right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-11.94%</w:t>
            </w:r>
          </w:p>
        </w:tc>
        <w:tc>
          <w:tcPr>
            <w:tcW w:w="0" w:type="dxa"/>
            <w:vAlign w:val="bottom"/>
          </w:tcPr>
          <w:p>
            <w:pPr>
              <w:spacing w:after="0"/>
              <w:rPr>
                <w:sz w:val="1"/>
                <w:szCs w:val="1"/>
                <w:color w:val="auto"/>
              </w:rPr>
            </w:pPr>
          </w:p>
        </w:tc>
      </w:tr>
      <w:tr>
        <w:trPr>
          <w:trHeight w:val="222"/>
        </w:trPr>
        <w:tc>
          <w:tcPr>
            <w:tcW w:w="940" w:type="dxa"/>
            <w:vAlign w:val="bottom"/>
            <w:tcBorders>
              <w:left w:val="single" w:sz="8" w:color="auto"/>
              <w:right w:val="single" w:sz="8" w:color="auto"/>
            </w:tcBorders>
          </w:tcPr>
          <w:p>
            <w:pPr>
              <w:spacing w:after="0"/>
              <w:rPr>
                <w:sz w:val="19"/>
                <w:szCs w:val="19"/>
                <w:color w:val="auto"/>
              </w:rPr>
            </w:pPr>
          </w:p>
        </w:tc>
        <w:tc>
          <w:tcPr>
            <w:tcW w:w="2200" w:type="dxa"/>
            <w:vAlign w:val="bottom"/>
            <w:tcBorders>
              <w:right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i w:val="1"/>
                <w:iCs w:val="1"/>
                <w:color w:val="auto"/>
              </w:rPr>
              <w:t>Chinese Bonds</w:t>
            </w:r>
          </w:p>
        </w:tc>
        <w:tc>
          <w:tcPr>
            <w:tcW w:w="12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1,139</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75,201</w:t>
            </w:r>
          </w:p>
        </w:tc>
        <w:tc>
          <w:tcPr>
            <w:tcW w:w="12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603</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38,571</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89.06%</w:t>
            </w:r>
          </w:p>
        </w:tc>
        <w:tc>
          <w:tcPr>
            <w:tcW w:w="0" w:type="dxa"/>
            <w:vAlign w:val="bottom"/>
          </w:tcPr>
          <w:p>
            <w:pPr>
              <w:spacing w:after="0"/>
              <w:rPr>
                <w:sz w:val="1"/>
                <w:szCs w:val="1"/>
                <w:color w:val="auto"/>
              </w:rPr>
            </w:pPr>
          </w:p>
        </w:tc>
      </w:tr>
      <w:tr>
        <w:trPr>
          <w:trHeight w:val="22"/>
        </w:trPr>
        <w:tc>
          <w:tcPr>
            <w:tcW w:w="940" w:type="dxa"/>
            <w:vAlign w:val="bottom"/>
            <w:tcBorders>
              <w:left w:val="single" w:sz="8" w:color="auto"/>
              <w:right w:val="single" w:sz="8" w:color="auto"/>
            </w:tcBorders>
          </w:tcPr>
          <w:p>
            <w:pPr>
              <w:spacing w:after="0" w:line="20" w:lineRule="exact"/>
              <w:rPr>
                <w:sz w:val="1"/>
                <w:szCs w:val="1"/>
                <w:color w:val="auto"/>
              </w:rPr>
            </w:pPr>
          </w:p>
        </w:tc>
        <w:tc>
          <w:tcPr>
            <w:tcW w:w="2200" w:type="dxa"/>
            <w:vAlign w:val="bottom"/>
            <w:tcBorders>
              <w:right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40" w:type="dxa"/>
            <w:vAlign w:val="bottom"/>
            <w:tcBorders>
              <w:left w:val="single" w:sz="8" w:color="auto"/>
              <w:right w:val="single" w:sz="8" w:color="auto"/>
            </w:tcBorders>
          </w:tcPr>
          <w:p>
            <w:pPr>
              <w:spacing w:after="0"/>
              <w:rPr>
                <w:sz w:val="19"/>
                <w:szCs w:val="19"/>
                <w:color w:val="auto"/>
              </w:rPr>
            </w:pPr>
          </w:p>
        </w:tc>
        <w:tc>
          <w:tcPr>
            <w:tcW w:w="2200" w:type="dxa"/>
            <w:vAlign w:val="bottom"/>
            <w:tcBorders>
              <w:bottom w:val="single" w:sz="8" w:color="CCEEFF"/>
              <w:right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i w:val="1"/>
                <w:iCs w:val="1"/>
                <w:color w:val="auto"/>
              </w:rPr>
              <w:t>Other Credit Bonds</w:t>
            </w:r>
          </w:p>
        </w:tc>
        <w:tc>
          <w:tcPr>
            <w:tcW w:w="124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65</w:t>
            </w:r>
          </w:p>
        </w:tc>
        <w:tc>
          <w:tcPr>
            <w:tcW w:w="9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4,209</w:t>
            </w:r>
          </w:p>
        </w:tc>
        <w:tc>
          <w:tcPr>
            <w:tcW w:w="124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51</w:t>
            </w:r>
          </w:p>
        </w:tc>
        <w:tc>
          <w:tcPr>
            <w:tcW w:w="9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3,291</w:t>
            </w:r>
          </w:p>
        </w:tc>
        <w:tc>
          <w:tcPr>
            <w:tcW w:w="9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26.12%</w:t>
            </w:r>
          </w:p>
        </w:tc>
        <w:tc>
          <w:tcPr>
            <w:tcW w:w="0" w:type="dxa"/>
            <w:vAlign w:val="bottom"/>
          </w:tcPr>
          <w:p>
            <w:pPr>
              <w:spacing w:after="0"/>
              <w:rPr>
                <w:sz w:val="1"/>
                <w:szCs w:val="1"/>
                <w:color w:val="auto"/>
              </w:rPr>
            </w:pPr>
          </w:p>
        </w:tc>
      </w:tr>
      <w:tr>
        <w:trPr>
          <w:trHeight w:val="222"/>
        </w:trPr>
        <w:tc>
          <w:tcPr>
            <w:tcW w:w="940" w:type="dxa"/>
            <w:vAlign w:val="bottom"/>
            <w:tcBorders>
              <w:left w:val="single" w:sz="8" w:color="auto"/>
              <w:right w:val="single" w:sz="8" w:color="auto"/>
            </w:tcBorders>
          </w:tcPr>
          <w:p>
            <w:pPr>
              <w:spacing w:after="0"/>
              <w:rPr>
                <w:sz w:val="19"/>
                <w:szCs w:val="19"/>
                <w:color w:val="auto"/>
              </w:rPr>
            </w:pPr>
          </w:p>
        </w:tc>
        <w:tc>
          <w:tcPr>
            <w:tcW w:w="22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5"/>
                <w:szCs w:val="15"/>
                <w:color w:val="auto"/>
              </w:rPr>
              <w:t>Derivatives</w:t>
            </w:r>
          </w:p>
        </w:tc>
        <w:tc>
          <w:tcPr>
            <w:tcW w:w="12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11,763</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764,357</w:t>
            </w:r>
          </w:p>
        </w:tc>
        <w:tc>
          <w:tcPr>
            <w:tcW w:w="12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7,935</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508,512</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48.23%</w:t>
            </w:r>
          </w:p>
        </w:tc>
        <w:tc>
          <w:tcPr>
            <w:tcW w:w="0" w:type="dxa"/>
            <w:vAlign w:val="bottom"/>
          </w:tcPr>
          <w:p>
            <w:pPr>
              <w:spacing w:after="0"/>
              <w:rPr>
                <w:sz w:val="1"/>
                <w:szCs w:val="1"/>
                <w:color w:val="auto"/>
              </w:rPr>
            </w:pPr>
          </w:p>
        </w:tc>
      </w:tr>
      <w:tr>
        <w:trPr>
          <w:trHeight w:val="22"/>
        </w:trPr>
        <w:tc>
          <w:tcPr>
            <w:tcW w:w="940" w:type="dxa"/>
            <w:vAlign w:val="bottom"/>
            <w:tcBorders>
              <w:left w:val="single" w:sz="8" w:color="auto"/>
              <w:right w:val="single" w:sz="8" w:color="auto"/>
            </w:tcBorders>
          </w:tcPr>
          <w:p>
            <w:pPr>
              <w:spacing w:after="0" w:line="20" w:lineRule="exact"/>
              <w:rPr>
                <w:sz w:val="1"/>
                <w:szCs w:val="1"/>
                <w:color w:val="auto"/>
              </w:rPr>
            </w:pPr>
          </w:p>
        </w:tc>
        <w:tc>
          <w:tcPr>
            <w:tcW w:w="2200" w:type="dxa"/>
            <w:vAlign w:val="bottom"/>
            <w:tcBorders>
              <w:right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40" w:type="dxa"/>
            <w:vAlign w:val="bottom"/>
            <w:tcBorders>
              <w:left w:val="single" w:sz="8" w:color="auto"/>
              <w:right w:val="single" w:sz="8" w:color="auto"/>
            </w:tcBorders>
          </w:tcPr>
          <w:p>
            <w:pPr>
              <w:spacing w:after="0"/>
              <w:rPr>
                <w:sz w:val="19"/>
                <w:szCs w:val="19"/>
                <w:color w:val="auto"/>
              </w:rPr>
            </w:pPr>
          </w:p>
        </w:tc>
        <w:tc>
          <w:tcPr>
            <w:tcW w:w="2200" w:type="dxa"/>
            <w:vAlign w:val="bottom"/>
            <w:tcBorders>
              <w:bottom w:val="single" w:sz="8" w:color="CCEEFF"/>
              <w:right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i w:val="1"/>
                <w:iCs w:val="1"/>
                <w:color w:val="auto"/>
              </w:rPr>
              <w:t>Swaps</w:t>
            </w:r>
          </w:p>
        </w:tc>
        <w:tc>
          <w:tcPr>
            <w:tcW w:w="124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11,763</w:t>
            </w:r>
          </w:p>
        </w:tc>
        <w:tc>
          <w:tcPr>
            <w:tcW w:w="9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764,357</w:t>
            </w:r>
          </w:p>
        </w:tc>
        <w:tc>
          <w:tcPr>
            <w:tcW w:w="124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7,935</w:t>
            </w:r>
          </w:p>
        </w:tc>
        <w:tc>
          <w:tcPr>
            <w:tcW w:w="9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508,512</w:t>
            </w:r>
          </w:p>
        </w:tc>
        <w:tc>
          <w:tcPr>
            <w:tcW w:w="9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48.23%</w:t>
            </w:r>
          </w:p>
        </w:tc>
        <w:tc>
          <w:tcPr>
            <w:tcW w:w="0" w:type="dxa"/>
            <w:vAlign w:val="bottom"/>
          </w:tcPr>
          <w:p>
            <w:pPr>
              <w:spacing w:after="0"/>
              <w:rPr>
                <w:sz w:val="1"/>
                <w:szCs w:val="1"/>
                <w:color w:val="auto"/>
              </w:rPr>
            </w:pPr>
          </w:p>
        </w:tc>
      </w:tr>
      <w:tr>
        <w:trPr>
          <w:trHeight w:val="222"/>
        </w:trPr>
        <w:tc>
          <w:tcPr>
            <w:tcW w:w="940" w:type="dxa"/>
            <w:vAlign w:val="bottom"/>
            <w:tcBorders>
              <w:left w:val="single" w:sz="8" w:color="auto"/>
              <w:right w:val="single" w:sz="8" w:color="auto"/>
            </w:tcBorders>
          </w:tcPr>
          <w:p>
            <w:pPr>
              <w:spacing w:after="0"/>
              <w:rPr>
                <w:sz w:val="19"/>
                <w:szCs w:val="19"/>
                <w:color w:val="auto"/>
              </w:rPr>
            </w:pPr>
          </w:p>
        </w:tc>
        <w:tc>
          <w:tcPr>
            <w:tcW w:w="22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5"/>
                <w:szCs w:val="15"/>
                <w:color w:val="auto"/>
              </w:rPr>
              <w:t>Total</w:t>
            </w:r>
          </w:p>
        </w:tc>
        <w:tc>
          <w:tcPr>
            <w:tcW w:w="12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17,199</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1,117,045</w:t>
            </w:r>
          </w:p>
        </w:tc>
        <w:tc>
          <w:tcPr>
            <w:tcW w:w="12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11,885</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760,207</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44.71%</w:t>
            </w:r>
          </w:p>
        </w:tc>
        <w:tc>
          <w:tcPr>
            <w:tcW w:w="0" w:type="dxa"/>
            <w:vAlign w:val="bottom"/>
          </w:tcPr>
          <w:p>
            <w:pPr>
              <w:spacing w:after="0"/>
              <w:rPr>
                <w:sz w:val="1"/>
                <w:szCs w:val="1"/>
                <w:color w:val="auto"/>
              </w:rPr>
            </w:pPr>
          </w:p>
        </w:tc>
      </w:tr>
      <w:tr>
        <w:trPr>
          <w:trHeight w:val="22"/>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0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940" w:type="dxa"/>
            <w:vAlign w:val="bottom"/>
            <w:tcBorders>
              <w:left w:val="single" w:sz="8" w:color="auto"/>
              <w:right w:val="single" w:sz="8" w:color="auto"/>
            </w:tcBorders>
          </w:tcPr>
          <w:p>
            <w:pPr>
              <w:ind w:left="140"/>
              <w:spacing w:after="0" w:line="156" w:lineRule="exact"/>
              <w:rPr>
                <w:sz w:val="20"/>
                <w:szCs w:val="20"/>
                <w:color w:val="auto"/>
              </w:rPr>
            </w:pPr>
            <w:r>
              <w:rPr>
                <w:rFonts w:ascii="Times New Roman" w:cs="Times New Roman" w:eastAsia="Times New Roman" w:hAnsi="Times New Roman"/>
                <w:sz w:val="15"/>
                <w:szCs w:val="15"/>
                <w:b w:val="1"/>
                <w:bCs w:val="1"/>
                <w:color w:val="auto"/>
              </w:rPr>
              <w:t>Money</w:t>
            </w:r>
          </w:p>
        </w:tc>
        <w:tc>
          <w:tcPr>
            <w:tcW w:w="2200" w:type="dxa"/>
            <w:vAlign w:val="bottom"/>
            <w:tcBorders>
              <w:right w:val="single" w:sz="8" w:color="auto"/>
            </w:tcBorders>
            <w:shd w:val="clear" w:color="auto" w:fill="CCEEFF"/>
          </w:tcPr>
          <w:p>
            <w:pPr>
              <w:ind w:left="120"/>
              <w:spacing w:after="0" w:line="156" w:lineRule="exact"/>
              <w:rPr>
                <w:sz w:val="20"/>
                <w:szCs w:val="20"/>
                <w:color w:val="auto"/>
              </w:rPr>
            </w:pPr>
            <w:r>
              <w:rPr>
                <w:rFonts w:ascii="Times New Roman" w:cs="Times New Roman" w:eastAsia="Times New Roman" w:hAnsi="Times New Roman"/>
                <w:sz w:val="15"/>
                <w:szCs w:val="15"/>
                <w:color w:val="auto"/>
              </w:rPr>
              <w:t>Cash</w:t>
            </w:r>
          </w:p>
        </w:tc>
        <w:tc>
          <w:tcPr>
            <w:tcW w:w="1240" w:type="dxa"/>
            <w:vAlign w:val="bottom"/>
            <w:shd w:val="clear" w:color="auto" w:fill="CCEEFF"/>
          </w:tcPr>
          <w:p>
            <w:pPr>
              <w:jc w:val="right"/>
              <w:ind w:right="23"/>
              <w:spacing w:after="0" w:line="156" w:lineRule="exact"/>
              <w:rPr>
                <w:sz w:val="20"/>
                <w:szCs w:val="20"/>
                <w:color w:val="auto"/>
              </w:rPr>
            </w:pPr>
            <w:r>
              <w:rPr>
                <w:rFonts w:ascii="Times New Roman" w:cs="Times New Roman" w:eastAsia="Times New Roman" w:hAnsi="Times New Roman"/>
                <w:sz w:val="15"/>
                <w:szCs w:val="15"/>
                <w:color w:val="auto"/>
              </w:rPr>
              <w:t>227,125</w:t>
            </w:r>
          </w:p>
        </w:tc>
        <w:tc>
          <w:tcPr>
            <w:tcW w:w="960" w:type="dxa"/>
            <w:vAlign w:val="bottom"/>
            <w:tcBorders>
              <w:right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14,701,122</w:t>
            </w:r>
          </w:p>
        </w:tc>
        <w:tc>
          <w:tcPr>
            <w:tcW w:w="1240" w:type="dxa"/>
            <w:vAlign w:val="bottom"/>
            <w:shd w:val="clear" w:color="auto" w:fill="CCEEFF"/>
          </w:tcPr>
          <w:p>
            <w:pPr>
              <w:jc w:val="right"/>
              <w:ind w:right="23"/>
              <w:spacing w:after="0" w:line="156" w:lineRule="exact"/>
              <w:rPr>
                <w:sz w:val="20"/>
                <w:szCs w:val="20"/>
                <w:color w:val="auto"/>
              </w:rPr>
            </w:pPr>
            <w:r>
              <w:rPr>
                <w:rFonts w:ascii="Times New Roman" w:cs="Times New Roman" w:eastAsia="Times New Roman" w:hAnsi="Times New Roman"/>
                <w:sz w:val="15"/>
                <w:szCs w:val="15"/>
                <w:color w:val="auto"/>
              </w:rPr>
              <w:t>171,509</w:t>
            </w:r>
          </w:p>
        </w:tc>
        <w:tc>
          <w:tcPr>
            <w:tcW w:w="960" w:type="dxa"/>
            <w:vAlign w:val="bottom"/>
            <w:tcBorders>
              <w:right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10,872,806</w:t>
            </w:r>
          </w:p>
        </w:tc>
        <w:tc>
          <w:tcPr>
            <w:tcW w:w="960" w:type="dxa"/>
            <w:vAlign w:val="bottom"/>
            <w:tcBorders>
              <w:right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32.43%</w:t>
            </w:r>
          </w:p>
        </w:tc>
        <w:tc>
          <w:tcPr>
            <w:tcW w:w="0" w:type="dxa"/>
            <w:vAlign w:val="bottom"/>
          </w:tcPr>
          <w:p>
            <w:pPr>
              <w:spacing w:after="0"/>
              <w:rPr>
                <w:sz w:val="1"/>
                <w:szCs w:val="1"/>
                <w:color w:val="auto"/>
              </w:rPr>
            </w:pPr>
          </w:p>
        </w:tc>
      </w:tr>
      <w:tr>
        <w:trPr>
          <w:trHeight w:val="68"/>
        </w:trPr>
        <w:tc>
          <w:tcPr>
            <w:tcW w:w="940" w:type="dxa"/>
            <w:vAlign w:val="bottom"/>
            <w:tcBorders>
              <w:left w:val="single" w:sz="8" w:color="auto"/>
              <w:right w:val="single" w:sz="8" w:color="auto"/>
            </w:tcBorders>
            <w:vMerge w:val="restart"/>
          </w:tcPr>
          <w:p>
            <w:pPr>
              <w:ind w:left="140"/>
              <w:spacing w:after="0"/>
              <w:rPr>
                <w:sz w:val="20"/>
                <w:szCs w:val="20"/>
                <w:color w:val="auto"/>
              </w:rPr>
            </w:pPr>
            <w:r>
              <w:rPr>
                <w:rFonts w:ascii="Times New Roman" w:cs="Times New Roman" w:eastAsia="Times New Roman" w:hAnsi="Times New Roman"/>
                <w:sz w:val="15"/>
                <w:szCs w:val="15"/>
                <w:b w:val="1"/>
                <w:bCs w:val="1"/>
                <w:color w:val="auto"/>
              </w:rPr>
              <w:t>Markets</w:t>
            </w:r>
          </w:p>
        </w:tc>
        <w:tc>
          <w:tcPr>
            <w:tcW w:w="2200" w:type="dxa"/>
            <w:vAlign w:val="bottom"/>
            <w:tcBorders>
              <w:right w:val="single" w:sz="8" w:color="auto"/>
            </w:tcBorders>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960" w:type="dxa"/>
            <w:vAlign w:val="bottom"/>
            <w:tcBorders>
              <w:right w:val="single" w:sz="8" w:color="auto"/>
            </w:tcBorders>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960" w:type="dxa"/>
            <w:vAlign w:val="bottom"/>
            <w:tcBorders>
              <w:right w:val="single" w:sz="8" w:color="auto"/>
            </w:tcBorders>
            <w:shd w:val="clear" w:color="auto" w:fill="CCEEFF"/>
          </w:tcPr>
          <w:p>
            <w:pPr>
              <w:spacing w:after="0"/>
              <w:rPr>
                <w:sz w:val="5"/>
                <w:szCs w:val="5"/>
                <w:color w:val="auto"/>
              </w:rPr>
            </w:pPr>
          </w:p>
        </w:tc>
        <w:tc>
          <w:tcPr>
            <w:tcW w:w="960" w:type="dxa"/>
            <w:vAlign w:val="bottom"/>
            <w:tcBorders>
              <w:right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940" w:type="dxa"/>
            <w:vAlign w:val="bottom"/>
            <w:tcBorders>
              <w:left w:val="single" w:sz="8" w:color="auto"/>
              <w:right w:val="single" w:sz="8" w:color="auto"/>
            </w:tcBorders>
            <w:vMerge w:val="continue"/>
          </w:tcPr>
          <w:p>
            <w:pPr>
              <w:spacing w:after="0"/>
              <w:rPr>
                <w:sz w:val="11"/>
                <w:szCs w:val="11"/>
                <w:color w:val="auto"/>
              </w:rPr>
            </w:pPr>
          </w:p>
        </w:tc>
        <w:tc>
          <w:tcPr>
            <w:tcW w:w="2200" w:type="dxa"/>
            <w:vAlign w:val="bottom"/>
            <w:tcBorders>
              <w:right w:val="single" w:sz="8" w:color="auto"/>
            </w:tcBorders>
            <w:vMerge w:val="restart"/>
          </w:tcPr>
          <w:p>
            <w:pPr>
              <w:jc w:val="right"/>
              <w:ind w:right="63"/>
              <w:spacing w:after="0"/>
              <w:rPr>
                <w:sz w:val="20"/>
                <w:szCs w:val="20"/>
                <w:color w:val="auto"/>
              </w:rPr>
            </w:pPr>
            <w:r>
              <w:rPr>
                <w:rFonts w:ascii="Times New Roman" w:cs="Times New Roman" w:eastAsia="Times New Roman" w:hAnsi="Times New Roman"/>
                <w:sz w:val="15"/>
                <w:szCs w:val="15"/>
                <w:i w:val="1"/>
                <w:iCs w:val="1"/>
                <w:color w:val="auto"/>
              </w:rPr>
              <w:t>Repurchase Agreements (Repo)</w:t>
            </w:r>
          </w:p>
        </w:tc>
        <w:tc>
          <w:tcPr>
            <w:tcW w:w="1240" w:type="dxa"/>
            <w:vAlign w:val="bottom"/>
            <w:vMerge w:val="restart"/>
          </w:tcPr>
          <w:p>
            <w:pPr>
              <w:jc w:val="right"/>
              <w:ind w:right="23"/>
              <w:spacing w:after="0"/>
              <w:rPr>
                <w:sz w:val="20"/>
                <w:szCs w:val="20"/>
                <w:color w:val="auto"/>
              </w:rPr>
            </w:pPr>
            <w:r>
              <w:rPr>
                <w:rFonts w:ascii="Times New Roman" w:cs="Times New Roman" w:eastAsia="Times New Roman" w:hAnsi="Times New Roman"/>
                <w:sz w:val="15"/>
                <w:szCs w:val="15"/>
                <w:color w:val="auto"/>
              </w:rPr>
              <w:t>209,298</w:t>
            </w:r>
          </w:p>
        </w:tc>
        <w:tc>
          <w:tcPr>
            <w:tcW w:w="9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13,557,806</w:t>
            </w:r>
          </w:p>
        </w:tc>
        <w:tc>
          <w:tcPr>
            <w:tcW w:w="1240" w:type="dxa"/>
            <w:vAlign w:val="bottom"/>
            <w:vMerge w:val="restart"/>
          </w:tcPr>
          <w:p>
            <w:pPr>
              <w:jc w:val="right"/>
              <w:ind w:right="23"/>
              <w:spacing w:after="0"/>
              <w:rPr>
                <w:sz w:val="20"/>
                <w:szCs w:val="20"/>
                <w:color w:val="auto"/>
              </w:rPr>
            </w:pPr>
            <w:r>
              <w:rPr>
                <w:rFonts w:ascii="Times New Roman" w:cs="Times New Roman" w:eastAsia="Times New Roman" w:hAnsi="Times New Roman"/>
                <w:sz w:val="15"/>
                <w:szCs w:val="15"/>
                <w:color w:val="auto"/>
              </w:rPr>
              <w:t>151,667</w:t>
            </w:r>
          </w:p>
        </w:tc>
        <w:tc>
          <w:tcPr>
            <w:tcW w:w="9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9,620,102</w:t>
            </w:r>
          </w:p>
        </w:tc>
        <w:tc>
          <w:tcPr>
            <w:tcW w:w="9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38.00%</w:t>
            </w:r>
          </w:p>
        </w:tc>
        <w:tc>
          <w:tcPr>
            <w:tcW w:w="0" w:type="dxa"/>
            <w:vAlign w:val="bottom"/>
          </w:tcPr>
          <w:p>
            <w:pPr>
              <w:spacing w:after="0"/>
              <w:rPr>
                <w:sz w:val="1"/>
                <w:szCs w:val="1"/>
                <w:color w:val="auto"/>
              </w:rPr>
            </w:pPr>
          </w:p>
        </w:tc>
      </w:tr>
      <w:tr>
        <w:trPr>
          <w:trHeight w:val="87"/>
        </w:trPr>
        <w:tc>
          <w:tcPr>
            <w:tcW w:w="940" w:type="dxa"/>
            <w:vAlign w:val="bottom"/>
            <w:tcBorders>
              <w:left w:val="single" w:sz="8" w:color="auto"/>
              <w:right w:val="single" w:sz="8" w:color="auto"/>
            </w:tcBorders>
          </w:tcPr>
          <w:p>
            <w:pPr>
              <w:spacing w:after="0"/>
              <w:rPr>
                <w:sz w:val="7"/>
                <w:szCs w:val="7"/>
                <w:color w:val="auto"/>
              </w:rPr>
            </w:pPr>
          </w:p>
        </w:tc>
        <w:tc>
          <w:tcPr>
            <w:tcW w:w="2200" w:type="dxa"/>
            <w:vAlign w:val="bottom"/>
            <w:tcBorders>
              <w:right w:val="single" w:sz="8" w:color="auto"/>
            </w:tcBorders>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960" w:type="dxa"/>
            <w:vAlign w:val="bottom"/>
            <w:tcBorders>
              <w:right w:val="single" w:sz="8" w:color="auto"/>
            </w:tcBorders>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960" w:type="dxa"/>
            <w:vAlign w:val="bottom"/>
            <w:tcBorders>
              <w:right w:val="single" w:sz="8" w:color="auto"/>
            </w:tcBorders>
            <w:vMerge w:val="continue"/>
          </w:tcPr>
          <w:p>
            <w:pPr>
              <w:spacing w:after="0"/>
              <w:rPr>
                <w:sz w:val="7"/>
                <w:szCs w:val="7"/>
                <w:color w:val="auto"/>
              </w:rPr>
            </w:pPr>
          </w:p>
        </w:tc>
        <w:tc>
          <w:tcPr>
            <w:tcW w:w="9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940" w:type="dxa"/>
            <w:vAlign w:val="bottom"/>
            <w:tcBorders>
              <w:left w:val="single" w:sz="8" w:color="auto"/>
              <w:right w:val="single" w:sz="8" w:color="auto"/>
            </w:tcBorders>
          </w:tcPr>
          <w:p>
            <w:pPr>
              <w:spacing w:after="0" w:line="20" w:lineRule="exact"/>
              <w:rPr>
                <w:sz w:val="1"/>
                <w:szCs w:val="1"/>
                <w:color w:val="auto"/>
              </w:rPr>
            </w:pPr>
          </w:p>
        </w:tc>
        <w:tc>
          <w:tcPr>
            <w:tcW w:w="2200" w:type="dxa"/>
            <w:vAlign w:val="bottom"/>
            <w:tcBorders>
              <w:right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40" w:type="dxa"/>
            <w:vAlign w:val="bottom"/>
            <w:tcBorders>
              <w:left w:val="single" w:sz="8" w:color="auto"/>
              <w:right w:val="single" w:sz="8" w:color="auto"/>
            </w:tcBorders>
          </w:tcPr>
          <w:p>
            <w:pPr>
              <w:spacing w:after="0"/>
              <w:rPr>
                <w:sz w:val="19"/>
                <w:szCs w:val="19"/>
                <w:color w:val="auto"/>
              </w:rPr>
            </w:pPr>
          </w:p>
        </w:tc>
        <w:tc>
          <w:tcPr>
            <w:tcW w:w="2200" w:type="dxa"/>
            <w:vAlign w:val="bottom"/>
            <w:tcBorders>
              <w:bottom w:val="single" w:sz="8" w:color="CCEEFF"/>
              <w:right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i w:val="1"/>
                <w:iCs w:val="1"/>
                <w:color w:val="auto"/>
              </w:rPr>
              <w:t>Other Money Markets</w:t>
            </w:r>
          </w:p>
        </w:tc>
        <w:tc>
          <w:tcPr>
            <w:tcW w:w="124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17,827</w:t>
            </w:r>
          </w:p>
        </w:tc>
        <w:tc>
          <w:tcPr>
            <w:tcW w:w="9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1,143,316</w:t>
            </w:r>
          </w:p>
        </w:tc>
        <w:tc>
          <w:tcPr>
            <w:tcW w:w="124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19,842</w:t>
            </w:r>
          </w:p>
        </w:tc>
        <w:tc>
          <w:tcPr>
            <w:tcW w:w="9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1,252,704</w:t>
            </w:r>
          </w:p>
        </w:tc>
        <w:tc>
          <w:tcPr>
            <w:tcW w:w="960" w:type="dxa"/>
            <w:vAlign w:val="bottom"/>
            <w:tcBorders>
              <w:bottom w:val="single" w:sz="8" w:color="CCEEFF"/>
              <w:right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-10.15%</w:t>
            </w:r>
          </w:p>
        </w:tc>
        <w:tc>
          <w:tcPr>
            <w:tcW w:w="0" w:type="dxa"/>
            <w:vAlign w:val="bottom"/>
          </w:tcPr>
          <w:p>
            <w:pPr>
              <w:spacing w:after="0"/>
              <w:rPr>
                <w:sz w:val="1"/>
                <w:szCs w:val="1"/>
                <w:color w:val="auto"/>
              </w:rPr>
            </w:pPr>
          </w:p>
        </w:tc>
      </w:tr>
      <w:tr>
        <w:trPr>
          <w:trHeight w:val="222"/>
        </w:trPr>
        <w:tc>
          <w:tcPr>
            <w:tcW w:w="940" w:type="dxa"/>
            <w:vAlign w:val="bottom"/>
            <w:tcBorders>
              <w:left w:val="single" w:sz="8" w:color="auto"/>
              <w:right w:val="single" w:sz="8" w:color="auto"/>
            </w:tcBorders>
          </w:tcPr>
          <w:p>
            <w:pPr>
              <w:spacing w:after="0"/>
              <w:rPr>
                <w:sz w:val="19"/>
                <w:szCs w:val="19"/>
                <w:color w:val="auto"/>
              </w:rPr>
            </w:pPr>
          </w:p>
        </w:tc>
        <w:tc>
          <w:tcPr>
            <w:tcW w:w="22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5"/>
                <w:szCs w:val="15"/>
                <w:color w:val="auto"/>
              </w:rPr>
              <w:t>Total</w:t>
            </w:r>
          </w:p>
        </w:tc>
        <w:tc>
          <w:tcPr>
            <w:tcW w:w="12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227,125</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14,701,122</w:t>
            </w:r>
          </w:p>
        </w:tc>
        <w:tc>
          <w:tcPr>
            <w:tcW w:w="12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171,509</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10,872,806</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32.43%</w:t>
            </w:r>
          </w:p>
        </w:tc>
        <w:tc>
          <w:tcPr>
            <w:tcW w:w="0" w:type="dxa"/>
            <w:vAlign w:val="bottom"/>
          </w:tcPr>
          <w:p>
            <w:pPr>
              <w:spacing w:after="0"/>
              <w:rPr>
                <w:sz w:val="1"/>
                <w:szCs w:val="1"/>
                <w:color w:val="auto"/>
              </w:rPr>
            </w:pPr>
          </w:p>
        </w:tc>
      </w:tr>
      <w:tr>
        <w:trPr>
          <w:trHeight w:val="22"/>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0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9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5"/>
                <w:szCs w:val="15"/>
                <w:b w:val="1"/>
                <w:bCs w:val="1"/>
                <w:color w:val="auto"/>
              </w:rPr>
              <w:t>Equities</w:t>
            </w:r>
          </w:p>
        </w:tc>
        <w:tc>
          <w:tcPr>
            <w:tcW w:w="2200" w:type="dxa"/>
            <w:vAlign w:val="bottom"/>
            <w:tcBorders>
              <w:bottom w:val="single" w:sz="8" w:color="CCEEFF"/>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Cash</w:t>
            </w:r>
          </w:p>
        </w:tc>
        <w:tc>
          <w:tcPr>
            <w:tcW w:w="124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4,500</w:t>
            </w:r>
          </w:p>
        </w:tc>
        <w:tc>
          <w:tcPr>
            <w:tcW w:w="9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291,470</w:t>
            </w:r>
          </w:p>
        </w:tc>
        <w:tc>
          <w:tcPr>
            <w:tcW w:w="124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3,162</w:t>
            </w:r>
          </w:p>
        </w:tc>
        <w:tc>
          <w:tcPr>
            <w:tcW w:w="9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201,149</w:t>
            </w:r>
          </w:p>
        </w:tc>
        <w:tc>
          <w:tcPr>
            <w:tcW w:w="9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42.32%</w:t>
            </w:r>
          </w:p>
        </w:tc>
        <w:tc>
          <w:tcPr>
            <w:tcW w:w="0" w:type="dxa"/>
            <w:vAlign w:val="bottom"/>
          </w:tcPr>
          <w:p>
            <w:pPr>
              <w:spacing w:after="0"/>
              <w:rPr>
                <w:sz w:val="1"/>
                <w:szCs w:val="1"/>
                <w:color w:val="auto"/>
              </w:rPr>
            </w:pPr>
          </w:p>
        </w:tc>
      </w:tr>
      <w:tr>
        <w:trPr>
          <w:trHeight w:val="222"/>
        </w:trPr>
        <w:tc>
          <w:tcPr>
            <w:tcW w:w="940" w:type="dxa"/>
            <w:vAlign w:val="bottom"/>
            <w:tcBorders>
              <w:left w:val="single" w:sz="8" w:color="auto"/>
              <w:right w:val="single" w:sz="8" w:color="auto"/>
            </w:tcBorders>
          </w:tcPr>
          <w:p>
            <w:pPr>
              <w:spacing w:after="0"/>
              <w:rPr>
                <w:sz w:val="19"/>
                <w:szCs w:val="19"/>
                <w:color w:val="auto"/>
              </w:rPr>
            </w:pPr>
          </w:p>
        </w:tc>
        <w:tc>
          <w:tcPr>
            <w:tcW w:w="2200" w:type="dxa"/>
            <w:vAlign w:val="bottom"/>
            <w:tcBorders>
              <w:right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i w:val="1"/>
                <w:iCs w:val="1"/>
                <w:color w:val="auto"/>
              </w:rPr>
              <w:t>U.S. ETFs</w:t>
            </w:r>
          </w:p>
        </w:tc>
        <w:tc>
          <w:tcPr>
            <w:tcW w:w="12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2,756</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176,353</w:t>
            </w:r>
          </w:p>
        </w:tc>
        <w:tc>
          <w:tcPr>
            <w:tcW w:w="12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2,182</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137,496</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26.26%</w:t>
            </w:r>
          </w:p>
        </w:tc>
        <w:tc>
          <w:tcPr>
            <w:tcW w:w="0" w:type="dxa"/>
            <w:vAlign w:val="bottom"/>
          </w:tcPr>
          <w:p>
            <w:pPr>
              <w:spacing w:after="0"/>
              <w:rPr>
                <w:sz w:val="1"/>
                <w:szCs w:val="1"/>
                <w:color w:val="auto"/>
              </w:rPr>
            </w:pPr>
          </w:p>
        </w:tc>
      </w:tr>
      <w:tr>
        <w:trPr>
          <w:trHeight w:val="22"/>
        </w:trPr>
        <w:tc>
          <w:tcPr>
            <w:tcW w:w="940" w:type="dxa"/>
            <w:vAlign w:val="bottom"/>
            <w:tcBorders>
              <w:left w:val="single" w:sz="8" w:color="auto"/>
              <w:right w:val="single" w:sz="8" w:color="auto"/>
            </w:tcBorders>
          </w:tcPr>
          <w:p>
            <w:pPr>
              <w:spacing w:after="0" w:line="20" w:lineRule="exact"/>
              <w:rPr>
                <w:sz w:val="1"/>
                <w:szCs w:val="1"/>
                <w:color w:val="auto"/>
              </w:rPr>
            </w:pPr>
          </w:p>
        </w:tc>
        <w:tc>
          <w:tcPr>
            <w:tcW w:w="2200" w:type="dxa"/>
            <w:vAlign w:val="bottom"/>
            <w:tcBorders>
              <w:right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40" w:type="dxa"/>
            <w:vAlign w:val="bottom"/>
            <w:tcBorders>
              <w:left w:val="single" w:sz="8" w:color="auto"/>
              <w:right w:val="single" w:sz="8" w:color="auto"/>
            </w:tcBorders>
          </w:tcPr>
          <w:p>
            <w:pPr>
              <w:spacing w:after="0"/>
              <w:rPr>
                <w:sz w:val="19"/>
                <w:szCs w:val="19"/>
                <w:color w:val="auto"/>
              </w:rPr>
            </w:pPr>
          </w:p>
        </w:tc>
        <w:tc>
          <w:tcPr>
            <w:tcW w:w="2200" w:type="dxa"/>
            <w:vAlign w:val="bottom"/>
            <w:tcBorders>
              <w:bottom w:val="single" w:sz="8" w:color="CCEEFF"/>
              <w:right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i w:val="1"/>
                <w:iCs w:val="1"/>
                <w:color w:val="auto"/>
              </w:rPr>
              <w:t>Europe ETFs</w:t>
            </w:r>
          </w:p>
        </w:tc>
        <w:tc>
          <w:tcPr>
            <w:tcW w:w="124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1,744</w:t>
            </w:r>
          </w:p>
        </w:tc>
        <w:tc>
          <w:tcPr>
            <w:tcW w:w="9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115,118</w:t>
            </w:r>
          </w:p>
        </w:tc>
        <w:tc>
          <w:tcPr>
            <w:tcW w:w="124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979</w:t>
            </w:r>
          </w:p>
        </w:tc>
        <w:tc>
          <w:tcPr>
            <w:tcW w:w="9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63,653</w:t>
            </w:r>
          </w:p>
        </w:tc>
        <w:tc>
          <w:tcPr>
            <w:tcW w:w="9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78.12%</w:t>
            </w:r>
          </w:p>
        </w:tc>
        <w:tc>
          <w:tcPr>
            <w:tcW w:w="0" w:type="dxa"/>
            <w:vAlign w:val="bottom"/>
          </w:tcPr>
          <w:p>
            <w:pPr>
              <w:spacing w:after="0"/>
              <w:rPr>
                <w:sz w:val="1"/>
                <w:szCs w:val="1"/>
                <w:color w:val="auto"/>
              </w:rPr>
            </w:pPr>
          </w:p>
        </w:tc>
      </w:tr>
      <w:tr>
        <w:trPr>
          <w:trHeight w:val="222"/>
        </w:trPr>
        <w:tc>
          <w:tcPr>
            <w:tcW w:w="940" w:type="dxa"/>
            <w:vAlign w:val="bottom"/>
            <w:tcBorders>
              <w:left w:val="single" w:sz="8" w:color="auto"/>
              <w:right w:val="single" w:sz="8" w:color="auto"/>
            </w:tcBorders>
          </w:tcPr>
          <w:p>
            <w:pPr>
              <w:spacing w:after="0"/>
              <w:rPr>
                <w:sz w:val="19"/>
                <w:szCs w:val="19"/>
                <w:color w:val="auto"/>
              </w:rPr>
            </w:pPr>
          </w:p>
        </w:tc>
        <w:tc>
          <w:tcPr>
            <w:tcW w:w="22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5"/>
                <w:szCs w:val="15"/>
                <w:color w:val="auto"/>
              </w:rPr>
              <w:t>Derivatives</w:t>
            </w:r>
          </w:p>
        </w:tc>
        <w:tc>
          <w:tcPr>
            <w:tcW w:w="12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2,845</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184,659</w:t>
            </w:r>
          </w:p>
        </w:tc>
        <w:tc>
          <w:tcPr>
            <w:tcW w:w="12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2,584</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165,441</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10.11%</w:t>
            </w:r>
          </w:p>
        </w:tc>
        <w:tc>
          <w:tcPr>
            <w:tcW w:w="0" w:type="dxa"/>
            <w:vAlign w:val="bottom"/>
          </w:tcPr>
          <w:p>
            <w:pPr>
              <w:spacing w:after="0"/>
              <w:rPr>
                <w:sz w:val="1"/>
                <w:szCs w:val="1"/>
                <w:color w:val="auto"/>
              </w:rPr>
            </w:pPr>
          </w:p>
        </w:tc>
      </w:tr>
      <w:tr>
        <w:trPr>
          <w:trHeight w:val="22"/>
        </w:trPr>
        <w:tc>
          <w:tcPr>
            <w:tcW w:w="940" w:type="dxa"/>
            <w:vAlign w:val="bottom"/>
            <w:tcBorders>
              <w:left w:val="single" w:sz="8" w:color="auto"/>
              <w:right w:val="single" w:sz="8" w:color="auto"/>
            </w:tcBorders>
          </w:tcPr>
          <w:p>
            <w:pPr>
              <w:spacing w:after="0" w:line="20" w:lineRule="exact"/>
              <w:rPr>
                <w:sz w:val="1"/>
                <w:szCs w:val="1"/>
                <w:color w:val="auto"/>
              </w:rPr>
            </w:pPr>
          </w:p>
        </w:tc>
        <w:tc>
          <w:tcPr>
            <w:tcW w:w="2200" w:type="dxa"/>
            <w:vAlign w:val="bottom"/>
            <w:tcBorders>
              <w:right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40" w:type="dxa"/>
            <w:vAlign w:val="bottom"/>
            <w:tcBorders>
              <w:left w:val="single" w:sz="8" w:color="auto"/>
              <w:right w:val="single" w:sz="8" w:color="auto"/>
            </w:tcBorders>
          </w:tcPr>
          <w:p>
            <w:pPr>
              <w:spacing w:after="0"/>
              <w:rPr>
                <w:sz w:val="19"/>
                <w:szCs w:val="19"/>
                <w:color w:val="auto"/>
              </w:rPr>
            </w:pPr>
          </w:p>
        </w:tc>
        <w:tc>
          <w:tcPr>
            <w:tcW w:w="2200" w:type="dxa"/>
            <w:vAlign w:val="bottom"/>
            <w:tcBorders>
              <w:bottom w:val="single" w:sz="8" w:color="CCEEFF"/>
              <w:right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i w:val="1"/>
                <w:iCs w:val="1"/>
                <w:color w:val="auto"/>
              </w:rPr>
              <w:t>Options/Convertibles/Swaps</w:t>
            </w:r>
          </w:p>
        </w:tc>
        <w:tc>
          <w:tcPr>
            <w:tcW w:w="124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1,275</w:t>
            </w:r>
          </w:p>
        </w:tc>
        <w:tc>
          <w:tcPr>
            <w:tcW w:w="9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83,721</w:t>
            </w:r>
          </w:p>
        </w:tc>
        <w:tc>
          <w:tcPr>
            <w:tcW w:w="124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1,253</w:t>
            </w:r>
          </w:p>
        </w:tc>
        <w:tc>
          <w:tcPr>
            <w:tcW w:w="9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81,194</w:t>
            </w:r>
          </w:p>
        </w:tc>
        <w:tc>
          <w:tcPr>
            <w:tcW w:w="9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1.73%</w:t>
            </w:r>
          </w:p>
        </w:tc>
        <w:tc>
          <w:tcPr>
            <w:tcW w:w="0" w:type="dxa"/>
            <w:vAlign w:val="bottom"/>
          </w:tcPr>
          <w:p>
            <w:pPr>
              <w:spacing w:after="0"/>
              <w:rPr>
                <w:sz w:val="1"/>
                <w:szCs w:val="1"/>
                <w:color w:val="auto"/>
              </w:rPr>
            </w:pPr>
          </w:p>
        </w:tc>
      </w:tr>
      <w:tr>
        <w:trPr>
          <w:trHeight w:val="222"/>
        </w:trPr>
        <w:tc>
          <w:tcPr>
            <w:tcW w:w="940" w:type="dxa"/>
            <w:vAlign w:val="bottom"/>
            <w:tcBorders>
              <w:left w:val="single" w:sz="8" w:color="auto"/>
              <w:right w:val="single" w:sz="8" w:color="auto"/>
            </w:tcBorders>
          </w:tcPr>
          <w:p>
            <w:pPr>
              <w:spacing w:after="0"/>
              <w:rPr>
                <w:sz w:val="19"/>
                <w:szCs w:val="19"/>
                <w:color w:val="auto"/>
              </w:rPr>
            </w:pPr>
          </w:p>
        </w:tc>
        <w:tc>
          <w:tcPr>
            <w:tcW w:w="2200" w:type="dxa"/>
            <w:vAlign w:val="bottom"/>
            <w:tcBorders>
              <w:right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i w:val="1"/>
                <w:iCs w:val="1"/>
                <w:color w:val="auto"/>
              </w:rPr>
              <w:t>Futures</w:t>
            </w:r>
          </w:p>
        </w:tc>
        <w:tc>
          <w:tcPr>
            <w:tcW w:w="12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1,570</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100,938</w:t>
            </w:r>
          </w:p>
        </w:tc>
        <w:tc>
          <w:tcPr>
            <w:tcW w:w="12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1,331</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84,247</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18.00%</w:t>
            </w:r>
          </w:p>
        </w:tc>
        <w:tc>
          <w:tcPr>
            <w:tcW w:w="0" w:type="dxa"/>
            <w:vAlign w:val="bottom"/>
          </w:tcPr>
          <w:p>
            <w:pPr>
              <w:spacing w:after="0"/>
              <w:rPr>
                <w:sz w:val="1"/>
                <w:szCs w:val="1"/>
                <w:color w:val="auto"/>
              </w:rPr>
            </w:pPr>
          </w:p>
        </w:tc>
      </w:tr>
      <w:tr>
        <w:trPr>
          <w:trHeight w:val="22"/>
        </w:trPr>
        <w:tc>
          <w:tcPr>
            <w:tcW w:w="940" w:type="dxa"/>
            <w:vAlign w:val="bottom"/>
            <w:tcBorders>
              <w:left w:val="single" w:sz="8" w:color="auto"/>
              <w:right w:val="single" w:sz="8" w:color="auto"/>
            </w:tcBorders>
          </w:tcPr>
          <w:p>
            <w:pPr>
              <w:spacing w:after="0" w:line="20" w:lineRule="exact"/>
              <w:rPr>
                <w:sz w:val="1"/>
                <w:szCs w:val="1"/>
                <w:color w:val="auto"/>
              </w:rPr>
            </w:pPr>
          </w:p>
        </w:tc>
        <w:tc>
          <w:tcPr>
            <w:tcW w:w="2200" w:type="dxa"/>
            <w:vAlign w:val="bottom"/>
            <w:tcBorders>
              <w:right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940" w:type="dxa"/>
            <w:vAlign w:val="bottom"/>
            <w:tcBorders>
              <w:left w:val="single" w:sz="8" w:color="auto"/>
              <w:right w:val="single" w:sz="8" w:color="auto"/>
            </w:tcBorders>
          </w:tcPr>
          <w:p>
            <w:pPr>
              <w:spacing w:after="0"/>
              <w:rPr>
                <w:sz w:val="21"/>
                <w:szCs w:val="21"/>
                <w:color w:val="auto"/>
              </w:rPr>
            </w:pPr>
          </w:p>
        </w:tc>
        <w:tc>
          <w:tcPr>
            <w:tcW w:w="2200" w:type="dxa"/>
            <w:vAlign w:val="bottom"/>
            <w:tcBorders>
              <w:bottom w:val="single" w:sz="8" w:color="CCEEFF"/>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Total</w:t>
            </w:r>
          </w:p>
        </w:tc>
        <w:tc>
          <w:tcPr>
            <w:tcW w:w="124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7,345</w:t>
            </w:r>
          </w:p>
        </w:tc>
        <w:tc>
          <w:tcPr>
            <w:tcW w:w="9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476,129</w:t>
            </w:r>
          </w:p>
        </w:tc>
        <w:tc>
          <w:tcPr>
            <w:tcW w:w="124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5,746</w:t>
            </w:r>
          </w:p>
        </w:tc>
        <w:tc>
          <w:tcPr>
            <w:tcW w:w="9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366,590</w:t>
            </w:r>
          </w:p>
        </w:tc>
        <w:tc>
          <w:tcPr>
            <w:tcW w:w="9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27.83%</w:t>
            </w:r>
          </w:p>
        </w:tc>
        <w:tc>
          <w:tcPr>
            <w:tcW w:w="0" w:type="dxa"/>
            <w:vAlign w:val="bottom"/>
          </w:tcPr>
          <w:p>
            <w:pPr>
              <w:spacing w:after="0"/>
              <w:rPr>
                <w:sz w:val="1"/>
                <w:szCs w:val="1"/>
                <w:color w:val="auto"/>
              </w:rPr>
            </w:pPr>
          </w:p>
        </w:tc>
      </w:tr>
      <w:tr>
        <w:trPr>
          <w:trHeight w:val="223"/>
        </w:trPr>
        <w:tc>
          <w:tcPr>
            <w:tcW w:w="940" w:type="dxa"/>
            <w:vAlign w:val="bottom"/>
            <w:tcBorders>
              <w:top w:val="single" w:sz="8" w:color="auto"/>
            </w:tcBorders>
          </w:tcPr>
          <w:p>
            <w:pPr>
              <w:spacing w:after="0"/>
              <w:rPr>
                <w:sz w:val="19"/>
                <w:szCs w:val="19"/>
                <w:color w:val="auto"/>
              </w:rPr>
            </w:pPr>
          </w:p>
        </w:tc>
        <w:tc>
          <w:tcPr>
            <w:tcW w:w="2200" w:type="dxa"/>
            <w:vAlign w:val="bottom"/>
            <w:tcBorders>
              <w:top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8"/>
        </w:trPr>
        <w:tc>
          <w:tcPr>
            <w:tcW w:w="940" w:type="dxa"/>
            <w:vAlign w:val="bottom"/>
          </w:tcPr>
          <w:p>
            <w:pPr>
              <w:spacing w:after="0"/>
              <w:rPr>
                <w:sz w:val="12"/>
                <w:szCs w:val="12"/>
                <w:color w:val="auto"/>
              </w:rPr>
            </w:pPr>
          </w:p>
        </w:tc>
        <w:tc>
          <w:tcPr>
            <w:tcW w:w="2200" w:type="dxa"/>
            <w:vAlign w:val="bottom"/>
            <w:tcBorders>
              <w:right w:val="single" w:sz="8" w:color="auto"/>
            </w:tcBorders>
          </w:tcPr>
          <w:p>
            <w:pPr>
              <w:spacing w:after="0"/>
              <w:rPr>
                <w:sz w:val="12"/>
                <w:szCs w:val="12"/>
                <w:color w:val="auto"/>
              </w:rPr>
            </w:pPr>
          </w:p>
        </w:tc>
        <w:tc>
          <w:tcPr>
            <w:tcW w:w="1240" w:type="dxa"/>
            <w:vAlign w:val="bottom"/>
            <w:vMerge w:val="restart"/>
          </w:tcPr>
          <w:p>
            <w:pPr>
              <w:ind w:left="100"/>
              <w:spacing w:after="0"/>
              <w:rPr>
                <w:sz w:val="20"/>
                <w:szCs w:val="20"/>
                <w:color w:val="auto"/>
              </w:rPr>
            </w:pPr>
            <w:r>
              <w:rPr>
                <w:rFonts w:ascii="Times New Roman" w:cs="Times New Roman" w:eastAsia="Times New Roman" w:hAnsi="Times New Roman"/>
                <w:sz w:val="15"/>
                <w:szCs w:val="15"/>
                <w:color w:val="auto"/>
              </w:rPr>
              <w:t>ADV (USD</w:t>
            </w:r>
          </w:p>
        </w:tc>
        <w:tc>
          <w:tcPr>
            <w:tcW w:w="960" w:type="dxa"/>
            <w:vAlign w:val="bottom"/>
            <w:tcBorders>
              <w:right w:val="single" w:sz="8" w:color="auto"/>
            </w:tcBorders>
          </w:tcPr>
          <w:p>
            <w:pPr>
              <w:jc w:val="center"/>
              <w:ind w:right="43"/>
              <w:spacing w:after="0" w:line="138" w:lineRule="exact"/>
              <w:rPr>
                <w:sz w:val="20"/>
                <w:szCs w:val="20"/>
                <w:color w:val="auto"/>
              </w:rPr>
            </w:pPr>
            <w:r>
              <w:rPr>
                <w:rFonts w:ascii="Times New Roman" w:cs="Times New Roman" w:eastAsia="Times New Roman" w:hAnsi="Times New Roman"/>
                <w:sz w:val="15"/>
                <w:szCs w:val="15"/>
                <w:color w:val="auto"/>
              </w:rPr>
              <w:t>Average</w:t>
            </w:r>
          </w:p>
        </w:tc>
        <w:tc>
          <w:tcPr>
            <w:tcW w:w="1240" w:type="dxa"/>
            <w:vAlign w:val="bottom"/>
            <w:vMerge w:val="restart"/>
          </w:tcPr>
          <w:p>
            <w:pPr>
              <w:ind w:left="100"/>
              <w:spacing w:after="0"/>
              <w:rPr>
                <w:sz w:val="20"/>
                <w:szCs w:val="20"/>
                <w:color w:val="auto"/>
              </w:rPr>
            </w:pPr>
            <w:r>
              <w:rPr>
                <w:rFonts w:ascii="Times New Roman" w:cs="Times New Roman" w:eastAsia="Times New Roman" w:hAnsi="Times New Roman"/>
                <w:sz w:val="15"/>
                <w:szCs w:val="15"/>
                <w:color w:val="auto"/>
              </w:rPr>
              <w:t>ADV (USD</w:t>
            </w:r>
          </w:p>
        </w:tc>
        <w:tc>
          <w:tcPr>
            <w:tcW w:w="960" w:type="dxa"/>
            <w:vAlign w:val="bottom"/>
            <w:tcBorders>
              <w:right w:val="single" w:sz="8" w:color="auto"/>
            </w:tcBorders>
          </w:tcPr>
          <w:p>
            <w:pPr>
              <w:jc w:val="center"/>
              <w:ind w:right="43"/>
              <w:spacing w:after="0" w:line="138" w:lineRule="exact"/>
              <w:rPr>
                <w:sz w:val="20"/>
                <w:szCs w:val="20"/>
                <w:color w:val="auto"/>
              </w:rPr>
            </w:pPr>
            <w:r>
              <w:rPr>
                <w:rFonts w:ascii="Times New Roman" w:cs="Times New Roman" w:eastAsia="Times New Roman" w:hAnsi="Times New Roman"/>
                <w:sz w:val="15"/>
                <w:szCs w:val="15"/>
                <w:color w:val="auto"/>
              </w:rPr>
              <w:t>Average</w:t>
            </w:r>
          </w:p>
        </w:tc>
        <w:tc>
          <w:tcPr>
            <w:tcW w:w="9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940" w:type="dxa"/>
            <w:vAlign w:val="bottom"/>
          </w:tcPr>
          <w:p>
            <w:pPr>
              <w:spacing w:after="0"/>
              <w:rPr>
                <w:sz w:val="7"/>
                <w:szCs w:val="7"/>
                <w:color w:val="auto"/>
              </w:rPr>
            </w:pPr>
          </w:p>
        </w:tc>
        <w:tc>
          <w:tcPr>
            <w:tcW w:w="2200" w:type="dxa"/>
            <w:vAlign w:val="bottom"/>
            <w:tcBorders>
              <w:right w:val="single" w:sz="8" w:color="auto"/>
            </w:tcBorders>
          </w:tcPr>
          <w:p>
            <w:pPr>
              <w:spacing w:after="0"/>
              <w:rPr>
                <w:sz w:val="7"/>
                <w:szCs w:val="7"/>
                <w:color w:val="auto"/>
              </w:rPr>
            </w:pPr>
          </w:p>
        </w:tc>
        <w:tc>
          <w:tcPr>
            <w:tcW w:w="1240" w:type="dxa"/>
            <w:vAlign w:val="bottom"/>
            <w:vMerge w:val="continue"/>
          </w:tcPr>
          <w:p>
            <w:pPr>
              <w:spacing w:after="0"/>
              <w:rPr>
                <w:sz w:val="7"/>
                <w:szCs w:val="7"/>
                <w:color w:val="auto"/>
              </w:rPr>
            </w:pPr>
          </w:p>
        </w:tc>
        <w:tc>
          <w:tcPr>
            <w:tcW w:w="960" w:type="dxa"/>
            <w:vAlign w:val="bottom"/>
            <w:tcBorders>
              <w:right w:val="single" w:sz="8" w:color="auto"/>
            </w:tcBorders>
            <w:vMerge w:val="restart"/>
          </w:tcPr>
          <w:p>
            <w:pPr>
              <w:jc w:val="center"/>
              <w:ind w:right="63"/>
              <w:spacing w:after="0" w:line="162" w:lineRule="exact"/>
              <w:rPr>
                <w:sz w:val="20"/>
                <w:szCs w:val="20"/>
                <w:color w:val="auto"/>
              </w:rPr>
            </w:pPr>
            <w:r>
              <w:rPr>
                <w:rFonts w:ascii="Times New Roman" w:cs="Times New Roman" w:eastAsia="Times New Roman" w:hAnsi="Times New Roman"/>
                <w:sz w:val="15"/>
                <w:szCs w:val="15"/>
                <w:color w:val="auto"/>
              </w:rPr>
              <w:t>Daily</w:t>
            </w:r>
          </w:p>
        </w:tc>
        <w:tc>
          <w:tcPr>
            <w:tcW w:w="1240" w:type="dxa"/>
            <w:vAlign w:val="bottom"/>
            <w:vMerge w:val="continue"/>
          </w:tcPr>
          <w:p>
            <w:pPr>
              <w:spacing w:after="0"/>
              <w:rPr>
                <w:sz w:val="7"/>
                <w:szCs w:val="7"/>
                <w:color w:val="auto"/>
              </w:rPr>
            </w:pPr>
          </w:p>
        </w:tc>
        <w:tc>
          <w:tcPr>
            <w:tcW w:w="960" w:type="dxa"/>
            <w:vAlign w:val="bottom"/>
            <w:tcBorders>
              <w:right w:val="single" w:sz="8" w:color="auto"/>
            </w:tcBorders>
            <w:vMerge w:val="restart"/>
          </w:tcPr>
          <w:p>
            <w:pPr>
              <w:jc w:val="center"/>
              <w:ind w:right="63"/>
              <w:spacing w:after="0" w:line="162" w:lineRule="exact"/>
              <w:rPr>
                <w:sz w:val="20"/>
                <w:szCs w:val="20"/>
                <w:color w:val="auto"/>
              </w:rPr>
            </w:pPr>
            <w:r>
              <w:rPr>
                <w:rFonts w:ascii="Times New Roman" w:cs="Times New Roman" w:eastAsia="Times New Roman" w:hAnsi="Times New Roman"/>
                <w:sz w:val="15"/>
                <w:szCs w:val="15"/>
                <w:color w:val="auto"/>
              </w:rPr>
              <w:t>Daily</w:t>
            </w:r>
          </w:p>
        </w:tc>
        <w:tc>
          <w:tcPr>
            <w:tcW w:w="9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940" w:type="dxa"/>
            <w:vAlign w:val="bottom"/>
          </w:tcPr>
          <w:p>
            <w:pPr>
              <w:spacing w:after="0"/>
              <w:rPr>
                <w:sz w:val="7"/>
                <w:szCs w:val="7"/>
                <w:color w:val="auto"/>
              </w:rPr>
            </w:pPr>
          </w:p>
        </w:tc>
        <w:tc>
          <w:tcPr>
            <w:tcW w:w="2200" w:type="dxa"/>
            <w:vAlign w:val="bottom"/>
            <w:tcBorders>
              <w:right w:val="single" w:sz="8" w:color="auto"/>
            </w:tcBorders>
          </w:tcPr>
          <w:p>
            <w:pPr>
              <w:spacing w:after="0"/>
              <w:rPr>
                <w:sz w:val="7"/>
                <w:szCs w:val="7"/>
                <w:color w:val="auto"/>
              </w:rPr>
            </w:pPr>
          </w:p>
        </w:tc>
        <w:tc>
          <w:tcPr>
            <w:tcW w:w="1240" w:type="dxa"/>
            <w:vAlign w:val="bottom"/>
            <w:vMerge w:val="restart"/>
          </w:tcPr>
          <w:p>
            <w:pPr>
              <w:ind w:left="100"/>
              <w:spacing w:after="0"/>
              <w:rPr>
                <w:sz w:val="20"/>
                <w:szCs w:val="20"/>
                <w:color w:val="auto"/>
              </w:rPr>
            </w:pPr>
            <w:r>
              <w:rPr>
                <w:rFonts w:ascii="Times New Roman" w:cs="Times New Roman" w:eastAsia="Times New Roman" w:hAnsi="Times New Roman"/>
                <w:sz w:val="15"/>
                <w:szCs w:val="15"/>
                <w:color w:val="auto"/>
              </w:rPr>
              <w:t>mm)</w:t>
            </w:r>
          </w:p>
        </w:tc>
        <w:tc>
          <w:tcPr>
            <w:tcW w:w="960" w:type="dxa"/>
            <w:vAlign w:val="bottom"/>
            <w:tcBorders>
              <w:right w:val="single" w:sz="8" w:color="auto"/>
            </w:tcBorders>
            <w:vMerge w:val="continue"/>
          </w:tcPr>
          <w:p>
            <w:pPr>
              <w:spacing w:after="0"/>
              <w:rPr>
                <w:sz w:val="7"/>
                <w:szCs w:val="7"/>
                <w:color w:val="auto"/>
              </w:rPr>
            </w:pPr>
          </w:p>
        </w:tc>
        <w:tc>
          <w:tcPr>
            <w:tcW w:w="1240" w:type="dxa"/>
            <w:vAlign w:val="bottom"/>
            <w:vMerge w:val="restart"/>
          </w:tcPr>
          <w:p>
            <w:pPr>
              <w:ind w:left="100"/>
              <w:spacing w:after="0"/>
              <w:rPr>
                <w:sz w:val="20"/>
                <w:szCs w:val="20"/>
                <w:color w:val="auto"/>
              </w:rPr>
            </w:pPr>
            <w:r>
              <w:rPr>
                <w:rFonts w:ascii="Times New Roman" w:cs="Times New Roman" w:eastAsia="Times New Roman" w:hAnsi="Times New Roman"/>
                <w:sz w:val="15"/>
                <w:szCs w:val="15"/>
                <w:color w:val="auto"/>
              </w:rPr>
              <w:t>mm)</w:t>
            </w:r>
          </w:p>
        </w:tc>
        <w:tc>
          <w:tcPr>
            <w:tcW w:w="960" w:type="dxa"/>
            <w:vAlign w:val="bottom"/>
            <w:tcBorders>
              <w:right w:val="single" w:sz="8" w:color="auto"/>
            </w:tcBorders>
            <w:vMerge w:val="continue"/>
          </w:tcPr>
          <w:p>
            <w:pPr>
              <w:spacing w:after="0"/>
              <w:rPr>
                <w:sz w:val="7"/>
                <w:szCs w:val="7"/>
                <w:color w:val="auto"/>
              </w:rPr>
            </w:pPr>
          </w:p>
        </w:tc>
        <w:tc>
          <w:tcPr>
            <w:tcW w:w="9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940" w:type="dxa"/>
            <w:vAlign w:val="bottom"/>
          </w:tcPr>
          <w:p>
            <w:pPr>
              <w:spacing w:after="0"/>
              <w:rPr>
                <w:sz w:val="10"/>
                <w:szCs w:val="10"/>
                <w:color w:val="auto"/>
              </w:rPr>
            </w:pPr>
          </w:p>
        </w:tc>
        <w:tc>
          <w:tcPr>
            <w:tcW w:w="2200" w:type="dxa"/>
            <w:vAlign w:val="bottom"/>
            <w:tcBorders>
              <w:right w:val="single" w:sz="8" w:color="auto"/>
            </w:tcBorders>
          </w:tcPr>
          <w:p>
            <w:pPr>
              <w:spacing w:after="0"/>
              <w:rPr>
                <w:sz w:val="10"/>
                <w:szCs w:val="10"/>
                <w:color w:val="auto"/>
              </w:rPr>
            </w:pPr>
          </w:p>
        </w:tc>
        <w:tc>
          <w:tcPr>
            <w:tcW w:w="1240" w:type="dxa"/>
            <w:vAlign w:val="bottom"/>
            <w:vMerge w:val="continue"/>
          </w:tcPr>
          <w:p>
            <w:pPr>
              <w:spacing w:after="0"/>
              <w:rPr>
                <w:sz w:val="10"/>
                <w:szCs w:val="10"/>
                <w:color w:val="auto"/>
              </w:rPr>
            </w:pPr>
          </w:p>
        </w:tc>
        <w:tc>
          <w:tcPr>
            <w:tcW w:w="960" w:type="dxa"/>
            <w:vAlign w:val="bottom"/>
            <w:tcBorders>
              <w:right w:val="single" w:sz="8" w:color="auto"/>
            </w:tcBorders>
            <w:vMerge w:val="restart"/>
          </w:tcPr>
          <w:p>
            <w:pPr>
              <w:jc w:val="center"/>
              <w:ind w:right="43"/>
              <w:spacing w:after="0"/>
              <w:rPr>
                <w:sz w:val="20"/>
                <w:szCs w:val="20"/>
                <w:color w:val="auto"/>
              </w:rPr>
            </w:pPr>
            <w:r>
              <w:rPr>
                <w:rFonts w:ascii="Times New Roman" w:cs="Times New Roman" w:eastAsia="Times New Roman" w:hAnsi="Times New Roman"/>
                <w:sz w:val="15"/>
                <w:szCs w:val="15"/>
                <w:color w:val="auto"/>
                <w:w w:val="97"/>
              </w:rPr>
              <w:t>Trades</w:t>
            </w:r>
          </w:p>
        </w:tc>
        <w:tc>
          <w:tcPr>
            <w:tcW w:w="1240" w:type="dxa"/>
            <w:vAlign w:val="bottom"/>
            <w:vMerge w:val="continue"/>
          </w:tcPr>
          <w:p>
            <w:pPr>
              <w:spacing w:after="0"/>
              <w:rPr>
                <w:sz w:val="10"/>
                <w:szCs w:val="10"/>
                <w:color w:val="auto"/>
              </w:rPr>
            </w:pPr>
          </w:p>
        </w:tc>
        <w:tc>
          <w:tcPr>
            <w:tcW w:w="960" w:type="dxa"/>
            <w:vAlign w:val="bottom"/>
            <w:tcBorders>
              <w:right w:val="single" w:sz="8" w:color="auto"/>
            </w:tcBorders>
            <w:vMerge w:val="restart"/>
          </w:tcPr>
          <w:p>
            <w:pPr>
              <w:jc w:val="center"/>
              <w:ind w:right="43"/>
              <w:spacing w:after="0"/>
              <w:rPr>
                <w:sz w:val="20"/>
                <w:szCs w:val="20"/>
                <w:color w:val="auto"/>
              </w:rPr>
            </w:pPr>
            <w:r>
              <w:rPr>
                <w:rFonts w:ascii="Times New Roman" w:cs="Times New Roman" w:eastAsia="Times New Roman" w:hAnsi="Times New Roman"/>
                <w:sz w:val="15"/>
                <w:szCs w:val="15"/>
                <w:color w:val="auto"/>
                <w:w w:val="97"/>
              </w:rPr>
              <w:t>Trades</w:t>
            </w:r>
          </w:p>
        </w:tc>
        <w:tc>
          <w:tcPr>
            <w:tcW w:w="960" w:type="dxa"/>
            <w:vAlign w:val="bottom"/>
            <w:tcBorders>
              <w:right w:val="single" w:sz="8" w:color="auto"/>
            </w:tcBorders>
            <w:vMerge w:val="restart"/>
          </w:tcPr>
          <w:p>
            <w:pPr>
              <w:jc w:val="right"/>
              <w:ind w:right="283"/>
              <w:spacing w:after="0"/>
              <w:rPr>
                <w:sz w:val="20"/>
                <w:szCs w:val="20"/>
                <w:color w:val="auto"/>
              </w:rPr>
            </w:pPr>
            <w:r>
              <w:rPr>
                <w:rFonts w:ascii="Times New Roman" w:cs="Times New Roman" w:eastAsia="Times New Roman" w:hAnsi="Times New Roman"/>
                <w:sz w:val="15"/>
                <w:szCs w:val="15"/>
                <w:color w:val="auto"/>
              </w:rPr>
              <w:t>YoY</w:t>
            </w:r>
          </w:p>
        </w:tc>
        <w:tc>
          <w:tcPr>
            <w:tcW w:w="0" w:type="dxa"/>
            <w:vAlign w:val="bottom"/>
          </w:tcPr>
          <w:p>
            <w:pPr>
              <w:spacing w:after="0"/>
              <w:rPr>
                <w:sz w:val="1"/>
                <w:szCs w:val="1"/>
                <w:color w:val="auto"/>
              </w:rPr>
            </w:pPr>
          </w:p>
        </w:tc>
      </w:tr>
      <w:tr>
        <w:trPr>
          <w:trHeight w:val="62"/>
        </w:trPr>
        <w:tc>
          <w:tcPr>
            <w:tcW w:w="940" w:type="dxa"/>
            <w:vAlign w:val="bottom"/>
          </w:tcPr>
          <w:p>
            <w:pPr>
              <w:spacing w:after="0"/>
              <w:rPr>
                <w:sz w:val="5"/>
                <w:szCs w:val="5"/>
                <w:color w:val="auto"/>
              </w:rPr>
            </w:pPr>
          </w:p>
        </w:tc>
        <w:tc>
          <w:tcPr>
            <w:tcW w:w="220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960" w:type="dxa"/>
            <w:vAlign w:val="bottom"/>
            <w:tcBorders>
              <w:bottom w:val="single" w:sz="8" w:color="auto"/>
              <w:right w:val="single" w:sz="8" w:color="auto"/>
            </w:tcBorders>
            <w:vMerge w:val="continue"/>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960" w:type="dxa"/>
            <w:vAlign w:val="bottom"/>
            <w:tcBorders>
              <w:bottom w:val="single" w:sz="8" w:color="auto"/>
              <w:right w:val="single" w:sz="8" w:color="auto"/>
            </w:tcBorders>
            <w:vMerge w:val="continue"/>
          </w:tcPr>
          <w:p>
            <w:pPr>
              <w:spacing w:after="0"/>
              <w:rPr>
                <w:sz w:val="5"/>
                <w:szCs w:val="5"/>
                <w:color w:val="auto"/>
              </w:rPr>
            </w:pPr>
          </w:p>
        </w:tc>
        <w:tc>
          <w:tcPr>
            <w:tcW w:w="96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940" w:type="dxa"/>
            <w:vAlign w:val="bottom"/>
            <w:tcBorders>
              <w:right w:val="single" w:sz="8" w:color="auto"/>
            </w:tcBorders>
          </w:tcPr>
          <w:p>
            <w:pPr>
              <w:spacing w:after="0"/>
              <w:rPr>
                <w:sz w:val="19"/>
                <w:szCs w:val="19"/>
                <w:color w:val="auto"/>
              </w:rPr>
            </w:pPr>
          </w:p>
        </w:tc>
        <w:tc>
          <w:tcPr>
            <w:tcW w:w="22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5"/>
                <w:szCs w:val="15"/>
                <w:color w:val="auto"/>
              </w:rPr>
              <w:t>Total</w:t>
            </w:r>
          </w:p>
        </w:tc>
        <w:tc>
          <w:tcPr>
            <w:tcW w:w="12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815,048</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51,682</w:t>
            </w:r>
          </w:p>
        </w:tc>
        <w:tc>
          <w:tcPr>
            <w:tcW w:w="12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531,712</w:t>
            </w: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38,958</w:t>
            </w: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53.29%</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access historical traded volumes, go to https://www.tradeweb.com/newsroom/monthly-activity-reports/.</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478155</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806"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decimal"/>
      <w:start w:val="1"/>
    </w:lvl>
    <w:lvl w:ilvl="1">
      <w:lvlJc w:val="left"/>
      <w:lvlText w:val="%2."/>
      <w:numFmt w:val="lowerLetter"/>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decimal"/>
      <w:start w:val="1"/>
    </w:lvl>
    <w:lvl w:ilvl="1">
      <w:lvlJc w:val="left"/>
      <w:lvlText w:val="%2."/>
      <w:numFmt w:val="lowerLetter"/>
      <w:start w:val="1"/>
    </w:lvl>
  </w:abstractNum>
  <w:abstractNum w:abstractNumId="8">
    <w:nsid w:val="216231B"/>
    <w:multiLevelType w:val="hybridMultilevel"/>
    <w:lvl w:ilvl="0">
      <w:lvlJc w:val="left"/>
      <w:lvlText w:val="(%1)"/>
      <w:numFmt w:val="decimal"/>
      <w:start w:val="2"/>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2019-12-28T02:19:51Z</dcterms:created>
  <dcterms:modified xsi:type="dcterms:W3CDTF">2019-12-28T02:19:51Z</dcterms:modified>
</cp:coreProperties>
</file>