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Peterson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02/09/2024</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02/09/2024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24,890</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69,105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acquisition of performance-based restricted stock units ("RSUs") in respect of the issuer's Class A common stock ("Class A Common Stock") that were granted to the reporting person on March 15, 2023, subject to the achievement of certain performance goals in respect of calendar year 2023. The level of achievement of those performance goals was determined on February 9, 2024. These RSUs remain unvested and are scheduled to vest on January 1, 2026, subject to the reporting person's continued employment through such date.</w:t>
      </w:r>
    </w:p>
    <w:p>
      <w:pPr>
        <w:spacing w:after="0" w:line="20" w:lineRule="exact"/>
        <w:rPr>
          <w:rFonts w:ascii="Times New Roman" w:cs="Times New Roman" w:eastAsia="Times New Roman" w:hAnsi="Times New Roman"/>
          <w:sz w:val="13"/>
          <w:szCs w:val="13"/>
          <w:color w:val="008000"/>
        </w:rPr>
      </w:pPr>
    </w:p>
    <w:p>
      <w:pPr>
        <w:jc w:val="both"/>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3,371 RSUs in respect of Class A Common Stock which are scheduled to vest on March 15, 2024, (ii) 6,409 RSUs in respect of Class A Common Stock which are scheduled to vest in equal installments on March 15, 2024 and March 15, 2025, (iii) 12,419 unvested RSUs in respect of Class A Common Stock that are scheduled to vest on January 1, 2025, and (iv) 13,729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02/12/2024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9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790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2024-02-12T15:30:05Z</dcterms:created>
  <dcterms:modified xsi:type="dcterms:W3CDTF">2024-02-12T15:30:05Z</dcterms:modified>
</cp:coreProperties>
</file>