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12,419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49,894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RSUs in respect of Class A Common Stock which are scheduled to vest on March 17, 2023, (ii) 6,742 RSUs in respect of Class A Common Stock which are scheduled to vest in equal installments on each of March 15, 2023 and March 15, 2024, (iii) 14,832 RSUs in respect of Class A Common Stock which are scheduled to vest on January 1, 2024, (iv) 9,613 RSUs in respect of Class A Common Stock which are scheduled to vest in equal installments on the first, second and third anniversaries of March 15, 2022, and (v) 12,419 unvested RSUs in respect of Class A Common Stock that are scheduled to vest on January 1, 2025,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2023-02-28T20:29:17Z</dcterms:created>
  <dcterms:modified xsi:type="dcterms:W3CDTF">2023-02-28T20:29:17Z</dcterms:modified>
</cp:coreProperties>
</file>