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925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9258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64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Bruni Enrico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Managing Director, Europe/Asia</w:t>
      </w:r>
    </w:p>
    <w:p>
      <w:pPr>
        <w:spacing w:after="0" w:line="429" w:lineRule="exact"/>
        <w:rPr>
          <w:sz w:val="24"/>
          <w:szCs w:val="24"/>
          <w:color w:val="auto"/>
        </w:rPr>
      </w:pPr>
    </w:p>
    <w:p>
      <w:pPr>
        <w:sectPr>
          <w:pgSz w:w="11900" w:h="16838" w:orient="portrait"/>
          <w:cols w:equalWidth="0" w:num="3">
            <w:col w:w="3360" w:space="720"/>
            <w:col w:w="3257" w:space="720"/>
            <w:col w:w="3423"/>
          </w:cols>
          <w:pgMar w:left="240" w:top="226" w:right="179" w:bottom="648"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8"/>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160"/>
              <w:spacing w:after="0" w:line="181" w:lineRule="exact"/>
              <w:rPr>
                <w:sz w:val="20"/>
                <w:szCs w:val="20"/>
                <w:color w:val="auto"/>
              </w:rPr>
            </w:pPr>
            <w:r>
              <w:rPr>
                <w:rFonts w:ascii="Arial" w:cs="Arial" w:eastAsia="Arial" w:hAnsi="Arial"/>
                <w:sz w:val="18"/>
                <w:szCs w:val="18"/>
                <w:color w:val="0000FF"/>
              </w:rPr>
              <w:t>02/19/2020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gridSpan w:val="4"/>
          </w:tcPr>
          <w:p>
            <w:pPr>
              <w:ind w:left="360"/>
              <w:spacing w:after="0"/>
              <w:rPr>
                <w:sz w:val="20"/>
                <w:szCs w:val="20"/>
                <w:color w:val="auto"/>
              </w:rPr>
            </w:pPr>
            <w:r>
              <w:rPr>
                <w:rFonts w:ascii="Arial" w:cs="Arial" w:eastAsia="Arial" w:hAnsi="Arial"/>
                <w:sz w:val="14"/>
                <w:szCs w:val="14"/>
                <w:color w:val="auto"/>
              </w:rPr>
              <w:t>Line)</w:t>
            </w: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180" w:type="dxa"/>
            <w:vAlign w:val="bottom"/>
            <w:gridSpan w:val="7"/>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10036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7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02/14/2020</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w w:val="82"/>
              </w:rPr>
              <w:t>2,812</w:t>
            </w:r>
            <w:r>
              <w:rPr>
                <w:rFonts w:ascii="Arial" w:cs="Arial" w:eastAsia="Arial" w:hAnsi="Arial"/>
                <w:sz w:val="22"/>
                <w:szCs w:val="22"/>
                <w:color w:val="008000"/>
                <w:w w:val="82"/>
                <w:vertAlign w:val="superscript"/>
              </w:rPr>
              <w:t>(2)</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ind w:left="360"/>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82,271</w:t>
            </w:r>
            <w:r>
              <w:rPr>
                <w:rFonts w:ascii="Arial" w:cs="Arial" w:eastAsia="Arial" w:hAnsi="Arial"/>
                <w:sz w:val="22"/>
                <w:szCs w:val="22"/>
                <w:color w:val="008000"/>
                <w:vertAlign w:val="superscript"/>
              </w:rPr>
              <w:t>(3)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5"/>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voting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9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gridSpan w:val="2"/>
          </w:tcPr>
          <w:p>
            <w:pPr>
              <w:jc w:val="center"/>
              <w:ind w:right="31"/>
              <w:spacing w:after="0" w:line="149" w:lineRule="exact"/>
              <w:rPr>
                <w:sz w:val="20"/>
                <w:szCs w:val="20"/>
                <w:color w:val="auto"/>
              </w:rPr>
            </w:pPr>
            <w:r>
              <w:rPr>
                <w:rFonts w:ascii="Arial" w:cs="Arial" w:eastAsia="Arial" w:hAnsi="Arial"/>
                <w:sz w:val="14"/>
                <w:szCs w:val="14"/>
                <w:color w:val="0000FF"/>
                <w:w w:val="91"/>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2,812</w:t>
            </w:r>
          </w:p>
        </w:tc>
        <w:tc>
          <w:tcPr>
            <w:tcW w:w="60" w:type="dxa"/>
            <w:vAlign w:val="bottom"/>
          </w:tcPr>
          <w:p>
            <w:pPr>
              <w:spacing w:after="0"/>
              <w:rPr>
                <w:sz w:val="12"/>
                <w:szCs w:val="12"/>
                <w:color w:val="auto"/>
              </w:rPr>
            </w:pPr>
          </w:p>
        </w:tc>
        <w:tc>
          <w:tcPr>
            <w:tcW w:w="660" w:type="dxa"/>
            <w:vAlign w:val="bottom"/>
            <w:gridSpan w:val="2"/>
            <w:vMerge w:val="restart"/>
          </w:tcPr>
          <w:p>
            <w:pPr>
              <w:ind w:left="2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 of</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02/14/2020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tcPr>
          <w:p>
            <w:pPr>
              <w:ind w:left="520"/>
              <w:spacing w:after="0" w:line="149" w:lineRule="exact"/>
              <w:rPr>
                <w:sz w:val="20"/>
                <w:szCs w:val="20"/>
                <w:color w:val="auto"/>
              </w:rPr>
            </w:pPr>
            <w:r>
              <w:rPr>
                <w:rFonts w:ascii="Arial" w:cs="Arial" w:eastAsia="Arial" w:hAnsi="Arial"/>
                <w:sz w:val="14"/>
                <w:szCs w:val="14"/>
                <w:color w:val="0000FF"/>
              </w:rPr>
              <w:t>2,812</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4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960" w:type="dxa"/>
            <w:vAlign w:val="bottom"/>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Tradeweb</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51"/>
              <w:spacing w:after="0" w:line="149" w:lineRule="exact"/>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Markets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LLC</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(1)(6)</w:t>
            </w: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(5)</w:t>
            </w:r>
          </w:p>
        </w:tc>
        <w:tc>
          <w:tcPr>
            <w:tcW w:w="660" w:type="dxa"/>
            <w:vAlign w:val="bottom"/>
            <w:gridSpan w:val="2"/>
          </w:tcPr>
          <w:p>
            <w:pPr>
              <w:jc w:val="center"/>
              <w:ind w:right="31"/>
              <w:spacing w:after="0"/>
              <w:rPr>
                <w:sz w:val="20"/>
                <w:szCs w:val="20"/>
                <w:color w:val="auto"/>
              </w:rPr>
            </w:pPr>
            <w:r>
              <w:rPr>
                <w:rFonts w:ascii="Arial" w:cs="Arial" w:eastAsia="Arial" w:hAnsi="Arial"/>
                <w:sz w:val="14"/>
                <w:szCs w:val="14"/>
                <w:color w:val="0000FF"/>
                <w:w w:val="91"/>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2,812</w:t>
            </w:r>
          </w:p>
        </w:tc>
        <w:tc>
          <w:tcPr>
            <w:tcW w:w="60" w:type="dxa"/>
            <w:vAlign w:val="bottom"/>
          </w:tcPr>
          <w:p>
            <w:pPr>
              <w:spacing w:after="0"/>
              <w:rPr>
                <w:sz w:val="16"/>
                <w:szCs w:val="16"/>
                <w:color w:val="auto"/>
              </w:rPr>
            </w:pPr>
          </w:p>
        </w:tc>
        <w:tc>
          <w:tcPr>
            <w:tcW w:w="660" w:type="dxa"/>
            <w:vAlign w:val="bottom"/>
            <w:gridSpan w:val="2"/>
            <w:vMerge w:val="restart"/>
          </w:tcPr>
          <w:p>
            <w:pPr>
              <w:ind w:left="24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02/14/2020</w:t>
            </w:r>
          </w:p>
        </w:tc>
        <w:tc>
          <w:tcPr>
            <w:tcW w:w="1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tcPr>
          <w:p>
            <w:pPr>
              <w:ind w:left="520"/>
              <w:spacing w:after="0" w:line="149" w:lineRule="exact"/>
              <w:rPr>
                <w:sz w:val="20"/>
                <w:szCs w:val="20"/>
                <w:color w:val="auto"/>
              </w:rPr>
            </w:pPr>
            <w:r>
              <w:rPr>
                <w:rFonts w:ascii="Arial" w:cs="Arial" w:eastAsia="Arial" w:hAnsi="Arial"/>
                <w:sz w:val="14"/>
                <w:szCs w:val="14"/>
                <w:color w:val="0000FF"/>
              </w:rPr>
              <w:t>2,812</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4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960" w:type="dxa"/>
            <w:vAlign w:val="bottom"/>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51"/>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adopted by the reporting person on December 13, 2019.</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the issuer's Class A common stock ("Class A Common Stock") that were obtained in exchange for an equal number of non-voting common units of Tradeweb Markets LLC, a subsidiary of the issuer (the "LLC Units"). The LLC Units may be exchanged for an equal number of shares of Class A Common Stock, as described in footnote 4 to this Form 4.</w:t>
      </w: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amount includes 42,218 unvested restricted stock units ("RSUs") in respect of Class A Common Stock which are scheduled to vest on January 1, 2021, subject to the reporting person's continued employment through such date.</w:t>
      </w:r>
    </w:p>
    <w:p>
      <w:pPr>
        <w:spacing w:after="0" w:line="30" w:lineRule="exact"/>
        <w:rPr>
          <w:rFonts w:ascii="Arial" w:cs="Arial" w:eastAsia="Arial" w:hAnsi="Arial"/>
          <w:sz w:val="14"/>
          <w:szCs w:val="14"/>
          <w:color w:val="008000"/>
        </w:rPr>
      </w:pPr>
    </w:p>
    <w:p>
      <w:pPr>
        <w:ind w:left="40" w:right="1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of the issuer ("Class D Common Stock") (or shares of the issuer's Class C common stock ("Class C Common Stock"), in the event the reporting person exchanged their shares of Class D Common Stock as described in footnote 5 to this Form 4) will be canceled. These exchange rights do not expire.</w:t>
      </w:r>
    </w:p>
    <w:p>
      <w:pPr>
        <w:spacing w:after="0" w:line="3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D Common Stock have ten votes per share but no economic rights (including rights to dividends or, other than their par value, any distribution upon liquidation) and are issued in an equal amount to the number of LLC Units held. Shares of Class D Common Stock are exchangeable for shares of Class C Common Stock, which have one vote per share but no economic rights (other than their par value upon liquidation), on a one-for-one basis at the discretion of the holder. These exchange rights do not expire.</w:t>
      </w:r>
    </w:p>
    <w:p>
      <w:pPr>
        <w:spacing w:after="0" w:line="30"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cancellation for no consideration of a number of shares of Class D Common Stock in connection with the exchange by the reporting person of an equal number of LLC Units for Class A Common Stock.</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03/03/2020</w:t>
            </w:r>
          </w:p>
        </w:tc>
        <w:tc>
          <w:tcPr>
            <w:tcW w:w="0" w:type="dxa"/>
            <w:vAlign w:val="bottom"/>
          </w:tcPr>
          <w:p>
            <w:pPr>
              <w:spacing w:after="0"/>
              <w:rPr>
                <w:sz w:val="1"/>
                <w:szCs w:val="1"/>
                <w:color w:val="auto"/>
              </w:rPr>
            </w:pPr>
          </w:p>
        </w:tc>
      </w:tr>
      <w:tr>
        <w:trPr>
          <w:trHeight w:val="88"/>
        </w:trPr>
        <w:tc>
          <w:tcPr>
            <w:tcW w:w="152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Enrico Bruni</w:t>
            </w:r>
          </w:p>
        </w:tc>
        <w:tc>
          <w:tcPr>
            <w:tcW w:w="6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6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2020-03-03T17:36:15Z</dcterms:created>
  <dcterms:modified xsi:type="dcterms:W3CDTF">2020-03-03T17:36:15Z</dcterms:modified>
</cp:coreProperties>
</file>