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913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87.43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70,273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17"/>
              <w:spacing w:after="0" w:line="320" w:lineRule="exact"/>
              <w:rPr>
                <w:sz w:val="20"/>
                <w:szCs w:val="20"/>
                <w:color w:val="auto"/>
              </w:rPr>
            </w:pPr>
            <w:r>
              <w:rPr>
                <w:rFonts w:ascii="Arial" w:cs="Arial" w:eastAsia="Arial" w:hAnsi="Arial"/>
                <w:sz w:val="34"/>
                <w:szCs w:val="34"/>
                <w:color w:val="0000FF"/>
                <w:vertAlign w:val="subscript"/>
              </w:rPr>
              <w:t>3</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70,276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3,430 unvested RSUs in respect of the issuer's Class A Common Stock which are scheduled to vest on March 17, 2023, (ii) 20,580 unvested RSUs in respect of Class A Common Stock which are scheduled to vest on January 1, 2023, (iii) 3,883 unvested RSUs in respect of Class A Common Stock which are scheduled to vest in equal installments on each of March 15, 2023 and March 15, 2024, (iv) 11,650 unvested RSUs in respect of Class A Common Stock which are scheduled to vest on January 1, 2024, and (v) 5,612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2022-03-18T18:56:05Z</dcterms:created>
  <dcterms:modified xsi:type="dcterms:W3CDTF">2022-03-18T18:56:05Z</dcterms:modified>
</cp:coreProperties>
</file>