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Bruni Enrico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04/09/2020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Managing Director, Europe/Asia</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04/09/2020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13,707</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50.4983</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108,594</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50" w:lineRule="exact"/>
        <w:rPr>
          <w:rFonts w:ascii="Arial" w:cs="Arial" w:eastAsia="Arial" w:hAnsi="Arial"/>
          <w:sz w:val="13"/>
          <w:szCs w:val="13"/>
          <w:color w:val="008000"/>
        </w:rPr>
      </w:pPr>
    </w:p>
    <w:p>
      <w:pPr>
        <w:ind w:left="40" w:right="4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$50.00 to $50.925,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42,218 unvested restricted stock units ("RSUs") in respect of the issuer's Class A common stock ("Class A Common Stock") which are scheduled to vest on January 1, 2021, (ii) 44,004 unvested RSUs in respect of Class A Common Stock which are scheduled to vest on January 1, 2022, and (iii) 16,079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04/13/2020</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Fact for Enrico Bruni</w:t>
            </w:r>
          </w:p>
        </w:tc>
        <w:tc>
          <w:tcPr>
            <w:tcW w:w="6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0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2020-04-13T16:35:43Z</dcterms:created>
  <dcterms:modified xsi:type="dcterms:W3CDTF">2020-04-13T16:35:43Z</dcterms:modified>
</cp:coreProperties>
</file>