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1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60" w:type="dxa"/>
            <w:vAlign w:val="bottom"/>
          </w:tcPr>
          <w:p>
            <w:pPr>
              <w:jc w:val="center"/>
              <w:ind w:right="2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19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19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1"/>
        </w:trPr>
        <w:tc>
          <w:tcPr>
            <w:tcW w:w="636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5354320</wp:posOffset>
            </wp:positionH>
            <wp:positionV relativeFrom="paragraph">
              <wp:posOffset>-607695</wp:posOffset>
            </wp:positionV>
            <wp:extent cx="8255"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4039235</wp:posOffset>
            </wp:positionH>
            <wp:positionV relativeFrom="paragraph">
              <wp:posOffset>-615315</wp:posOffset>
            </wp:positionV>
            <wp:extent cx="8255" cy="615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-591185</wp:posOffset>
            </wp:positionV>
            <wp:extent cx="1273810" cy="567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3810"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-1571625</wp:posOffset>
            </wp:positionH>
            <wp:positionV relativeFrom="paragraph">
              <wp:posOffset>36830</wp:posOffset>
            </wp:positionV>
            <wp:extent cx="6967855" cy="175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060" w:space="420"/>
            <w:col w:w="86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WARSHAW ROBERT J</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98"/>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09/15/2020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81,115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09/15/2020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54.3599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65,115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16,000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09/15/2020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16,000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50,270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13, 2019.</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24,628 unvested restricted stock units ("RSUs") in respect of the issuer's Class A common stock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employed through the applicable vesting date.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$54.06 to $54.62,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09/16/2020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887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2020-09-16T19:09:29Z</dcterms:created>
  <dcterms:modified xsi:type="dcterms:W3CDTF">2020-09-16T19:09:29Z</dcterms:modified>
</cp:coreProperties>
</file>