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Maisey Simon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66.84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66,675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15, 2021.</w:t>
      </w:r>
    </w:p>
    <w:p>
      <w:pPr>
        <w:spacing w:after="0" w:line="50"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3,430 unvested restricted stock units ("RSUs") in respect of the issuer's Class A common stock ("Class A Common Stock") which are scheduled to vest on March 17, 2023, (ii) 20,580 unvested RSUs in respect of Class A Common Stock which are scheduled to vest on January 1, 2023, (iii) 3,883 unvested RSUs in respect of Class A Common Stock which are scheduled to vest in equal installments on each of March 15, 2023 and March 15, 2024, (iv) 11,650 unvested RSUs in respect of Class A Common Stock which are scheduled to vest on January 1, 2024, and (v) 5,612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2022-05-16T20:14:08Z</dcterms:created>
  <dcterms:modified xsi:type="dcterms:W3CDTF">2022-05-16T20:14:08Z</dcterms:modified>
</cp:coreProperties>
</file>