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5,090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68,106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spacing w:after="0" w:line="7"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33,004 unvested RSUs in respect of Class A Common Stock which are scheduled to vest on January 1, 2022, (ii) 6,003 unvested RSUs in respect of Class A Common Stock which are scheduled to vest in equal installments on each of March 17, 2022, and March 17, 2023, and (iii) 5,090 unvested RSUs in respect of Class A Common Stock which are scheduled to vest as described in footnote 1 to this Form 4, in each case subject to the reporting person's continued employment through the applicable vesting date. In addition, this amount includes 3,001 RSUs which are fully vested as of the date hereof and will be settled in shares of Class A Common Stock on March 18, 2021.</w:t>
      </w:r>
    </w:p>
    <w:p>
      <w:pPr>
        <w:spacing w:after="0" w:line="2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2021-03-17T20:21:04Z</dcterms:created>
  <dcterms:modified xsi:type="dcterms:W3CDTF">2021-03-17T20:21:04Z</dcterms:modified>
</cp:coreProperties>
</file>