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Tradeweb Markets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892672106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Timothy Knowland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General Counsel, Corporate Transactions, Corporate Functions and Anti-trust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London Stock Exchange Group plc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 Paternoster Square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London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EC4M 7LS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+44 (0) 20 7797 1000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Levitt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Freshfields Bruckhaus Deringer US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Lexington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(212) 277-4000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29,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400"/>
        <w:spacing w:after="0" w:line="231"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right="200" w:hanging="332"/>
        <w:spacing w:after="0" w:line="26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5"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832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832225"/>
                    </a:xfrm>
                    <a:prstGeom prst="rect">
                      <a:avLst/>
                    </a:prstGeom>
                    <a:noFill/>
                  </pic:spPr>
                </pic:pic>
              </a:graphicData>
            </a:graphic>
          </wp:anchor>
        </w:drawing>
      </w:r>
    </w:p>
    <w:p>
      <w:pPr>
        <w:spacing w:after="0" w:line="3" w:lineRule="exact"/>
        <w:rPr>
          <w:sz w:val="20"/>
          <w:szCs w:val="20"/>
          <w:color w:val="auto"/>
        </w:rPr>
      </w:pPr>
    </w:p>
    <w:p>
      <w:pPr>
        <w:ind w:left="360" w:right="8100" w:hanging="221"/>
        <w:spacing w:after="0" w:line="258"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Refinitiv US PME LLC</w:t>
      </w:r>
    </w:p>
    <w:p>
      <w:pPr>
        <w:ind w:left="360" w:hanging="22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  SEC USE ONLY</w:t>
      </w:r>
    </w:p>
    <w:p>
      <w:pPr>
        <w:spacing w:after="0" w:line="7" w:lineRule="exact"/>
        <w:rPr>
          <w:sz w:val="20"/>
          <w:szCs w:val="20"/>
          <w:color w:val="auto"/>
        </w:rPr>
      </w:pPr>
    </w:p>
    <w:p>
      <w:pPr>
        <w:ind w:left="360" w:right="7440" w:hanging="221"/>
        <w:spacing w:after="0" w:line="258"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360" w:hanging="221"/>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3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360" w:right="7220" w:hanging="221"/>
        <w:spacing w:after="0" w:line="25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60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4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79"/>
              </w:rPr>
              <w:t>7</w:t>
            </w:r>
          </w:p>
        </w:tc>
        <w:tc>
          <w:tcPr>
            <w:tcW w:w="918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9</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360" w:right="4320" w:hanging="263"/>
        <w:spacing w:after="0" w:line="250"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22,988,329</w:t>
      </w:r>
    </w:p>
    <w:p>
      <w:pPr>
        <w:ind w:left="360" w:hanging="267"/>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3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360" w:right="5740" w:hanging="267"/>
        <w:spacing w:after="0" w:line="249"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20.1%</w:t>
      </w:r>
    </w:p>
    <w:p>
      <w:pPr>
        <w:ind w:left="360" w:right="6540" w:hanging="267"/>
        <w:spacing w:after="0" w:line="276"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83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spacing w:after="0" w:line="3" w:lineRule="exact"/>
        <w:rPr>
          <w:sz w:val="20"/>
          <w:szCs w:val="20"/>
          <w:color w:val="auto"/>
        </w:rPr>
      </w:pPr>
    </w:p>
    <w:p>
      <w:pPr>
        <w:ind w:left="360" w:right="8100" w:hanging="221"/>
        <w:spacing w:after="0" w:line="258"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Refinitiv US LLC</w:t>
      </w:r>
    </w:p>
    <w:p>
      <w:pPr>
        <w:ind w:left="360" w:hanging="221"/>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  SEC USE ONLY</w:t>
      </w:r>
    </w:p>
    <w:p>
      <w:pPr>
        <w:spacing w:after="0" w:line="7" w:lineRule="exact"/>
        <w:rPr>
          <w:sz w:val="20"/>
          <w:szCs w:val="20"/>
          <w:color w:val="auto"/>
        </w:rPr>
      </w:pPr>
    </w:p>
    <w:p>
      <w:pPr>
        <w:ind w:left="360" w:right="7440" w:hanging="221"/>
        <w:spacing w:after="0" w:line="258"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360" w:hanging="221"/>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3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360" w:right="7220" w:hanging="221"/>
        <w:spacing w:after="0" w:line="258"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60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4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79"/>
              </w:rPr>
              <w:t>7</w:t>
            </w:r>
          </w:p>
        </w:tc>
        <w:tc>
          <w:tcPr>
            <w:tcW w:w="918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9</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360" w:right="4320" w:hanging="263"/>
        <w:spacing w:after="0" w:line="250"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22,988,329</w:t>
      </w:r>
    </w:p>
    <w:p>
      <w:pPr>
        <w:ind w:left="360" w:hanging="267"/>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3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360" w:right="5740" w:hanging="267"/>
        <w:spacing w:after="0" w:line="249"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20.1%</w:t>
      </w:r>
    </w:p>
    <w:p>
      <w:pPr>
        <w:ind w:left="360" w:right="6540" w:hanging="267"/>
        <w:spacing w:after="0" w:line="276"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832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832225"/>
                    </a:xfrm>
                    <a:prstGeom prst="rect">
                      <a:avLst/>
                    </a:prstGeom>
                    <a:noFill/>
                  </pic:spPr>
                </pic:pic>
              </a:graphicData>
            </a:graphic>
          </wp:anchor>
        </w:drawing>
      </w:r>
    </w:p>
    <w:p>
      <w:pPr>
        <w:spacing w:after="0" w:line="3" w:lineRule="exact"/>
        <w:rPr>
          <w:sz w:val="20"/>
          <w:szCs w:val="20"/>
          <w:color w:val="auto"/>
        </w:rPr>
      </w:pPr>
    </w:p>
    <w:p>
      <w:pPr>
        <w:ind w:left="360" w:right="8100" w:hanging="221"/>
        <w:spacing w:after="0" w:line="258"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 LSEGA, Inc.</w:t>
      </w:r>
    </w:p>
    <w:p>
      <w:pPr>
        <w:ind w:left="360" w:hanging="221"/>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  SEC USE ONLY</w:t>
      </w:r>
    </w:p>
    <w:p>
      <w:pPr>
        <w:spacing w:after="0" w:line="7" w:lineRule="exact"/>
        <w:rPr>
          <w:sz w:val="20"/>
          <w:szCs w:val="20"/>
          <w:color w:val="auto"/>
        </w:rPr>
      </w:pPr>
    </w:p>
    <w:p>
      <w:pPr>
        <w:ind w:left="360" w:right="7440" w:hanging="221"/>
        <w:spacing w:after="0" w:line="258"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360" w:hanging="221"/>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3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360" w:right="7220" w:hanging="221"/>
        <w:spacing w:after="0" w:line="258"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60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4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79"/>
              </w:rPr>
              <w:t>7</w:t>
            </w:r>
          </w:p>
        </w:tc>
        <w:tc>
          <w:tcPr>
            <w:tcW w:w="918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9</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360" w:right="4320" w:hanging="263"/>
        <w:spacing w:after="0" w:line="250"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22,988,329</w:t>
      </w:r>
    </w:p>
    <w:p>
      <w:pPr>
        <w:ind w:left="360" w:hanging="267"/>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3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360" w:right="5740" w:hanging="267"/>
        <w:spacing w:after="0" w:line="249"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20.1%</w:t>
      </w:r>
    </w:p>
    <w:p>
      <w:pPr>
        <w:ind w:left="360" w:right="6540" w:hanging="267"/>
        <w:spacing w:after="0" w:line="276"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83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spacing w:after="0" w:line="3" w:lineRule="exact"/>
        <w:rPr>
          <w:sz w:val="20"/>
          <w:szCs w:val="20"/>
          <w:color w:val="auto"/>
        </w:rPr>
      </w:pPr>
    </w:p>
    <w:p>
      <w:pPr>
        <w:ind w:left="360" w:right="8100" w:hanging="221"/>
        <w:spacing w:after="0" w:line="290" w:lineRule="auto"/>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NAMES OF REPORTING PERSONS Refinitiv TW Holdings Ltd.</w:t>
      </w:r>
    </w:p>
    <w:p>
      <w:pPr>
        <w:spacing w:after="0" w:line="1" w:lineRule="exact"/>
        <w:rPr>
          <w:sz w:val="20"/>
          <w:szCs w:val="20"/>
          <w:color w:val="auto"/>
        </w:rPr>
      </w:pPr>
    </w:p>
    <w:p>
      <w:pPr>
        <w:ind w:left="360" w:hanging="221"/>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  SEC USE ONLY</w:t>
      </w:r>
    </w:p>
    <w:p>
      <w:pPr>
        <w:spacing w:after="0" w:line="7" w:lineRule="exact"/>
        <w:rPr>
          <w:sz w:val="20"/>
          <w:szCs w:val="20"/>
          <w:color w:val="auto"/>
        </w:rPr>
      </w:pPr>
    </w:p>
    <w:p>
      <w:pPr>
        <w:ind w:left="360" w:right="7440" w:hanging="221"/>
        <w:spacing w:after="0" w:line="258"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360" w:hanging="221"/>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3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360" w:right="7220" w:hanging="221"/>
        <w:spacing w:after="0" w:line="258"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180"/>
        </w:trPr>
        <w:tc>
          <w:tcPr>
            <w:tcW w:w="160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4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79"/>
              </w:rPr>
              <w:t>7</w:t>
            </w:r>
          </w:p>
        </w:tc>
        <w:tc>
          <w:tcPr>
            <w:tcW w:w="918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96,933,192</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9</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96,933,192</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360" w:right="4320" w:hanging="263"/>
        <w:spacing w:after="0" w:line="250" w:lineRule="auto"/>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96,933,192</w:t>
      </w:r>
    </w:p>
    <w:p>
      <w:pPr>
        <w:ind w:left="360" w:hanging="267"/>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3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360" w:right="5740" w:hanging="267"/>
        <w:spacing w:after="0" w:line="249" w:lineRule="auto"/>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51.5%</w:t>
      </w:r>
    </w:p>
    <w:p>
      <w:pPr>
        <w:ind w:left="360" w:right="6540" w:hanging="267"/>
        <w:spacing w:after="0" w:line="276" w:lineRule="auto"/>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83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spacing w:after="0" w:line="3" w:lineRule="exact"/>
        <w:rPr>
          <w:sz w:val="20"/>
          <w:szCs w:val="20"/>
          <w:color w:val="auto"/>
        </w:rPr>
      </w:pPr>
    </w:p>
    <w:p>
      <w:pPr>
        <w:ind w:left="360" w:right="8100" w:hanging="221"/>
        <w:spacing w:after="0" w:line="273" w:lineRule="auto"/>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NAMES OF REPORTING PERSONS Refinitiv Parent Limited</w:t>
      </w:r>
    </w:p>
    <w:p>
      <w:pPr>
        <w:spacing w:after="0" w:line="1" w:lineRule="exact"/>
        <w:rPr>
          <w:sz w:val="20"/>
          <w:szCs w:val="20"/>
          <w:color w:val="auto"/>
        </w:rPr>
      </w:pPr>
    </w:p>
    <w:p>
      <w:pPr>
        <w:ind w:left="360" w:hanging="221"/>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  SEC USE ONLY</w:t>
      </w:r>
    </w:p>
    <w:p>
      <w:pPr>
        <w:spacing w:after="0" w:line="7" w:lineRule="exact"/>
        <w:rPr>
          <w:sz w:val="20"/>
          <w:szCs w:val="20"/>
          <w:color w:val="auto"/>
        </w:rPr>
      </w:pPr>
    </w:p>
    <w:p>
      <w:pPr>
        <w:ind w:left="360" w:right="7440" w:hanging="221"/>
        <w:spacing w:after="0" w:line="258"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360" w:hanging="221"/>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3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360" w:right="7220" w:hanging="221"/>
        <w:spacing w:after="0" w:line="258"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180"/>
        </w:trPr>
        <w:tc>
          <w:tcPr>
            <w:tcW w:w="160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4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79"/>
              </w:rPr>
              <w:t>7</w:t>
            </w:r>
          </w:p>
        </w:tc>
        <w:tc>
          <w:tcPr>
            <w:tcW w:w="918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119,921,521</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9</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119,921,521</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360" w:right="4320" w:hanging="263"/>
        <w:spacing w:after="0" w:line="250"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119,921,521</w:t>
      </w:r>
    </w:p>
    <w:p>
      <w:pPr>
        <w:ind w:left="360" w:hanging="267"/>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3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360" w:right="5740" w:hanging="267"/>
        <w:spacing w:after="0" w:line="249"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56.8%</w:t>
      </w:r>
    </w:p>
    <w:p>
      <w:pPr>
        <w:ind w:left="360" w:right="6540" w:hanging="267"/>
        <w:spacing w:after="0" w:line="276"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83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spacing w:after="0" w:line="3" w:lineRule="exact"/>
        <w:rPr>
          <w:sz w:val="20"/>
          <w:szCs w:val="20"/>
          <w:color w:val="auto"/>
        </w:rPr>
      </w:pPr>
    </w:p>
    <w:p>
      <w:pPr>
        <w:ind w:left="360" w:right="8100" w:hanging="221"/>
        <w:spacing w:after="0" w:line="290" w:lineRule="auto"/>
        <w:tabs>
          <w:tab w:leader="none" w:pos="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NAMES OF REPORTING PERSONS London Stock Exchange Group plc</w:t>
      </w:r>
    </w:p>
    <w:p>
      <w:pPr>
        <w:spacing w:after="0" w:line="1" w:lineRule="exact"/>
        <w:rPr>
          <w:sz w:val="20"/>
          <w:szCs w:val="20"/>
          <w:color w:val="auto"/>
        </w:rPr>
      </w:pPr>
    </w:p>
    <w:p>
      <w:pPr>
        <w:ind w:left="360" w:hanging="221"/>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  SEC USE ONLY</w:t>
      </w:r>
    </w:p>
    <w:p>
      <w:pPr>
        <w:spacing w:after="0" w:line="7" w:lineRule="exact"/>
        <w:rPr>
          <w:sz w:val="20"/>
          <w:szCs w:val="20"/>
          <w:color w:val="auto"/>
        </w:rPr>
      </w:pPr>
    </w:p>
    <w:p>
      <w:pPr>
        <w:ind w:left="360" w:right="7440" w:hanging="221"/>
        <w:spacing w:after="0" w:line="258"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360" w:hanging="221"/>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3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360" w:right="7220" w:hanging="221"/>
        <w:spacing w:after="0" w:line="258" w:lineRule="auto"/>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 OR PLACE OF ORGANIZATION England and Wales</w:t>
      </w:r>
    </w:p>
    <w:tbl>
      <w:tblPr>
        <w:tblLayout w:type="fixed"/>
        <w:tblInd w:w="0" w:type="dxa"/>
        <w:tblCellMar>
          <w:top w:w="0" w:type="dxa"/>
          <w:left w:w="0" w:type="dxa"/>
          <w:bottom w:w="0" w:type="dxa"/>
          <w:right w:w="0" w:type="dxa"/>
        </w:tblCellMar>
      </w:tblPr>
      <w:tr>
        <w:trPr>
          <w:trHeight w:val="180"/>
        </w:trPr>
        <w:tc>
          <w:tcPr>
            <w:tcW w:w="160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4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79"/>
              </w:rPr>
              <w:t>7</w:t>
            </w:r>
          </w:p>
        </w:tc>
        <w:tc>
          <w:tcPr>
            <w:tcW w:w="918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119,921,521</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9</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119,921,521</w:t>
            </w:r>
          </w:p>
        </w:tc>
      </w:tr>
      <w:tr>
        <w:trPr>
          <w:trHeight w:val="195"/>
        </w:trPr>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918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360" w:right="4320" w:hanging="263"/>
        <w:spacing w:after="0" w:line="250"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119,921,521</w:t>
      </w:r>
    </w:p>
    <w:p>
      <w:pPr>
        <w:ind w:left="360" w:hanging="267"/>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3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360" w:right="5740" w:hanging="267"/>
        <w:spacing w:after="0" w:line="249"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56.8%</w:t>
      </w:r>
    </w:p>
    <w:p>
      <w:pPr>
        <w:ind w:left="360" w:right="6540" w:hanging="267"/>
        <w:spacing w:after="0" w:line="276"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 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Schedule 13D relates to the Class A Common Stock, par value $0.00001 per share (the “Class A Common Stock”) of Tradeweb Markets Inc., a Delaware corporation (the “Issuer”). The address of the principal executive office of the Issuer is 1177 Avenue of the Americas, New York, New York 10036.</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(a)-(b) Each of the following is hereinafter individually referred to as a “Reporting Person” and collectively as the “Reporting Persons”. This statement is filed on behalf of: (i) Refinitiv US PME LLC, a Delaware limited liability company, (ii) Refinitiv US LLC, a Delaware limited liability company, (iii) LSEGA, Inc. a Delaware corporation, (iv) Refinitiv TW Holdings Ltd., a Cayman Islands exempted company, (v) Refinitiv Parent Limited, a Cayman Islands exempted company, and (vi) London Stock Exchange Group plc, a public limited company organized in England and Wales.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address of the principal business office of Refinitiv US PME LLC is c/o Refinitiv, 3 Times Square, New York, NY 10036. The address of the principal business office of Refinitiv US LLC is c/o Refinitiv, 3 Times Square, New York, NY 10036. The address of the principal business office of LSEGA, Inc. is</w:t>
      </w:r>
    </w:p>
    <w:p>
      <w:pPr>
        <w:jc w:val="both"/>
        <w:spacing w:after="0" w:line="231" w:lineRule="auto"/>
        <w:rPr>
          <w:sz w:val="20"/>
          <w:szCs w:val="20"/>
          <w:color w:val="auto"/>
        </w:rPr>
      </w:pPr>
      <w:r>
        <w:rPr>
          <w:rFonts w:ascii="Arial" w:cs="Arial" w:eastAsia="Arial" w:hAnsi="Arial"/>
          <w:sz w:val="17"/>
          <w:szCs w:val="17"/>
          <w:color w:val="auto"/>
        </w:rPr>
        <w:t>28 Liberty Street, 58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10005. The address of the principal business office of Refinitiv TW Holdings Ltd. is Five Canada Square, Canary Wharf, London E14 5AQ. The address of the principal business office of Refinitiv Parent Limited is Five Canada Square, Canary Wharf, London E14 5AQ. The address of the principal business office of London Stock Exchange Group plc is 10 Paternoster Square London EC4M 7LS.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regarding the directors and executive officers of each Reporting Person is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w:t>
      </w:r>
    </w:p>
    <w:p>
      <w:pPr>
        <w:spacing w:after="0" w:line="225" w:lineRule="exact"/>
        <w:rPr>
          <w:sz w:val="20"/>
          <w:szCs w:val="20"/>
          <w:color w:val="auto"/>
        </w:rPr>
      </w:pPr>
    </w:p>
    <w:p>
      <w:pPr>
        <w:jc w:val="both"/>
        <w:ind w:firstLine="8"/>
        <w:spacing w:after="0" w:line="259" w:lineRule="auto"/>
        <w:tabs>
          <w:tab w:leader="none" w:pos="2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principal business of Refinitiv US PME LLC is to serve as a holding company. The principal business of Refinitiv US LLC is to serve as the US operating company of Refinitiv. The principal business of LSEGA, Inc. is to serve as a holding company. The principal business of Refinitiv TW Holdings Ltd. is to serve as a holding company. The principal business of Refinitiv Parent Limited is to serve as a holding company. The principal business of London Stock Exchange Group plc is to operate a global financial markets infrastructure business.</w:t>
      </w:r>
    </w:p>
    <w:p>
      <w:pPr>
        <w:spacing w:after="0" w:line="186" w:lineRule="exact"/>
        <w:rPr>
          <w:rFonts w:ascii="Arial" w:cs="Arial" w:eastAsia="Arial" w:hAnsi="Arial"/>
          <w:sz w:val="18"/>
          <w:szCs w:val="18"/>
          <w:color w:val="auto"/>
        </w:rPr>
      </w:pPr>
    </w:p>
    <w:p>
      <w:pPr>
        <w:ind w:right="20" w:firstLine="8"/>
        <w:spacing w:after="0" w:line="308" w:lineRule="auto"/>
        <w:tabs>
          <w:tab w:leader="none" w:pos="576"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During the last five years, none of the Reporting Persons or, to the best knowledge of the Reporting Persons, any of the other persons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hereto, has been convicted in a criminal proceeding (excluding traffic violations or similar misdemeanors).</w:t>
      </w:r>
    </w:p>
    <w:p>
      <w:pPr>
        <w:spacing w:after="0" w:line="146" w:lineRule="exact"/>
        <w:rPr>
          <w:rFonts w:ascii="Arial" w:cs="Arial" w:eastAsia="Arial" w:hAnsi="Arial"/>
          <w:sz w:val="17"/>
          <w:szCs w:val="17"/>
          <w:color w:val="auto"/>
        </w:rPr>
      </w:pPr>
    </w:p>
    <w:p>
      <w:pPr>
        <w:jc w:val="both"/>
        <w:ind w:firstLine="8"/>
        <w:spacing w:after="0" w:line="259" w:lineRule="auto"/>
        <w:tabs>
          <w:tab w:leader="none" w:pos="5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During the last five years, none of the Reporting Persons or, to the best knowledge of the Reporting Persons, any of the other persons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6"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 Item 2(a)-(b) above for citizenship or place of organization, as applicable, of each of the Reporting Persons.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6 of this Schedule 13D is incorporated herein by reference.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terms of a stock purchase agreement (the “Stock Purchase Agreement”) entered into by, among others, London Stock Exchange Group plc (“LSEG”) and Refinitiv Holdings Limited (“Refinitiv Holdings”) originally entered into on August 1, 2019, amended on August 23, 2019, and amended and restated on November 4, 2019, LSEG (directly and through certain wholly owned subsidiaries) acquired the entire issued and to be issued share capital of Refinitiv Parent Limited (“Refinitiv Parent”) from the Refinitiv Sellers (consisting of certain subsidiaries of Refinitiv Holdings) and, in exchange, LSEG will issue 204,225,968 consideration shares (the “Consideration Shares”), such Consideration Shares comprised of: (i) LSEG ordinary shares; and (ii) LSEG limited-voting ordinary shares. As a result of its acquisition of the share capital of Refinitiv Parent, LSEG acquired 96,933,192 shares of Class B Common Stock, par value $0.00001 per share (the “Class B Common Stock”) of the Issuer, 22,988,329 LLC Interests (as defined below) and 22,988,329 shares of Class D Common Stock, par value $0.00001 per share (the “Class D Common Stock”) of the Issuer. The transaction closed on January 29, 2021 (the “Closing”).</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total number of Consideration Shares expected to be issued, 179,610,123 LSEG shares were issued to the Refinitiv Sellers at Closing. In addition, 24,615,845 LSEG ordinary shares will be issued one month after Closing to ConsortiumCo, a company owned by affiliates of Blackstone (the “Deferred Issue Shares”). The issue of the Deferred Issue Shares to ConsortiumCo is in connection with the settlement of certain existing payment-in-kind shares in Refinitiv Holdings’ capital structure.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Reporting Persons acquired the securities reported herein for corporate and strategic investment purposes as an operator of financial markets infrastructure and a data provider, subject to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6 of this Schedule 13D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8" w:name="page9"/>
    <w:bookmarkEnd w:id="8"/>
    <w:p>
      <w:pPr>
        <w:jc w:val="both"/>
        <w:spacing w:after="0" w:line="268" w:lineRule="auto"/>
        <w:rPr>
          <w:sz w:val="20"/>
          <w:szCs w:val="20"/>
          <w:color w:val="auto"/>
        </w:rPr>
      </w:pPr>
      <w:r>
        <w:rPr>
          <w:rFonts w:ascii="Arial" w:cs="Arial" w:eastAsia="Arial" w:hAnsi="Arial"/>
          <w:sz w:val="17"/>
          <w:szCs w:val="17"/>
          <w:color w:val="auto"/>
        </w:rPr>
        <w:t>The Reporting Persons intend to review their investment in the Issuer on an ongoing basis and, in the course of their review, may take actions (including through their affiliates) with respect to their investment or the Issuer, including communicating with the board of directors of the Issuer (the “Board”), members of management or other security-holders of the Issuer, or other third parties from time to time, taking steps to implement a course of action, including, without limitation, engaging advisors, including legal, financial, regulatory, technical and/or industry advisors, to assist in any review, and evaluating strategic alternatives as they may become available. Such discussions and other actions may relate to, subject to the terms and conditions of the documents described herein to which the Reporting Persons are a party,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any of its subsidiaries, a sale or transfer of a material amount of assets of the Issuer or any of its subsidiaries; material asset purchases; the formation of joint ventures with the Issuer or any of its subsidiaries or the entry into other material projects; material changes in the present business, operations, strategy, future plans or prospects of the Issuer, financial or governance matters; changes to the Board (including board composition) or management of the Issuer; acting as a participant in debt financings of the Issuer or any of its subsidiaries, changes to the capitalization, ownership structure, dividend policy, business or corporate structure or governance documents of the Issuer; de-listing or de-registration of the Issuer’s securities, or any action similar to those enumerated above.</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Such discussions and actions may be preliminary and exploratory in nature, and not rise to the level of a plan or proposal. Subject to the terms and conditions of the documents described herein to which the Reporting Persons are a party, the Reporting Persons or their affiliates may seek to acquire securities of the Issuer, including Class A Common Stock and/or other equity, debt, notes or other financial instruments related to the Issuer or the Class A Common Stock (which may include rights or securities exercisable or convertible into securities of the Issuer), and/or sell or otherwise dispose of some or all of such Issuer securities or financial instruments from time to time, in each case, in open market or private transactions, registered offerings, block sales or otherwise. Any transaction that any of the Reporting Persons or their affiliates may pursue, subject to the terms and conditions of the documents described herein to which the Reporting Persons are a party, may be made at any time and from time to time without prior notice and will depend on a variety of factors, including, without limitation, the price and availability of the Issuer’s securities or other financial instruments, the Reporting Persons’ or such affiliates’ trading and investment strategies, subsequent developments affecting the Issuer, the Issuer’s business and the Issuer’s prospects, other investment and business opportunities available to such Reporting Persons and their affiliates, general industry and economic conditions, the securities markets in general, tax considerations and other factors deemed relevant by such Reporting Persons and such affiliates.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Stockholders Agreement (as defined below) requires the Issuer to nominate a number of individuals designated by Refinitiv US PME LLC and Refinitiv Parent Limited (the “Refinitiv Owners”) for election as directors of the Issuer at any meeting of the Issuer’s stockholders (each a “Refinitiv Director”) such that, upon the election of each such individual, and each other individual nominated by or at the direction of the Issuer’s Board or a duly-authorized committee of the Board, as a director of the Issuer, the number of Refinitiv Directors serving as directors of the Issuer will be equal to, if the Refinitiv Owners and their affiliates together continue to hold at least 50% of the combined voting power of the Issuer’s outstanding common stock as of the record date for such meeting, the total number of directors comprising the entire Board. In addition, in the case of a vacancy on the Issuer’s Board created by the removal, resignation or otherwise of a Refinitiv Director, the Stockholders Agreement, to the extent the Refinitiv Owners continue to be entitled to nominate such Refinitiv Director, requires the Issuer to nominate an individual designated by the Refinitiv Owners for election to fill the vacancy. As of the date of this filing, LSEG has not taken any action to modify the composition of the Issuer’s Board, including with respect to the Refinitiv and Blackstone affiliated directors currently serving on the Issuer’s Board, who are Martin Brand, John G. Finley, Debra Walton and Brian West, although it may do so in the future. Any future nominees to the Issuer’s Board may have influence over the corporate activities of the Issuer, including activities which may relate to items described in subparagraphs (a) through (j) of Item 4 of Schedule 13D.</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Except as described in this Schedule 13D, as at the date of this filing, the Reporting Persons do not have any approved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the Issuer with respect to the business and affairs of the Issuer and may from time to time consider pursuing or proposing such matters with advisors, the Issuer or other persons.</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jc w:val="both"/>
        <w:ind w:firstLine="8"/>
        <w:spacing w:after="0" w:line="296" w:lineRule="auto"/>
        <w:tabs>
          <w:tab w:leader="none" w:pos="256"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and (b) Calculations of the percentage of shares of Class A Common Stock beneficially owned assume 91,225,923 shares of Class A Common Stock outstanding as of October 21, 2020, as reported in the Issuer’s Quarterly Report on Form 10-Q filed with the Securities and Exchange Commission on October 29, 2020, and also takes into account the shares of Class A Common Stock underlying any shares of Class B Common Stock or non-voting common units (the “LLC Interests”) of Tradeweb Markets LLC, a subsidiary of the Issuer (“TWM LLC”), held by Reporting Persons, as applicable. Each of the Reporting Persons may be deemed to be the beneficial owner of the shares of Class A Common Stock listed on such Reporting Person’s cover page.</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Refinitiv TW Holdings Ltd. directly holds 96,933,192 shares of Class B Common Stock and Refinitiv US PME LLC (and, together with Refinitiv TW Holdings Ltd., the “Direct Holders”) directly holds 22,988,329 LLC Interests. Shares of Class B Common Stock have ten votes per share and are exchangeable for shares of Class A Common Stock on a one-for-one basis at the discretion of the holder. LLC Interests may be exchanged for shares of Class A Common Stock or Class B Common Stock, in each case, on a one-for-one basis at the discretion of the holder.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number and percentage of the shares of Class A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254" w:lineRule="auto"/>
        <w:rPr>
          <w:sz w:val="20"/>
          <w:szCs w:val="20"/>
          <w:color w:val="auto"/>
        </w:rPr>
      </w:pPr>
      <w:r>
        <w:rPr>
          <w:rFonts w:ascii="Arial" w:cs="Arial" w:eastAsia="Arial" w:hAnsi="Arial"/>
          <w:sz w:val="18"/>
          <w:szCs w:val="18"/>
          <w:color w:val="auto"/>
        </w:rPr>
        <w:t>Refinitiv US LLC is the controlling member of Refinitiv US PME LLC. LSEGA, Inc. is the sole member of Refinitiv US LLC. Refinitiv Parent Limited is the sole shareholder of LSEGA, Inc. IAG US LLC is a member of Refinitiv US PME LLC. Refinitiv International Holdings S.à.r.l. is the sole member of IAG US LLC. Refinitiv Netherlands Holdings BV is the sole shareholder of Refinitiv International Holdings S.à.r.l. Refinitiv UK (Rest of World) Holdings Limited is the sole shareholder of Refinitiv Netherlands Holdings BV. Refinitiv UK Parent Limited is the sole shareholder of Refinitiv UK (Rest of World) Holdings Limited. LSEGA Jersey Limited is the sole shareholder of Refinitiv UK Parent Limited. Refinitiv Parent Limited is the sole shareholder of LSEGA Jersey Limited. London Stock Exchange Group plc is the controlling shareholder of Refinitiv Parent Limited. LSEGA Limited and LSEGA2 Limited are shareholders of Refinitiv Parent Limited and London Stock Exchange Group plc is the sole shareholder of each of LSEGA Limited and LSEGA2 Limited.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such Reporting Person may be deemed to beneficially own the shares of Class A Common Stock beneficially owned by the Direct Holders directly or indirectly controlled by such entity, but neither the filing of this Schedule 13D nor any of its contents shall be deemed to constitute an admission that any Reporting Person (other than the Direct Holders to the extent they directly hold Class A Common Stock) is the beneficial owner of the Class A Common Stock referred to herein for purposes of Section 13(d) of the Act, or for any other purpose and each of the Reporting Persons expressly disclaims beneficial ownership of such shares. The filing of this statement should not be construed to be an admission that any member of the Reporting Persons are members of a “group” for the purposes of Sections 13(d) of the 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Any beneficial ownership of Class A Common Stock by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firstLine="8"/>
        <w:spacing w:after="0" w:line="277" w:lineRule="auto"/>
        <w:tabs>
          <w:tab w:leader="none" w:pos="529"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Except as set forth in this Schedule 13D, none of the Reporting Persons or, to the best knowledge of the Reporting Persons, any other person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has effected any transaction in Class A Common Stock in the past 60 days.</w:t>
      </w:r>
    </w:p>
    <w:p>
      <w:pPr>
        <w:spacing w:after="0" w:line="170" w:lineRule="exact"/>
        <w:rPr>
          <w:rFonts w:ascii="Arial" w:cs="Arial" w:eastAsia="Arial" w:hAnsi="Arial"/>
          <w:sz w:val="18"/>
          <w:szCs w:val="18"/>
          <w:color w:val="auto"/>
        </w:rPr>
      </w:pPr>
    </w:p>
    <w:p>
      <w:pPr>
        <w:jc w:val="both"/>
        <w:ind w:firstLine="8"/>
        <w:spacing w:after="0" w:line="263" w:lineRule="auto"/>
        <w:tabs>
          <w:tab w:leader="none" w:pos="53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best knowledge of the Reporting Persons, no one other than the Reporting Persons, or the partners, members, affiliates or shareholders of the Reporting Persons, has the right to receive or the power to direct the receipt of dividends from, or the proceeds from the sale of, the Class A Common Stock reported herein as beneficially owned by the Reporting Persons.</w:t>
      </w:r>
    </w:p>
    <w:p>
      <w:pPr>
        <w:spacing w:after="0" w:line="18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TWM LLC Agreement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4, 2019 Refinitiv US PME LLC (the “Refinitiv LLC Owner”) entered into the Tradeweb Markets LLC Fifth Amended and Restated Limited Liability Company Agreement (the “TWM LLC Agreement”) with the Issuer, TWM LLC, and the other members party thereto.</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Distributions</w:t>
      </w:r>
      <w:r>
        <w:rPr>
          <w:rFonts w:ascii="Arial" w:cs="Arial" w:eastAsia="Arial" w:hAnsi="Arial"/>
          <w:sz w:val="17"/>
          <w:szCs w:val="17"/>
          <w:color w:val="auto"/>
        </w:rPr>
        <w:t>. In connection with any tax period, the TWM LLC Agreement requires TWM LLC to make distributions to its members, on a pro rata basis in proportion to the number of common membership interests of TWM LLC (“LLC Interests”) held by each member, of cash until each member (other than the Issuer) has received an amount at least equal to its assumed tax liability and the Issuer received an amount sufficient to enable it to timely satisfy all of its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also allows for distributions to be made by TWM LLC to its members on a pro rata basis out of distributable cash.</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u w:val="single" w:color="auto"/>
          <w:color w:val="auto"/>
        </w:rPr>
        <w:t>LLC Interest Redemption Right</w:t>
      </w:r>
      <w:r>
        <w:rPr>
          <w:rFonts w:ascii="Arial" w:cs="Arial" w:eastAsia="Arial" w:hAnsi="Arial"/>
          <w:sz w:val="16"/>
          <w:szCs w:val="16"/>
          <w:color w:val="auto"/>
        </w:rPr>
        <w:t>. Subject to certain restrictions set forth therein, the TWM LLC Agreement provides a redemption right to certain original owners of LLC Interests (excluding the Refinitiv LLC Owner) that continued to own LLC Interests after the completion of the Issuer’s initial public offering and reorganization transactions (the “Other LLC Owners”, and together with the Refinitiv LLC Owner, the “Continuing LLC Owners”), which entitles them to have their LLC Interests redeemed, at the election of each such person, for newly issued shares of the Issuer’s Class A Common Stock or Class B Common Stock, as applicable, on a one-for-one basis (subject to customary adjustments, including for stock splits, stock dividends and reclassifications) or, at the Issuer’s option, as determined by or at the direction of the Issuer’s Board, a cash payment equal to a volume weighted average market price of one share of Class A Common Stock for each LLC Interest redeemed or exchanged (subject to customary adjustments, including for stock splits, stock dividends and reclassifications). In the event the Issuer elects to make a cash payment, a Continuing LLC Owner has the option to rescind its redemption request within a specified time period. Upon the exercise of the redemption right, the redeeming member will surrender its LLC Interests to TWM LLC. Subject to any election of the Issuer to effect any such redemption by means of a direct exchange (as described below), the TWM LLC Agreement requires that the Issuer contribute cash or shares of its Class A Common Stock or Class B Common Stock to TWM LLC in exchange for an amount of newly issued LLC Interests in TWM LLC that will be issued to the Issuer equal to the number of LLC Interests redeemed (and thereafter cancelled) from the Continuing LLC Owner to the extent required so as to maintain a one-to-one ratio between the number of LLC Interests owned by the Issuer and the number of outstanding shares of Class A Common Stock and Class B Common Stock. TWM LLC will then distribute the cash or shares of the Issuer’s Class A Common Stock or Class B Common Stock, as the case may be, to such Continuing LLC Owner to complete the redemption. In the event of such election by a Continuing LLC Owner the Issuer may, at its option, effect a direct exchange of cash or its Class A Common Stock or Class B Common Stock for such LLC Interests of the redeeming members in lieu of such redemption. Whether by redemption or exchange, the Issuer is obligated to ensure that at all times the number of LLC Interests that it owns equals the aggregate number of shares of Class A Common Stock and Class B Common Stock issued by it (subject to certain exceptions for treasury shares and shares underlying certain convertible or exchangeable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jc w:val="both"/>
        <w:spacing w:after="0" w:line="275" w:lineRule="auto"/>
        <w:rPr>
          <w:sz w:val="20"/>
          <w:szCs w:val="20"/>
          <w:color w:val="auto"/>
        </w:rPr>
      </w:pPr>
      <w:r>
        <w:rPr>
          <w:rFonts w:ascii="Arial" w:cs="Arial" w:eastAsia="Arial" w:hAnsi="Arial"/>
          <w:sz w:val="17"/>
          <w:szCs w:val="17"/>
          <w:u w:val="single" w:color="auto"/>
          <w:color w:val="auto"/>
        </w:rPr>
        <w:t>Maintenance of one-to-one ratio of shares of Class A Common Stock, Class B Common Stock and LLC Interests owned by Tradeweb</w:t>
      </w:r>
      <w:r>
        <w:rPr>
          <w:rFonts w:ascii="Arial" w:cs="Arial" w:eastAsia="Arial" w:hAnsi="Arial"/>
          <w:sz w:val="17"/>
          <w:szCs w:val="17"/>
          <w:color w:val="auto"/>
        </w:rPr>
        <w:t>. The TWM LLC Agreement requires that TWM LLC at all times maintain (x) a one-to-one ratio between the number of shares of Class A Common Stock and Class B Common Stock issued by the Issuer and the number of LLC Interests owned by the Issuer, and (y) a one-to-one ratio between the number of shares of Class C Common Stock, par value $0.00001 per share (the “Class C Common Stock”) and Class D Common Stock issued by the Issuer and the number of LLC Interests owned by the holders of such Class C Common Stock and Class D Common Stock.</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The TWM LLC Agreement generally does not permit transfers of LLC Interests by members, subject to limited exceptions. Any transferee of LLC Interests must assume, by operation of law or written agreement, all of the obligations of a transferring member with respect to the transferred units, even if the transferee is not admitted as a member of TWM LLC.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One April 8, 2019, Refinitiv US PME LLC entered into a tax receivable agreement (the “Tax Receivable Agreement”) with the Issuer and the Other LLC Owners. The Tax Receivable Agreement provides for the payment by the Issuer to the Continuing LLC Owners who dispose of LLC Interests for cash in connection with any offering, or receive shares of the Issuer’s Class A Common Stock or Class B Common Stock or cash, as applicable, in connection with an exchange or redemption of LLC Interests, of 50% of the amount of U.S. federal, state and local income or franchise tax savings, if any, that the Issuer actually realizes, or in some circumstances is deemed to realize, as a result of the transactions with such Continuing LLC Owners, including increases in the tax basis of the assets of TWM LLC attributable to payments made under the Tax Receivable Agreement and deductions attributable to imputed interest and other payments of interest pursuant to the Tax Receivable Agreement. Such payments are not conditioned upon any continued ownership interest in either TWM LLC or the Issuer by any Continuing LLC Owner.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Agreement</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April 8, 2019, Refinitiv US PME LLC and Refinitiv Parent Limited (the “Refinitiv Owners”) entered into a stockholders agreement (the “Stockholders Agreement”) with the Issuer. The Stockholders Agreement requires the Issuer to nominate a number of individuals designated by Refinitiv US PME LLC and Refinitiv Parent Limited for election as directors of the Issuer at any meeting of the Issuer’s stockholders (each a “Refinitiv Director”) such that, upon the election of each such individual, and each other individual nominated by or at the direction of the Issuer’s Board or a duly-authorized committee of the Board, as a director of the Issuer, the number of Refinitiv Directors serving as directors of the Issuer will be equal to: (1) if the Refinitiv Owners and their affiliates together continue to hold at least 50% of the combined voting power of the Issuer’s outstanding common stock as of the record date for such meeting, the total number of directors comprising the entire Board; (2) if the Refinitiv Owners and their affiliates together continue to hold at least 40% (but less than 50%) of the combined voting power of the Issuer’s outstanding common stock as of the record date for such meeting, the lowest whole number that is greater than 40% of the total number of directors comprising the Issuer’s Board; (3) if the Refinitiv Owners and their affiliates together continue to beneficially own at least 30% (but less than 40%) of the combined voting power of the Issuer’s outstanding common stock as of the record date for such meeting, the lowest whole number that is greater than 30% of the total number of directors comprising the Issuer’s Board; (4) if the Refinitiv Owners and their affiliates together continue to hold at least 20% (but less than 30%) of the combined voting power of the Issuer’s outstanding common stock as of the record date for such meeting, the lowest whole number that is greater than 20% of the total number of directors comprising the Issuer’s Board; and (5) if the Refinitiv Owners and their affiliates together continue to hold at least 10% (but less than 20%) of the combined voting power of the Issuer’s outstanding common stock as of the record date for such meeting, the lowest whole number (such number always being equal to or greater than one) that is greater than 10% of the total number of directors comprising the Issuer’s Board. In the case of a vacancy on the Issuer’s Board created by the removal, resignation or otherwise of a Refinitiv Director, the Stockholders Agreement, to the extent the Refinitiv Owners continue to be entitled to nominate such Refinitiv Director, requires the Issuer to nominate an individual designated by the Refinitiv Owners for election to fill the vacancy. For so long as the Stockholders Agreement remains in effect, Refinitiv Directors may be removed only with the consent of the Refinitiv Owners.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8, 2019, Refinitiv US PME LLC and Refinitiv Parent Limited entered into a registration rights agreement (the “Registration Rights Agreement”) with the Issuer and certain other identified investors, pursuant to which the Issuer granted demand registration rights, shelf registration rights and piggyback registration rights to such stockholders, for the resale under the Securities Act of 1933, as amended, of the Class A Common Stock held by them, subject to certain conditions set forth therein.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descriptions of the TWM LLC Agreement, the Tax Receivable Agreement, the Stockholders Agreement and the Registration Rights Agreement do not purport to be complete and are qualified in their entirety by reference to the full text of such agreements, each of which is filed as an exhibit to this Schedule 13D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940" w:type="dxa"/>
            <w:vAlign w:val="bottom"/>
            <w:gridSpan w:val="3"/>
          </w:tcPr>
          <w:p>
            <w:pPr>
              <w:spacing w:after="0"/>
              <w:rPr>
                <w:sz w:val="20"/>
                <w:szCs w:val="20"/>
                <w:color w:val="auto"/>
              </w:rPr>
            </w:pPr>
            <w:r>
              <w:rPr>
                <w:rFonts w:ascii="Arial" w:cs="Arial" w:eastAsia="Arial" w:hAnsi="Arial"/>
                <w:sz w:val="18"/>
                <w:szCs w:val="18"/>
                <w:b w:val="1"/>
                <w:bCs w:val="1"/>
                <w:color w:val="auto"/>
              </w:rPr>
              <w:t>Material to be Filed as Exhibits</w:t>
            </w:r>
          </w:p>
        </w:tc>
      </w:tr>
      <w:tr>
        <w:trPr>
          <w:trHeight w:val="418"/>
        </w:trPr>
        <w:tc>
          <w:tcPr>
            <w:tcW w:w="130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Exhibit A</w:t>
              </w:r>
            </w:hyperlink>
          </w:p>
        </w:tc>
        <w:tc>
          <w:tcPr>
            <w:tcW w:w="9940" w:type="dxa"/>
            <w:vAlign w:val="bottom"/>
            <w:gridSpan w:val="3"/>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Joint Filing Agreement, dated as of February 8, 2021, by and among the Reporting Persons (filed herewith).</w:t>
              </w:r>
            </w:hyperlink>
          </w:p>
        </w:tc>
      </w:tr>
      <w:tr>
        <w:trPr>
          <w:trHeight w:val="190"/>
        </w:trPr>
        <w:tc>
          <w:tcPr>
            <w:tcW w:w="1300" w:type="dxa"/>
            <w:vAlign w:val="bottom"/>
          </w:tcPr>
          <w:p>
            <w:pPr>
              <w:spacing w:after="0" w:line="190" w:lineRule="exact"/>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Exhibit B</w:t>
              </w:r>
            </w:hyperlink>
          </w:p>
        </w:tc>
        <w:tc>
          <w:tcPr>
            <w:tcW w:w="9940" w:type="dxa"/>
            <w:vAlign w:val="bottom"/>
            <w:tcBorders>
              <w:bottom w:val="single" w:sz="8" w:color="0000EE"/>
            </w:tcBorders>
            <w:gridSpan w:val="3"/>
          </w:tcPr>
          <w:p>
            <w:pPr>
              <w:spacing w:after="0" w:line="190" w:lineRule="exact"/>
              <w:rPr>
                <w:rFonts w:ascii="Arial" w:cs="Arial" w:eastAsia="Arial" w:hAnsi="Arial"/>
                <w:sz w:val="18"/>
                <w:szCs w:val="18"/>
                <w:color w:val="0000EE"/>
                <w:w w:val="96"/>
              </w:rPr>
            </w:pPr>
            <w:hyperlink r:id="rId42">
              <w:r>
                <w:rPr>
                  <w:rFonts w:ascii="Arial" w:cs="Arial" w:eastAsia="Arial" w:hAnsi="Arial"/>
                  <w:sz w:val="18"/>
                  <w:szCs w:val="18"/>
                  <w:color w:val="0000EE"/>
                  <w:w w:val="96"/>
                </w:rPr>
                <w:t>Fifth Amended and Restated LLC Agreement of Tradeweb Markets LLC (incorporated by reference to Exhibit 10.3 to the Issuer’s</w:t>
              </w:r>
            </w:hyperlink>
          </w:p>
        </w:tc>
      </w:tr>
      <w:tr>
        <w:trPr>
          <w:trHeight w:val="196"/>
        </w:trPr>
        <w:tc>
          <w:tcPr>
            <w:tcW w:w="1300" w:type="dxa"/>
            <w:vAlign w:val="bottom"/>
          </w:tcPr>
          <w:p>
            <w:pPr>
              <w:spacing w:after="0"/>
              <w:rPr>
                <w:sz w:val="17"/>
                <w:szCs w:val="17"/>
                <w:color w:val="auto"/>
              </w:rPr>
            </w:pPr>
          </w:p>
        </w:tc>
        <w:tc>
          <w:tcPr>
            <w:tcW w:w="56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Quarterly Report on Form 10-Q filed on May 20, 2019 (File No. 001-38860)).</w:t>
              </w:r>
            </w:hyperlink>
          </w:p>
        </w:tc>
        <w:tc>
          <w:tcPr>
            <w:tcW w:w="4300" w:type="dxa"/>
            <w:vAlign w:val="bottom"/>
          </w:tcPr>
          <w:p>
            <w:pPr>
              <w:spacing w:after="0"/>
              <w:rPr>
                <w:sz w:val="17"/>
                <w:szCs w:val="17"/>
                <w:color w:val="auto"/>
              </w:rPr>
            </w:pPr>
          </w:p>
        </w:tc>
      </w:tr>
      <w:tr>
        <w:trPr>
          <w:trHeight w:val="196"/>
        </w:trPr>
        <w:tc>
          <w:tcPr>
            <w:tcW w:w="1300" w:type="dxa"/>
            <w:vAlign w:val="bottom"/>
          </w:tcPr>
          <w:p>
            <w:pPr>
              <w:spacing w:after="0" w:line="196" w:lineRule="exact"/>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Exhibit C</w:t>
              </w:r>
            </w:hyperlink>
          </w:p>
        </w:tc>
        <w:tc>
          <w:tcPr>
            <w:tcW w:w="99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Tax Receivable Agreement, dated as of April 8, 2019, by and among the Issuer, Tradeweb Markets LLC and the members of Tradeweb</w:t>
              </w:r>
            </w:hyperlink>
          </w:p>
        </w:tc>
      </w:tr>
      <w:tr>
        <w:trPr>
          <w:trHeight w:val="196"/>
        </w:trPr>
        <w:tc>
          <w:tcPr>
            <w:tcW w:w="1300" w:type="dxa"/>
            <w:vAlign w:val="bottom"/>
          </w:tcPr>
          <w:p>
            <w:pPr>
              <w:spacing w:after="0"/>
              <w:rPr>
                <w:sz w:val="17"/>
                <w:szCs w:val="17"/>
                <w:color w:val="auto"/>
              </w:rPr>
            </w:pPr>
          </w:p>
        </w:tc>
        <w:tc>
          <w:tcPr>
            <w:tcW w:w="99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43">
              <w:r>
                <w:rPr>
                  <w:rFonts w:ascii="Arial" w:cs="Arial" w:eastAsia="Arial" w:hAnsi="Arial"/>
                  <w:sz w:val="18"/>
                  <w:szCs w:val="18"/>
                  <w:color w:val="0000EE"/>
                  <w:w w:val="94"/>
                </w:rPr>
                <w:t>Markets LLC from time to time party thereto (incorporated by reference to Exhibit 10.4 to the Issuer’s Quarterly Report on Form 10-Q</w:t>
              </w:r>
            </w:hyperlink>
          </w:p>
        </w:tc>
      </w:tr>
      <w:tr>
        <w:trPr>
          <w:trHeight w:val="196"/>
        </w:trPr>
        <w:tc>
          <w:tcPr>
            <w:tcW w:w="1300" w:type="dxa"/>
            <w:vAlign w:val="bottom"/>
          </w:tcPr>
          <w:p>
            <w:pPr>
              <w:spacing w:after="0"/>
              <w:rPr>
                <w:sz w:val="17"/>
                <w:szCs w:val="17"/>
                <w:color w:val="auto"/>
              </w:rPr>
            </w:pPr>
          </w:p>
        </w:tc>
        <w:tc>
          <w:tcPr>
            <w:tcW w:w="330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filed on May 20, 2019 (File No. 001-38860)).</w:t>
              </w:r>
            </w:hyperlink>
          </w:p>
        </w:tc>
        <w:tc>
          <w:tcPr>
            <w:tcW w:w="6640" w:type="dxa"/>
            <w:vAlign w:val="bottom"/>
            <w:gridSpan w:val="2"/>
          </w:tcPr>
          <w:p>
            <w:pPr>
              <w:spacing w:after="0"/>
              <w:rPr>
                <w:sz w:val="17"/>
                <w:szCs w:val="17"/>
                <w:color w:val="auto"/>
              </w:rPr>
            </w:pPr>
          </w:p>
        </w:tc>
      </w:tr>
      <w:tr>
        <w:trPr>
          <w:trHeight w:val="196"/>
        </w:trPr>
        <w:tc>
          <w:tcPr>
            <w:tcW w:w="1300" w:type="dxa"/>
            <w:vAlign w:val="bottom"/>
          </w:tcPr>
          <w:p>
            <w:pPr>
              <w:spacing w:after="0" w:line="196" w:lineRule="exact"/>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Exhibit D</w:t>
              </w:r>
            </w:hyperlink>
          </w:p>
        </w:tc>
        <w:tc>
          <w:tcPr>
            <w:tcW w:w="994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r:id="rId44">
              <w:r>
                <w:rPr>
                  <w:rFonts w:ascii="Arial" w:cs="Arial" w:eastAsia="Arial" w:hAnsi="Arial"/>
                  <w:sz w:val="18"/>
                  <w:szCs w:val="18"/>
                  <w:color w:val="0000EE"/>
                  <w:w w:val="97"/>
                </w:rPr>
                <w:t>Stockholders Agreement, dated as of April 8, 2019, by and among the Issuer, Refinitiv US PME LLC and Refinitiv Parent Limited</w:t>
              </w:r>
            </w:hyperlink>
          </w:p>
        </w:tc>
      </w:tr>
      <w:tr>
        <w:trPr>
          <w:trHeight w:val="222"/>
        </w:trPr>
        <w:tc>
          <w:tcPr>
            <w:tcW w:w="1300" w:type="dxa"/>
            <w:vAlign w:val="bottom"/>
          </w:tcPr>
          <w:p>
            <w:pPr>
              <w:spacing w:after="0"/>
              <w:rPr>
                <w:sz w:val="19"/>
                <w:szCs w:val="19"/>
                <w:color w:val="auto"/>
              </w:rPr>
            </w:pPr>
          </w:p>
        </w:tc>
        <w:tc>
          <w:tcPr>
            <w:tcW w:w="9940" w:type="dxa"/>
            <w:vAlign w:val="bottom"/>
            <w:gridSpan w:val="3"/>
          </w:tcPr>
          <w:p>
            <w:pPr>
              <w:spacing w:after="0"/>
              <w:rPr>
                <w:rFonts w:ascii="Arial" w:cs="Arial" w:eastAsia="Arial" w:hAnsi="Arial"/>
                <w:sz w:val="18"/>
                <w:szCs w:val="18"/>
                <w:u w:val="single" w:color="auto"/>
                <w:color w:val="0000EE"/>
                <w:w w:val="93"/>
              </w:rPr>
            </w:pPr>
            <w:hyperlink r:id="rId44">
              <w:r>
                <w:rPr>
                  <w:rFonts w:ascii="Arial" w:cs="Arial" w:eastAsia="Arial" w:hAnsi="Arial"/>
                  <w:sz w:val="18"/>
                  <w:szCs w:val="18"/>
                  <w:u w:val="single" w:color="auto"/>
                  <w:color w:val="0000EE"/>
                  <w:w w:val="93"/>
                </w:rPr>
                <w:t>(incorporated by reference to Exhibit 10.1 to the Issuer’s Quarterly Report on Form 10-Q filed on May 20, 2019 (File No. 001-38860)).</w:t>
              </w:r>
            </w:hyperlink>
          </w:p>
        </w:tc>
      </w:tr>
      <w:tr>
        <w:trPr>
          <w:trHeight w:val="190"/>
        </w:trPr>
        <w:tc>
          <w:tcPr>
            <w:tcW w:w="1300" w:type="dxa"/>
            <w:vAlign w:val="bottom"/>
          </w:tcPr>
          <w:p>
            <w:pPr>
              <w:spacing w:after="0" w:line="190" w:lineRule="exact"/>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Exhibit E</w:t>
              </w:r>
            </w:hyperlink>
          </w:p>
        </w:tc>
        <w:tc>
          <w:tcPr>
            <w:tcW w:w="9940" w:type="dxa"/>
            <w:vAlign w:val="bottom"/>
            <w:tcBorders>
              <w:bottom w:val="single" w:sz="8" w:color="0000EE"/>
            </w:tcBorders>
            <w:gridSpan w:val="3"/>
          </w:tcPr>
          <w:p>
            <w:pPr>
              <w:spacing w:after="0" w:line="190"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Registration Rights Agreement, dated as of April 8, 2019, by and among the Issuer, the Refinitiv Holders (as defined therein), the Bank</w:t>
              </w:r>
            </w:hyperlink>
          </w:p>
        </w:tc>
      </w:tr>
      <w:tr>
        <w:trPr>
          <w:trHeight w:val="196"/>
        </w:trPr>
        <w:tc>
          <w:tcPr>
            <w:tcW w:w="1300" w:type="dxa"/>
            <w:vAlign w:val="bottom"/>
          </w:tcPr>
          <w:p>
            <w:pPr>
              <w:spacing w:after="0"/>
              <w:rPr>
                <w:sz w:val="17"/>
                <w:szCs w:val="17"/>
                <w:color w:val="auto"/>
              </w:rPr>
            </w:pPr>
          </w:p>
        </w:tc>
        <w:tc>
          <w:tcPr>
            <w:tcW w:w="9940" w:type="dxa"/>
            <w:vAlign w:val="bottom"/>
            <w:tcBorders>
              <w:bottom w:val="single" w:sz="8" w:color="0000EE"/>
            </w:tcBorders>
            <w:gridSpan w:val="3"/>
          </w:tcPr>
          <w:p>
            <w:pPr>
              <w:spacing w:after="0" w:line="196" w:lineRule="exact"/>
              <w:rPr>
                <w:rFonts w:ascii="Arial" w:cs="Arial" w:eastAsia="Arial" w:hAnsi="Arial"/>
                <w:sz w:val="18"/>
                <w:szCs w:val="18"/>
                <w:color w:val="0000EE"/>
                <w:w w:val="98"/>
              </w:rPr>
            </w:pPr>
            <w:hyperlink r:id="rId45">
              <w:r>
                <w:rPr>
                  <w:rFonts w:ascii="Arial" w:cs="Arial" w:eastAsia="Arial" w:hAnsi="Arial"/>
                  <w:sz w:val="18"/>
                  <w:szCs w:val="18"/>
                  <w:color w:val="0000EE"/>
                  <w:w w:val="98"/>
                </w:rPr>
                <w:t>Holders (as defined therein) and the other holders of Registrable Securities (as defined therein) party thereto from time to time</w:t>
              </w:r>
            </w:hyperlink>
          </w:p>
        </w:tc>
      </w:tr>
      <w:tr>
        <w:trPr>
          <w:trHeight w:val="222"/>
        </w:trPr>
        <w:tc>
          <w:tcPr>
            <w:tcW w:w="1300" w:type="dxa"/>
            <w:vAlign w:val="bottom"/>
          </w:tcPr>
          <w:p>
            <w:pPr>
              <w:spacing w:after="0"/>
              <w:rPr>
                <w:sz w:val="19"/>
                <w:szCs w:val="19"/>
                <w:color w:val="auto"/>
              </w:rPr>
            </w:pPr>
          </w:p>
        </w:tc>
        <w:tc>
          <w:tcPr>
            <w:tcW w:w="9940" w:type="dxa"/>
            <w:vAlign w:val="bottom"/>
            <w:gridSpan w:val="3"/>
          </w:tcPr>
          <w:p>
            <w:pPr>
              <w:spacing w:after="0"/>
              <w:rPr>
                <w:rFonts w:ascii="Arial" w:cs="Arial" w:eastAsia="Arial" w:hAnsi="Arial"/>
                <w:sz w:val="18"/>
                <w:szCs w:val="18"/>
                <w:u w:val="single" w:color="auto"/>
                <w:color w:val="0000EE"/>
                <w:w w:val="93"/>
              </w:rPr>
            </w:pPr>
            <w:hyperlink r:id="rId45">
              <w:r>
                <w:rPr>
                  <w:rFonts w:ascii="Arial" w:cs="Arial" w:eastAsia="Arial" w:hAnsi="Arial"/>
                  <w:sz w:val="18"/>
                  <w:szCs w:val="18"/>
                  <w:u w:val="single" w:color="auto"/>
                  <w:color w:val="0000EE"/>
                  <w:w w:val="93"/>
                </w:rPr>
                <w:t>(incorporated by reference to Exhibit 10.2 to the Issuer’s Quarterly Report on Form 10-Q filed on May 20, 2019 (File No. 001-38860)).</w:t>
              </w:r>
            </w:hyperlink>
          </w:p>
        </w:tc>
      </w:tr>
      <w:tr>
        <w:trPr>
          <w:trHeight w:val="230"/>
        </w:trPr>
        <w:tc>
          <w:tcPr>
            <w:tcW w:w="130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Exhibit F</w:t>
              </w:r>
            </w:hyperlink>
          </w:p>
        </w:tc>
        <w:tc>
          <w:tcPr>
            <w:tcW w:w="9940" w:type="dxa"/>
            <w:vAlign w:val="bottom"/>
            <w:gridSpan w:val="3"/>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Power of Attorney (filed herewith)</w:t>
              </w:r>
            </w:hyperlink>
          </w:p>
        </w:tc>
      </w:tr>
      <w:tr>
        <w:trPr>
          <w:trHeight w:val="675"/>
        </w:trPr>
        <w:tc>
          <w:tcPr>
            <w:tcW w:w="13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8, 2021</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REFINITIV US PME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REFINITIV US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LSEGA,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REFINITIV TW HOLDINGS LTD.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REFINITIV PARENT LIMITED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LONDON STOCK EXCHANGE GROUP PLC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ind w:right="2480" w:firstLine="2484"/>
        <w:spacing w:after="0" w:line="532" w:lineRule="auto"/>
        <w:rPr>
          <w:sz w:val="20"/>
          <w:szCs w:val="20"/>
          <w:color w:val="auto"/>
        </w:rPr>
      </w:pPr>
      <w:r>
        <w:rPr>
          <w:rFonts w:ascii="Arial" w:cs="Arial" w:eastAsia="Arial" w:hAnsi="Arial"/>
          <w:sz w:val="18"/>
          <w:szCs w:val="18"/>
          <w:b w:val="1"/>
          <w:bCs w:val="1"/>
          <w:color w:val="auto"/>
        </w:rPr>
        <w:t xml:space="preserve">ADDITIONAL INFORMATION CONCERNING THE REPORTING PERSONS </w:t>
      </w:r>
      <w:r>
        <w:rPr>
          <w:rFonts w:ascii="Arial" w:cs="Arial" w:eastAsia="Arial" w:hAnsi="Arial"/>
          <w:sz w:val="18"/>
          <w:szCs w:val="18"/>
          <w:b w:val="1"/>
          <w:bCs w:val="1"/>
          <w:i w:val="1"/>
          <w:iCs w:val="1"/>
          <w:color w:val="auto"/>
        </w:rPr>
        <w:t>London Stock Exchange Group plc</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2940" w:type="dxa"/>
            <w:vAlign w:val="bottom"/>
            <w:gridSpan w:val="2"/>
          </w:tcPr>
          <w:p>
            <w:pPr>
              <w:ind w:left="660"/>
              <w:spacing w:after="0"/>
              <w:rPr>
                <w:sz w:val="20"/>
                <w:szCs w:val="20"/>
                <w:color w:val="auto"/>
              </w:rPr>
            </w:pPr>
            <w:r>
              <w:rPr>
                <w:rFonts w:ascii="Arial" w:cs="Arial" w:eastAsia="Arial" w:hAnsi="Arial"/>
                <w:sz w:val="18"/>
                <w:szCs w:val="18"/>
                <w:b w:val="1"/>
                <w:bCs w:val="1"/>
                <w:color w:val="auto"/>
              </w:rPr>
              <w:t>Principal Address</w:t>
            </w:r>
          </w:p>
        </w:tc>
        <w:tc>
          <w:tcPr>
            <w:tcW w:w="2680" w:type="dxa"/>
            <w:vAlign w:val="bottom"/>
          </w:tcPr>
          <w:p>
            <w:pPr>
              <w:ind w:left="520"/>
              <w:spacing w:after="0"/>
              <w:rPr>
                <w:sz w:val="20"/>
                <w:szCs w:val="20"/>
                <w:color w:val="auto"/>
              </w:rPr>
            </w:pPr>
            <w:r>
              <w:rPr>
                <w:rFonts w:ascii="Arial" w:cs="Arial" w:eastAsia="Arial" w:hAnsi="Arial"/>
                <w:sz w:val="18"/>
                <w:szCs w:val="18"/>
                <w:b w:val="1"/>
                <w:bCs w:val="1"/>
                <w:color w:val="auto"/>
              </w:rPr>
              <w:t>Principal Occupation</w:t>
            </w:r>
          </w:p>
        </w:tc>
        <w:tc>
          <w:tcPr>
            <w:tcW w:w="220" w:type="dxa"/>
            <w:vAlign w:val="bottom"/>
          </w:tcPr>
          <w:p>
            <w:pPr>
              <w:spacing w:after="0"/>
              <w:rPr>
                <w:sz w:val="20"/>
                <w:szCs w:val="20"/>
                <w:color w:val="auto"/>
              </w:rPr>
            </w:pPr>
          </w:p>
        </w:tc>
        <w:tc>
          <w:tcPr>
            <w:tcW w:w="2580" w:type="dxa"/>
            <w:vAlign w:val="bottom"/>
          </w:tcPr>
          <w:p>
            <w:pPr>
              <w:ind w:left="860"/>
              <w:spacing w:after="0"/>
              <w:rPr>
                <w:sz w:val="20"/>
                <w:szCs w:val="20"/>
                <w:color w:val="auto"/>
              </w:rPr>
            </w:pPr>
            <w:r>
              <w:rPr>
                <w:rFonts w:ascii="Arial" w:cs="Arial" w:eastAsia="Arial" w:hAnsi="Arial"/>
                <w:sz w:val="18"/>
                <w:szCs w:val="18"/>
                <w:b w:val="1"/>
                <w:bCs w:val="1"/>
                <w:color w:val="auto"/>
              </w:rPr>
              <w:t>Citizenship</w:t>
            </w:r>
          </w:p>
        </w:tc>
      </w:tr>
      <w:tr>
        <w:trPr>
          <w:trHeight w:val="224"/>
        </w:trPr>
        <w:tc>
          <w:tcPr>
            <w:tcW w:w="26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Executive Officers</w:t>
            </w:r>
          </w:p>
        </w:tc>
        <w:tc>
          <w:tcPr>
            <w:tcW w:w="220" w:type="dxa"/>
            <w:vAlign w:val="bottom"/>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Borders>
              <w:top w:val="single" w:sz="8" w:color="auto"/>
            </w:tcBorders>
          </w:tcPr>
          <w:p>
            <w:pPr>
              <w:spacing w:after="0"/>
              <w:rPr>
                <w:sz w:val="19"/>
                <w:szCs w:val="19"/>
                <w:color w:val="auto"/>
              </w:rPr>
            </w:pPr>
          </w:p>
        </w:tc>
      </w:tr>
      <w:tr>
        <w:trPr>
          <w:trHeight w:val="403"/>
        </w:trPr>
        <w:tc>
          <w:tcPr>
            <w:tcW w:w="2600" w:type="dxa"/>
            <w:vAlign w:val="bottom"/>
          </w:tcPr>
          <w:p>
            <w:pPr>
              <w:spacing w:after="0"/>
              <w:rPr>
                <w:sz w:val="20"/>
                <w:szCs w:val="20"/>
                <w:color w:val="auto"/>
              </w:rPr>
            </w:pPr>
            <w:r>
              <w:rPr>
                <w:rFonts w:ascii="Arial" w:cs="Arial" w:eastAsia="Arial" w:hAnsi="Arial"/>
                <w:sz w:val="18"/>
                <w:szCs w:val="18"/>
                <w:color w:val="auto"/>
              </w:rPr>
              <w:t>David Schwimmer</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c/o: London Stock Exchange Group,</w:t>
            </w:r>
          </w:p>
        </w:tc>
        <w:tc>
          <w:tcPr>
            <w:tcW w:w="2680" w:type="dxa"/>
            <w:vAlign w:val="bottom"/>
          </w:tcPr>
          <w:p>
            <w:pPr>
              <w:spacing w:after="0"/>
              <w:rPr>
                <w:sz w:val="20"/>
                <w:szCs w:val="20"/>
                <w:color w:val="auto"/>
              </w:rPr>
            </w:pPr>
            <w:r>
              <w:rPr>
                <w:rFonts w:ascii="Arial" w:cs="Arial" w:eastAsia="Arial" w:hAnsi="Arial"/>
                <w:sz w:val="18"/>
                <w:szCs w:val="18"/>
                <w:color w:val="auto"/>
              </w:rPr>
              <w:t>Chief Executive Officer and</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United States</w:t>
            </w:r>
          </w:p>
        </w:tc>
      </w:tr>
      <w:tr>
        <w:trPr>
          <w:trHeight w:val="216"/>
        </w:trPr>
        <w:tc>
          <w:tcPr>
            <w:tcW w:w="26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plc, 10 Paternoster Square, London,</w:t>
            </w:r>
          </w:p>
        </w:tc>
        <w:tc>
          <w:tcPr>
            <w:tcW w:w="2680" w:type="dxa"/>
            <w:vAlign w:val="bottom"/>
          </w:tcPr>
          <w:p>
            <w:pPr>
              <w:spacing w:after="0"/>
              <w:rPr>
                <w:sz w:val="20"/>
                <w:szCs w:val="20"/>
                <w:color w:val="auto"/>
              </w:rPr>
            </w:pPr>
            <w:r>
              <w:rPr>
                <w:rFonts w:ascii="Arial" w:cs="Arial" w:eastAsia="Arial" w:hAnsi="Arial"/>
                <w:sz w:val="18"/>
                <w:szCs w:val="18"/>
                <w:color w:val="auto"/>
              </w:rPr>
              <w:t>Executive Director, LSEG</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EC4M 7LS</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Anna Manz</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c/o: London Stock Exchange Group,</w:t>
            </w:r>
          </w:p>
        </w:tc>
        <w:tc>
          <w:tcPr>
            <w:tcW w:w="268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16"/>
        </w:trPr>
        <w:tc>
          <w:tcPr>
            <w:tcW w:w="26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plc, 10 Paternoster Square, London,</w:t>
            </w:r>
          </w:p>
        </w:tc>
        <w:tc>
          <w:tcPr>
            <w:tcW w:w="2680" w:type="dxa"/>
            <w:vAlign w:val="bottom"/>
          </w:tcPr>
          <w:p>
            <w:pPr>
              <w:spacing w:after="0"/>
              <w:rPr>
                <w:sz w:val="20"/>
                <w:szCs w:val="20"/>
                <w:color w:val="auto"/>
              </w:rPr>
            </w:pPr>
            <w:r>
              <w:rPr>
                <w:rFonts w:ascii="Arial" w:cs="Arial" w:eastAsia="Arial" w:hAnsi="Arial"/>
                <w:sz w:val="18"/>
                <w:szCs w:val="18"/>
                <w:color w:val="auto"/>
              </w:rPr>
              <w:t>Executive Director, LSEG</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EC4M 7LS</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Balbir Bakhshi</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c/o: London Stock Exchange Group,</w:t>
            </w:r>
          </w:p>
        </w:tc>
        <w:tc>
          <w:tcPr>
            <w:tcW w:w="2680" w:type="dxa"/>
            <w:vAlign w:val="bottom"/>
          </w:tcPr>
          <w:p>
            <w:pPr>
              <w:spacing w:after="0"/>
              <w:rPr>
                <w:sz w:val="20"/>
                <w:szCs w:val="20"/>
                <w:color w:val="auto"/>
              </w:rPr>
            </w:pPr>
            <w:r>
              <w:rPr>
                <w:rFonts w:ascii="Arial" w:cs="Arial" w:eastAsia="Arial" w:hAnsi="Arial"/>
                <w:sz w:val="18"/>
                <w:szCs w:val="18"/>
                <w:color w:val="auto"/>
              </w:rPr>
              <w:t>Chief Risk Officer, LSEG</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16"/>
        </w:trPr>
        <w:tc>
          <w:tcPr>
            <w:tcW w:w="26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plc, 10 Paternoster Square, London,</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EC4M 7LS</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David Craig</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c/o: London Stock Exchange Group,</w:t>
            </w:r>
          </w:p>
        </w:tc>
        <w:tc>
          <w:tcPr>
            <w:tcW w:w="2680" w:type="dxa"/>
            <w:vAlign w:val="bottom"/>
          </w:tcPr>
          <w:p>
            <w:pPr>
              <w:spacing w:after="0"/>
              <w:rPr>
                <w:sz w:val="20"/>
                <w:szCs w:val="20"/>
                <w:color w:val="auto"/>
              </w:rPr>
            </w:pPr>
            <w:r>
              <w:rPr>
                <w:rFonts w:ascii="Arial" w:cs="Arial" w:eastAsia="Arial" w:hAnsi="Arial"/>
                <w:sz w:val="18"/>
                <w:szCs w:val="18"/>
                <w:color w:val="auto"/>
                <w:w w:val="96"/>
              </w:rPr>
              <w:t>Group Head, Data &amp; Analytics and</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16"/>
        </w:trPr>
        <w:tc>
          <w:tcPr>
            <w:tcW w:w="26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plc, 10 Paternoster Square, London,</w:t>
            </w:r>
          </w:p>
        </w:tc>
        <w:tc>
          <w:tcPr>
            <w:tcW w:w="2680" w:type="dxa"/>
            <w:vAlign w:val="bottom"/>
          </w:tcPr>
          <w:p>
            <w:pPr>
              <w:spacing w:after="0"/>
              <w:rPr>
                <w:sz w:val="20"/>
                <w:szCs w:val="20"/>
                <w:color w:val="auto"/>
              </w:rPr>
            </w:pPr>
            <w:r>
              <w:rPr>
                <w:rFonts w:ascii="Arial" w:cs="Arial" w:eastAsia="Arial" w:hAnsi="Arial"/>
                <w:sz w:val="18"/>
                <w:szCs w:val="18"/>
                <w:color w:val="auto"/>
              </w:rPr>
              <w:t>CEO, Refinitiv, LSEG</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EC4M 7LS</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Catherine Johnson</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c/o: London Stock Exchange Group,</w:t>
            </w:r>
          </w:p>
        </w:tc>
        <w:tc>
          <w:tcPr>
            <w:tcW w:w="2680" w:type="dxa"/>
            <w:vAlign w:val="bottom"/>
          </w:tcPr>
          <w:p>
            <w:pPr>
              <w:spacing w:after="0"/>
              <w:rPr>
                <w:sz w:val="20"/>
                <w:szCs w:val="20"/>
                <w:color w:val="auto"/>
              </w:rPr>
            </w:pPr>
            <w:r>
              <w:rPr>
                <w:rFonts w:ascii="Arial" w:cs="Arial" w:eastAsia="Arial" w:hAnsi="Arial"/>
                <w:sz w:val="18"/>
                <w:szCs w:val="18"/>
                <w:color w:val="auto"/>
              </w:rPr>
              <w:t>General Counsel, LSEG</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16"/>
        </w:trPr>
        <w:tc>
          <w:tcPr>
            <w:tcW w:w="26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plc, 10 Paternoster Square, London,</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EC4M 7LS</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Tim Jones</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c/o: London Stock Exchange Group,</w:t>
            </w:r>
          </w:p>
        </w:tc>
        <w:tc>
          <w:tcPr>
            <w:tcW w:w="2680" w:type="dxa"/>
            <w:vAlign w:val="bottom"/>
          </w:tcPr>
          <w:p>
            <w:pPr>
              <w:spacing w:after="0"/>
              <w:rPr>
                <w:sz w:val="20"/>
                <w:szCs w:val="20"/>
                <w:color w:val="auto"/>
              </w:rPr>
            </w:pPr>
            <w:r>
              <w:rPr>
                <w:rFonts w:ascii="Arial" w:cs="Arial" w:eastAsia="Arial" w:hAnsi="Arial"/>
                <w:sz w:val="18"/>
                <w:szCs w:val="18"/>
                <w:color w:val="auto"/>
              </w:rPr>
              <w:t>Chief People Officer, LSEG</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16"/>
        </w:trPr>
        <w:tc>
          <w:tcPr>
            <w:tcW w:w="26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plc, 10 Paternoster Square, London,</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EC4M 7LS</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Daniel Maguire</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c/o: London Stock Exchange Group,</w:t>
            </w:r>
          </w:p>
        </w:tc>
        <w:tc>
          <w:tcPr>
            <w:tcW w:w="2680" w:type="dxa"/>
            <w:vAlign w:val="bottom"/>
          </w:tcPr>
          <w:p>
            <w:pPr>
              <w:spacing w:after="0"/>
              <w:rPr>
                <w:sz w:val="20"/>
                <w:szCs w:val="20"/>
                <w:color w:val="auto"/>
              </w:rPr>
            </w:pPr>
            <w:r>
              <w:rPr>
                <w:rFonts w:ascii="Arial" w:cs="Arial" w:eastAsia="Arial" w:hAnsi="Arial"/>
                <w:sz w:val="18"/>
                <w:szCs w:val="18"/>
                <w:color w:val="auto"/>
              </w:rPr>
              <w:t>Group Head, Post Trade &amp; CEO,</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16"/>
        </w:trPr>
        <w:tc>
          <w:tcPr>
            <w:tcW w:w="26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plc, 10 Paternoster Square, London,</w:t>
            </w:r>
          </w:p>
        </w:tc>
        <w:tc>
          <w:tcPr>
            <w:tcW w:w="2680" w:type="dxa"/>
            <w:vAlign w:val="bottom"/>
          </w:tcPr>
          <w:p>
            <w:pPr>
              <w:spacing w:after="0"/>
              <w:rPr>
                <w:sz w:val="20"/>
                <w:szCs w:val="20"/>
                <w:color w:val="auto"/>
              </w:rPr>
            </w:pPr>
            <w:r>
              <w:rPr>
                <w:rFonts w:ascii="Arial" w:cs="Arial" w:eastAsia="Arial" w:hAnsi="Arial"/>
                <w:sz w:val="18"/>
                <w:szCs w:val="18"/>
                <w:color w:val="auto"/>
              </w:rPr>
              <w:t>LCH Group, LSEG</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EC4M 7LS</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Anthony McCarthy</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c/o: London Stock Exchange Group,</w:t>
            </w:r>
          </w:p>
        </w:tc>
        <w:tc>
          <w:tcPr>
            <w:tcW w:w="2680" w:type="dxa"/>
            <w:vAlign w:val="bottom"/>
          </w:tcPr>
          <w:p>
            <w:pPr>
              <w:spacing w:after="0"/>
              <w:rPr>
                <w:sz w:val="20"/>
                <w:szCs w:val="20"/>
                <w:color w:val="auto"/>
              </w:rPr>
            </w:pPr>
            <w:r>
              <w:rPr>
                <w:rFonts w:ascii="Arial" w:cs="Arial" w:eastAsia="Arial" w:hAnsi="Arial"/>
                <w:sz w:val="18"/>
                <w:szCs w:val="18"/>
                <w:color w:val="auto"/>
              </w:rPr>
              <w:t>Chief Information Officer, LSEG</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United States</w:t>
            </w:r>
          </w:p>
        </w:tc>
      </w:tr>
      <w:tr>
        <w:trPr>
          <w:trHeight w:val="216"/>
        </w:trPr>
        <w:tc>
          <w:tcPr>
            <w:tcW w:w="26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plc, 10 Paternoster Square, London,</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EC4M 7LS</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Andrea Remyn Stone</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c/o: London Stock Exchange Group,</w:t>
            </w:r>
          </w:p>
        </w:tc>
        <w:tc>
          <w:tcPr>
            <w:tcW w:w="2680" w:type="dxa"/>
            <w:vAlign w:val="bottom"/>
          </w:tcPr>
          <w:p>
            <w:pPr>
              <w:spacing w:after="0"/>
              <w:rPr>
                <w:sz w:val="20"/>
                <w:szCs w:val="20"/>
                <w:color w:val="auto"/>
              </w:rPr>
            </w:pPr>
            <w:r>
              <w:rPr>
                <w:rFonts w:ascii="Arial" w:cs="Arial" w:eastAsia="Arial" w:hAnsi="Arial"/>
                <w:sz w:val="18"/>
                <w:szCs w:val="18"/>
                <w:color w:val="auto"/>
              </w:rPr>
              <w:t>Chief Product Officer, Data &amp;</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United States</w:t>
            </w:r>
          </w:p>
        </w:tc>
      </w:tr>
      <w:tr>
        <w:trPr>
          <w:trHeight w:val="216"/>
        </w:trPr>
        <w:tc>
          <w:tcPr>
            <w:tcW w:w="26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plc, 10 Paternoster Square, London,</w:t>
            </w:r>
          </w:p>
        </w:tc>
        <w:tc>
          <w:tcPr>
            <w:tcW w:w="2680" w:type="dxa"/>
            <w:vAlign w:val="bottom"/>
          </w:tcPr>
          <w:p>
            <w:pPr>
              <w:spacing w:after="0"/>
              <w:rPr>
                <w:sz w:val="20"/>
                <w:szCs w:val="20"/>
                <w:color w:val="auto"/>
              </w:rPr>
            </w:pPr>
            <w:r>
              <w:rPr>
                <w:rFonts w:ascii="Arial" w:cs="Arial" w:eastAsia="Arial" w:hAnsi="Arial"/>
                <w:sz w:val="18"/>
                <w:szCs w:val="18"/>
                <w:color w:val="auto"/>
              </w:rPr>
              <w:t>Analytics, LSEG</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EC4M 7LS</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Murray Roos</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c/o: London Stock Exchange Group,</w:t>
            </w:r>
          </w:p>
        </w:tc>
        <w:tc>
          <w:tcPr>
            <w:tcW w:w="2680" w:type="dxa"/>
            <w:vAlign w:val="bottom"/>
          </w:tcPr>
          <w:p>
            <w:pPr>
              <w:spacing w:after="0"/>
              <w:rPr>
                <w:sz w:val="20"/>
                <w:szCs w:val="20"/>
                <w:color w:val="auto"/>
              </w:rPr>
            </w:pPr>
            <w:r>
              <w:rPr>
                <w:rFonts w:ascii="Arial" w:cs="Arial" w:eastAsia="Arial" w:hAnsi="Arial"/>
                <w:sz w:val="18"/>
                <w:szCs w:val="18"/>
                <w:color w:val="auto"/>
                <w:w w:val="91"/>
              </w:rPr>
              <w:t>Group Head, Capital Markets, LSEG</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16"/>
        </w:trPr>
        <w:tc>
          <w:tcPr>
            <w:tcW w:w="26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plc, 10 Paternoster Square, London,</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EC4M 7LS</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David Shalders</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c/o: London Stock Exchange Group,</w:t>
            </w:r>
          </w:p>
        </w:tc>
        <w:tc>
          <w:tcPr>
            <w:tcW w:w="2680" w:type="dxa"/>
            <w:vAlign w:val="bottom"/>
          </w:tcPr>
          <w:p>
            <w:pPr>
              <w:spacing w:after="0"/>
              <w:rPr>
                <w:sz w:val="20"/>
                <w:szCs w:val="20"/>
                <w:color w:val="auto"/>
              </w:rPr>
            </w:pPr>
            <w:r>
              <w:rPr>
                <w:rFonts w:ascii="Arial" w:cs="Arial" w:eastAsia="Arial" w:hAnsi="Arial"/>
                <w:sz w:val="18"/>
                <w:szCs w:val="18"/>
                <w:color w:val="auto"/>
                <w:w w:val="92"/>
              </w:rPr>
              <w:t>Chief Operating Officer and Head of</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16"/>
        </w:trPr>
        <w:tc>
          <w:tcPr>
            <w:tcW w:w="26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plc, 10 Paternoster Square, London,</w:t>
            </w:r>
          </w:p>
        </w:tc>
        <w:tc>
          <w:tcPr>
            <w:tcW w:w="2680" w:type="dxa"/>
            <w:vAlign w:val="bottom"/>
          </w:tcPr>
          <w:p>
            <w:pPr>
              <w:spacing w:after="0"/>
              <w:rPr>
                <w:sz w:val="20"/>
                <w:szCs w:val="20"/>
                <w:color w:val="auto"/>
              </w:rPr>
            </w:pPr>
            <w:r>
              <w:rPr>
                <w:rFonts w:ascii="Arial" w:cs="Arial" w:eastAsia="Arial" w:hAnsi="Arial"/>
                <w:sz w:val="18"/>
                <w:szCs w:val="18"/>
                <w:color w:val="auto"/>
              </w:rPr>
              <w:t>Integration, LSEG</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EC4M 7LS</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Brigitte Trafford</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c/o: London Stock Exchange Group,</w:t>
            </w:r>
          </w:p>
        </w:tc>
        <w:tc>
          <w:tcPr>
            <w:tcW w:w="2680" w:type="dxa"/>
            <w:vAlign w:val="bottom"/>
          </w:tcPr>
          <w:p>
            <w:pPr>
              <w:spacing w:after="0"/>
              <w:rPr>
                <w:sz w:val="20"/>
                <w:szCs w:val="20"/>
                <w:color w:val="auto"/>
              </w:rPr>
            </w:pPr>
            <w:r>
              <w:rPr>
                <w:rFonts w:ascii="Arial" w:cs="Arial" w:eastAsia="Arial" w:hAnsi="Arial"/>
                <w:sz w:val="18"/>
                <w:szCs w:val="18"/>
                <w:color w:val="auto"/>
              </w:rPr>
              <w:t>Chief Communications and</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16"/>
        </w:trPr>
        <w:tc>
          <w:tcPr>
            <w:tcW w:w="26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plc, 10 Paternoster Square, London,</w:t>
            </w:r>
          </w:p>
        </w:tc>
        <w:tc>
          <w:tcPr>
            <w:tcW w:w="2680" w:type="dxa"/>
            <w:vAlign w:val="bottom"/>
          </w:tcPr>
          <w:p>
            <w:pPr>
              <w:spacing w:after="0"/>
              <w:rPr>
                <w:sz w:val="20"/>
                <w:szCs w:val="20"/>
                <w:color w:val="auto"/>
              </w:rPr>
            </w:pPr>
            <w:r>
              <w:rPr>
                <w:rFonts w:ascii="Arial" w:cs="Arial" w:eastAsia="Arial" w:hAnsi="Arial"/>
                <w:sz w:val="18"/>
                <w:szCs w:val="18"/>
                <w:color w:val="auto"/>
              </w:rPr>
              <w:t>Marketing Officer, LSEG</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EC4M 7LS</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Debra Walton</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c/o: London Stock Exchange Group,</w:t>
            </w:r>
          </w:p>
        </w:tc>
        <w:tc>
          <w:tcPr>
            <w:tcW w:w="2680" w:type="dxa"/>
            <w:vAlign w:val="bottom"/>
          </w:tcPr>
          <w:p>
            <w:pPr>
              <w:spacing w:after="0"/>
              <w:rPr>
                <w:sz w:val="20"/>
                <w:szCs w:val="20"/>
                <w:color w:val="auto"/>
              </w:rPr>
            </w:pPr>
            <w:r>
              <w:rPr>
                <w:rFonts w:ascii="Arial" w:cs="Arial" w:eastAsia="Arial" w:hAnsi="Arial"/>
                <w:sz w:val="18"/>
                <w:szCs w:val="18"/>
                <w:color w:val="auto"/>
              </w:rPr>
              <w:t>Chief Revenue Officer, Data &amp;</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United States</w:t>
            </w:r>
          </w:p>
        </w:tc>
      </w:tr>
      <w:tr>
        <w:trPr>
          <w:trHeight w:val="216"/>
        </w:trPr>
        <w:tc>
          <w:tcPr>
            <w:tcW w:w="26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plc, 10 Paternoster Square, London,</w:t>
            </w:r>
          </w:p>
        </w:tc>
        <w:tc>
          <w:tcPr>
            <w:tcW w:w="2680" w:type="dxa"/>
            <w:vAlign w:val="bottom"/>
          </w:tcPr>
          <w:p>
            <w:pPr>
              <w:spacing w:after="0"/>
              <w:rPr>
                <w:sz w:val="20"/>
                <w:szCs w:val="20"/>
                <w:color w:val="auto"/>
              </w:rPr>
            </w:pPr>
            <w:r>
              <w:rPr>
                <w:rFonts w:ascii="Arial" w:cs="Arial" w:eastAsia="Arial" w:hAnsi="Arial"/>
                <w:sz w:val="18"/>
                <w:szCs w:val="18"/>
                <w:color w:val="auto"/>
              </w:rPr>
              <w:t>Analytics, LSEG</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EC4M 7LS</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702"/>
        </w:trPr>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i w:val="1"/>
                <w:iCs w:val="1"/>
                <w:color w:val="auto"/>
              </w:rPr>
              <w:t>Directors</w:t>
            </w: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Don Robert</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c/o: London Stock Exchange Group,</w:t>
            </w:r>
          </w:p>
        </w:tc>
      </w:tr>
      <w:tr>
        <w:trPr>
          <w:trHeight w:val="216"/>
        </w:trPr>
        <w:tc>
          <w:tcPr>
            <w:tcW w:w="26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plc, 10 Paternoster Square, London,</w:t>
            </w:r>
          </w:p>
        </w:tc>
      </w:tr>
      <w:tr>
        <w:trPr>
          <w:trHeight w:val="230"/>
        </w:trPr>
        <w:tc>
          <w:tcPr>
            <w:tcW w:w="2600" w:type="dxa"/>
            <w:vAlign w:val="bottom"/>
          </w:tcPr>
          <w:p>
            <w:pPr>
              <w:spacing w:after="0"/>
              <w:rPr>
                <w:sz w:val="20"/>
                <w:szCs w:val="20"/>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EC4M 7LS</w:t>
            </w: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Jacques Aigrain</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c/o: London Stock Exchange Group,</w:t>
            </w:r>
          </w:p>
        </w:tc>
      </w:tr>
      <w:tr>
        <w:trPr>
          <w:trHeight w:val="216"/>
        </w:trPr>
        <w:tc>
          <w:tcPr>
            <w:tcW w:w="26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plc, 10 Paternoster Square, London,</w:t>
            </w:r>
          </w:p>
        </w:tc>
      </w:tr>
      <w:tr>
        <w:trPr>
          <w:trHeight w:val="230"/>
        </w:trPr>
        <w:tc>
          <w:tcPr>
            <w:tcW w:w="2600" w:type="dxa"/>
            <w:vAlign w:val="bottom"/>
          </w:tcPr>
          <w:p>
            <w:pPr>
              <w:spacing w:after="0"/>
              <w:rPr>
                <w:sz w:val="20"/>
                <w:szCs w:val="20"/>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EC4M 7LS</w:t>
            </w:r>
          </w:p>
        </w:tc>
      </w:tr>
      <w:tr>
        <w:trPr>
          <w:trHeight w:val="850"/>
        </w:trPr>
        <w:tc>
          <w:tcPr>
            <w:tcW w:w="2600" w:type="dxa"/>
            <w:vAlign w:val="bottom"/>
          </w:tcPr>
          <w:p>
            <w:pPr>
              <w:spacing w:after="0"/>
              <w:rPr>
                <w:sz w:val="20"/>
                <w:szCs w:val="20"/>
                <w:color w:val="auto"/>
              </w:rPr>
            </w:pPr>
            <w:r>
              <w:rPr>
                <w:rFonts w:ascii="Arial" w:cs="Arial" w:eastAsia="Arial" w:hAnsi="Arial"/>
                <w:sz w:val="18"/>
                <w:szCs w:val="18"/>
                <w:color w:val="auto"/>
              </w:rPr>
              <w:t>Dominic Blakemore</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c/o: London Stock Exchange Group,</w:t>
            </w:r>
          </w:p>
        </w:tc>
      </w:tr>
      <w:tr>
        <w:trPr>
          <w:trHeight w:val="216"/>
        </w:trPr>
        <w:tc>
          <w:tcPr>
            <w:tcW w:w="26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plc, 10 Paternoster Square, London,</w:t>
            </w:r>
          </w:p>
        </w:tc>
      </w:tr>
      <w:tr>
        <w:trPr>
          <w:trHeight w:val="230"/>
        </w:trPr>
        <w:tc>
          <w:tcPr>
            <w:tcW w:w="2600" w:type="dxa"/>
            <w:vAlign w:val="bottom"/>
          </w:tcPr>
          <w:p>
            <w:pPr>
              <w:spacing w:after="0"/>
              <w:rPr>
                <w:sz w:val="20"/>
                <w:szCs w:val="20"/>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EC4M 7LS</w:t>
            </w: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Martin Brand</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c/o: London Stock Exchange Group,</w:t>
            </w:r>
          </w:p>
        </w:tc>
      </w:tr>
      <w:tr>
        <w:trPr>
          <w:trHeight w:val="216"/>
        </w:trPr>
        <w:tc>
          <w:tcPr>
            <w:tcW w:w="26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plc, 10 Paternoster Square, London,</w:t>
            </w:r>
          </w:p>
        </w:tc>
      </w:tr>
      <w:tr>
        <w:trPr>
          <w:trHeight w:val="230"/>
        </w:trPr>
        <w:tc>
          <w:tcPr>
            <w:tcW w:w="2600" w:type="dxa"/>
            <w:vAlign w:val="bottom"/>
          </w:tcPr>
          <w:p>
            <w:pPr>
              <w:spacing w:after="0"/>
              <w:rPr>
                <w:sz w:val="20"/>
                <w:szCs w:val="20"/>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EC4M 7LS</w:t>
            </w: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Erin Brown</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c/o: London Stock Exchange Group,</w:t>
            </w:r>
          </w:p>
        </w:tc>
      </w:tr>
      <w:tr>
        <w:trPr>
          <w:trHeight w:val="216"/>
        </w:trPr>
        <w:tc>
          <w:tcPr>
            <w:tcW w:w="26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plc, 10 Paternoster Square, London,</w:t>
            </w:r>
          </w:p>
        </w:tc>
      </w:tr>
      <w:tr>
        <w:trPr>
          <w:trHeight w:val="230"/>
        </w:trPr>
        <w:tc>
          <w:tcPr>
            <w:tcW w:w="2600" w:type="dxa"/>
            <w:vAlign w:val="bottom"/>
          </w:tcPr>
          <w:p>
            <w:pPr>
              <w:spacing w:after="0"/>
              <w:rPr>
                <w:sz w:val="20"/>
                <w:szCs w:val="20"/>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EC4M 7LS</w:t>
            </w: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Professor Kathleen DeRose</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c/o: London Stock Exchange Group,</w:t>
            </w:r>
          </w:p>
        </w:tc>
      </w:tr>
      <w:tr>
        <w:trPr>
          <w:trHeight w:val="216"/>
        </w:trPr>
        <w:tc>
          <w:tcPr>
            <w:tcW w:w="26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plc, 10 Paternoster Square, London,</w:t>
            </w:r>
          </w:p>
        </w:tc>
      </w:tr>
      <w:tr>
        <w:trPr>
          <w:trHeight w:val="230"/>
        </w:trPr>
        <w:tc>
          <w:tcPr>
            <w:tcW w:w="2600" w:type="dxa"/>
            <w:vAlign w:val="bottom"/>
          </w:tcPr>
          <w:p>
            <w:pPr>
              <w:spacing w:after="0"/>
              <w:rPr>
                <w:sz w:val="20"/>
                <w:szCs w:val="20"/>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EC4M 7LS</w:t>
            </w:r>
          </w:p>
        </w:tc>
      </w:tr>
      <w:tr>
        <w:trPr>
          <w:trHeight w:val="1066"/>
        </w:trPr>
        <w:tc>
          <w:tcPr>
            <w:tcW w:w="2600" w:type="dxa"/>
            <w:vAlign w:val="bottom"/>
          </w:tcPr>
          <w:p>
            <w:pPr>
              <w:spacing w:after="0"/>
              <w:rPr>
                <w:sz w:val="20"/>
                <w:szCs w:val="20"/>
                <w:color w:val="auto"/>
              </w:rPr>
            </w:pPr>
            <w:r>
              <w:rPr>
                <w:rFonts w:ascii="Arial" w:cs="Arial" w:eastAsia="Arial" w:hAnsi="Arial"/>
                <w:sz w:val="18"/>
                <w:szCs w:val="18"/>
                <w:color w:val="auto"/>
              </w:rPr>
              <w:t>Cressida Hogg CBE</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c/o: London Stock Exchange Group,</w:t>
            </w:r>
          </w:p>
        </w:tc>
      </w:tr>
      <w:tr>
        <w:trPr>
          <w:trHeight w:val="216"/>
        </w:trPr>
        <w:tc>
          <w:tcPr>
            <w:tcW w:w="26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plc, 10 Paternoster Square, London,</w:t>
            </w:r>
          </w:p>
        </w:tc>
      </w:tr>
      <w:tr>
        <w:trPr>
          <w:trHeight w:val="230"/>
        </w:trPr>
        <w:tc>
          <w:tcPr>
            <w:tcW w:w="2600" w:type="dxa"/>
            <w:vAlign w:val="bottom"/>
          </w:tcPr>
          <w:p>
            <w:pPr>
              <w:spacing w:after="0"/>
              <w:rPr>
                <w:sz w:val="20"/>
                <w:szCs w:val="20"/>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EC4M 7LS</w:t>
            </w: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Stephen O'Connor</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c/o: London Stock Exchange Group,</w:t>
            </w:r>
          </w:p>
        </w:tc>
      </w:tr>
      <w:tr>
        <w:trPr>
          <w:trHeight w:val="216"/>
        </w:trPr>
        <w:tc>
          <w:tcPr>
            <w:tcW w:w="26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plc, 10 Paternoster Square, London,</w:t>
            </w:r>
          </w:p>
        </w:tc>
      </w:tr>
      <w:tr>
        <w:trPr>
          <w:trHeight w:val="230"/>
        </w:trPr>
        <w:tc>
          <w:tcPr>
            <w:tcW w:w="2600" w:type="dxa"/>
            <w:vAlign w:val="bottom"/>
          </w:tcPr>
          <w:p>
            <w:pPr>
              <w:spacing w:after="0"/>
              <w:rPr>
                <w:sz w:val="20"/>
                <w:szCs w:val="20"/>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EC4M 7LS</w:t>
            </w: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Dr. Val Rahmani</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c/o: London Stock Exchange Group,</w:t>
            </w:r>
          </w:p>
        </w:tc>
      </w:tr>
      <w:tr>
        <w:trPr>
          <w:trHeight w:val="216"/>
        </w:trPr>
        <w:tc>
          <w:tcPr>
            <w:tcW w:w="26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plc, 10 Paternoster Square, London,</w:t>
            </w:r>
          </w:p>
        </w:tc>
      </w:tr>
      <w:tr>
        <w:trPr>
          <w:trHeight w:val="230"/>
        </w:trPr>
        <w:tc>
          <w:tcPr>
            <w:tcW w:w="2600" w:type="dxa"/>
            <w:vAlign w:val="bottom"/>
          </w:tcPr>
          <w:p>
            <w:pPr>
              <w:spacing w:after="0"/>
              <w:rPr>
                <w:sz w:val="20"/>
                <w:szCs w:val="20"/>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EC4M 7LS</w:t>
            </w:r>
          </w:p>
        </w:tc>
      </w:tr>
      <w:tr>
        <w:trPr>
          <w:trHeight w:val="1282"/>
        </w:trPr>
        <w:tc>
          <w:tcPr>
            <w:tcW w:w="2600" w:type="dxa"/>
            <w:vAlign w:val="bottom"/>
          </w:tcPr>
          <w:p>
            <w:pPr>
              <w:spacing w:after="0"/>
              <w:rPr>
                <w:sz w:val="20"/>
                <w:szCs w:val="20"/>
                <w:color w:val="auto"/>
              </w:rPr>
            </w:pPr>
            <w:r>
              <w:rPr>
                <w:rFonts w:ascii="Arial" w:cs="Arial" w:eastAsia="Arial" w:hAnsi="Arial"/>
                <w:sz w:val="18"/>
                <w:szCs w:val="18"/>
                <w:color w:val="auto"/>
              </w:rPr>
              <w:t>Douglas M. Steenland</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c/o: London Stock Exchange Group,</w:t>
            </w:r>
          </w:p>
        </w:tc>
      </w:tr>
      <w:tr>
        <w:trPr>
          <w:trHeight w:val="216"/>
        </w:trPr>
        <w:tc>
          <w:tcPr>
            <w:tcW w:w="2600" w:type="dxa"/>
            <w:vAlign w:val="bottom"/>
          </w:tcPr>
          <w:p>
            <w:pPr>
              <w:spacing w:after="0"/>
              <w:rPr>
                <w:sz w:val="18"/>
                <w:szCs w:val="18"/>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2"/>
              </w:rPr>
              <w:t>plc, 10 Paternoster Square, London,</w:t>
            </w:r>
          </w:p>
        </w:tc>
      </w:tr>
      <w:tr>
        <w:trPr>
          <w:trHeight w:val="230"/>
        </w:trPr>
        <w:tc>
          <w:tcPr>
            <w:tcW w:w="2600" w:type="dxa"/>
            <w:vAlign w:val="bottom"/>
          </w:tcPr>
          <w:p>
            <w:pPr>
              <w:spacing w:after="0"/>
              <w:rPr>
                <w:sz w:val="20"/>
                <w:szCs w:val="20"/>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EC4M 7LS</w:t>
            </w: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i w:val="1"/>
                <w:iCs w:val="1"/>
                <w:color w:val="auto"/>
              </w:rPr>
              <w:t>Refinitiv US PME LLC</w:t>
            </w: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32"/>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Title</w:t>
            </w:r>
          </w:p>
        </w:tc>
        <w:tc>
          <w:tcPr>
            <w:tcW w:w="220" w:type="dxa"/>
            <w:vAlign w:val="bottom"/>
          </w:tcPr>
          <w:p>
            <w:pPr>
              <w:spacing w:after="0"/>
              <w:rPr>
                <w:sz w:val="24"/>
                <w:szCs w:val="24"/>
                <w:color w:val="auto"/>
              </w:rPr>
            </w:pPr>
          </w:p>
        </w:tc>
        <w:tc>
          <w:tcPr>
            <w:tcW w:w="27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Principal Address</w:t>
            </w:r>
          </w:p>
        </w:tc>
      </w:tr>
      <w:tr>
        <w:trPr>
          <w:trHeight w:val="224"/>
        </w:trPr>
        <w:tc>
          <w:tcPr>
            <w:tcW w:w="2600" w:type="dxa"/>
            <w:vAlign w:val="bottom"/>
          </w:tcPr>
          <w:p>
            <w:pPr>
              <w:spacing w:after="0"/>
              <w:rPr>
                <w:sz w:val="20"/>
                <w:szCs w:val="20"/>
                <w:color w:val="auto"/>
              </w:rPr>
            </w:pPr>
            <w:r>
              <w:rPr>
                <w:rFonts w:ascii="Arial" w:cs="Arial" w:eastAsia="Arial" w:hAnsi="Arial"/>
                <w:sz w:val="18"/>
                <w:szCs w:val="18"/>
                <w:i w:val="1"/>
                <w:iCs w:val="1"/>
                <w:color w:val="auto"/>
              </w:rPr>
              <w:t>Directors</w:t>
            </w:r>
          </w:p>
        </w:tc>
        <w:tc>
          <w:tcPr>
            <w:tcW w:w="22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Richard Hoponick</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w w:val="91"/>
              </w:rPr>
              <w:t>1 Station Place, Stamford, CT 06902</w:t>
            </w:r>
          </w:p>
        </w:tc>
      </w:tr>
      <w:tr>
        <w:trPr>
          <w:trHeight w:val="634"/>
        </w:trPr>
        <w:tc>
          <w:tcPr>
            <w:tcW w:w="2600" w:type="dxa"/>
            <w:vAlign w:val="bottom"/>
          </w:tcPr>
          <w:p>
            <w:pPr>
              <w:spacing w:after="0"/>
              <w:rPr>
                <w:sz w:val="20"/>
                <w:szCs w:val="20"/>
                <w:color w:val="auto"/>
              </w:rPr>
            </w:pPr>
            <w:r>
              <w:rPr>
                <w:rFonts w:ascii="Arial" w:cs="Arial" w:eastAsia="Arial" w:hAnsi="Arial"/>
                <w:sz w:val="18"/>
                <w:szCs w:val="18"/>
                <w:color w:val="auto"/>
              </w:rPr>
              <w:t>Mark Irving</w:t>
            </w: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26 Thomson Place, Boston, MA</w:t>
            </w:r>
          </w:p>
        </w:tc>
      </w:tr>
      <w:tr>
        <w:trPr>
          <w:trHeight w:val="230"/>
        </w:trPr>
        <w:tc>
          <w:tcPr>
            <w:tcW w:w="2600" w:type="dxa"/>
            <w:vAlign w:val="bottom"/>
          </w:tcPr>
          <w:p>
            <w:pPr>
              <w:spacing w:after="0"/>
              <w:rPr>
                <w:sz w:val="20"/>
                <w:szCs w:val="20"/>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02210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Chairman of the Board of LSEG</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United States, Great Britain</w:t>
            </w:r>
          </w:p>
        </w:tc>
      </w:tr>
      <w:tr>
        <w:trPr>
          <w:trHeight w:val="850"/>
        </w:trPr>
        <w:tc>
          <w:tcPr>
            <w:tcW w:w="2680" w:type="dxa"/>
            <w:vAlign w:val="bottom"/>
          </w:tcPr>
          <w:p>
            <w:pPr>
              <w:spacing w:after="0"/>
              <w:rPr>
                <w:sz w:val="20"/>
                <w:szCs w:val="20"/>
                <w:color w:val="auto"/>
              </w:rPr>
            </w:pPr>
            <w:r>
              <w:rPr>
                <w:rFonts w:ascii="Arial" w:cs="Arial" w:eastAsia="Arial" w:hAnsi="Arial"/>
                <w:sz w:val="18"/>
                <w:szCs w:val="18"/>
                <w:color w:val="auto"/>
              </w:rPr>
              <w:t>Chairman of the Board of</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France, Switzerland</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LyondellBasell Industries NV,</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7"/>
              </w:rPr>
              <w:t>Chairman of the Board of Singular</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Bank S.A.U. and Non-Executive</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Director of WPP plc.</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rPr>
              <w:t>Group Chief Executive Officer of</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Compass Group PLC.</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634"/>
        </w:trPr>
        <w:tc>
          <w:tcPr>
            <w:tcW w:w="2680" w:type="dxa"/>
            <w:vAlign w:val="bottom"/>
          </w:tcPr>
          <w:p>
            <w:pPr>
              <w:spacing w:after="0"/>
              <w:rPr>
                <w:sz w:val="20"/>
                <w:szCs w:val="20"/>
                <w:color w:val="auto"/>
              </w:rPr>
            </w:pPr>
            <w:r>
              <w:rPr>
                <w:rFonts w:ascii="Arial" w:cs="Arial" w:eastAsia="Arial" w:hAnsi="Arial"/>
                <w:sz w:val="18"/>
                <w:szCs w:val="18"/>
                <w:color w:val="auto"/>
                <w:w w:val="98"/>
              </w:rPr>
              <w:t>Senior Managing Director and co-</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United States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head of U.S. Acquisitions for</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w w:val="95"/>
              </w:rPr>
              <w:t>Blackstone’s Private Equity Group.</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w w:val="93"/>
              </w:rPr>
              <w:t>Head of Finance, Thomson Reuters</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 Canada</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Corporates segment.</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634"/>
        </w:trPr>
        <w:tc>
          <w:tcPr>
            <w:tcW w:w="2680" w:type="dxa"/>
            <w:vAlign w:val="bottom"/>
          </w:tcPr>
          <w:p>
            <w:pPr>
              <w:spacing w:after="0"/>
              <w:rPr>
                <w:sz w:val="20"/>
                <w:szCs w:val="20"/>
                <w:color w:val="auto"/>
              </w:rPr>
            </w:pPr>
            <w:r>
              <w:rPr>
                <w:rFonts w:ascii="Arial" w:cs="Arial" w:eastAsia="Arial" w:hAnsi="Arial"/>
                <w:sz w:val="18"/>
                <w:szCs w:val="18"/>
                <w:color w:val="auto"/>
                <w:w w:val="98"/>
              </w:rPr>
              <w:t>Non-Executive Director of Evolute</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United States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Group AG and Non -Executive</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Director of Voya Financial, Inc.</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Clinical Associate Professor of</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4"/>
              </w:rPr>
              <w:t>Finance at the New York University</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w w:val="90"/>
              </w:rPr>
              <w:t>Leonard N. Stern School of Business</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rPr>
              <w:t>Chair of the Board of Directors of</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Landsec Group plc</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634"/>
        </w:trPr>
        <w:tc>
          <w:tcPr>
            <w:tcW w:w="2680" w:type="dxa"/>
            <w:vAlign w:val="bottom"/>
          </w:tcPr>
          <w:p>
            <w:pPr>
              <w:spacing w:after="0"/>
              <w:rPr>
                <w:sz w:val="20"/>
                <w:szCs w:val="20"/>
                <w:color w:val="auto"/>
              </w:rPr>
            </w:pPr>
            <w:r>
              <w:rPr>
                <w:rFonts w:ascii="Arial" w:cs="Arial" w:eastAsia="Arial" w:hAnsi="Arial"/>
                <w:sz w:val="18"/>
                <w:szCs w:val="18"/>
                <w:color w:val="auto"/>
                <w:w w:val="97"/>
              </w:rPr>
              <w:t>Chairman of the Board of Quantile</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2"/>
              </w:rPr>
              <w:t>Technologies Limited and Chairman</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of HSBC Bank plc</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rPr>
              <w:t>Non-Executive Director at</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United States, Great Britain</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8"/>
              </w:rPr>
              <w:t>RenaissanceRe Holdings Limited,</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Non-Executive Director of</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Computer Task Group Inc, Non-</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Executive Director of Entrust</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Datacard and Non-Executive</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Director of Rungway.</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w w:val="91"/>
              </w:rPr>
              <w:t>Senior Adviser to Blackstone Private</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United States</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Equity Group</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1080"/>
        </w:trPr>
        <w:tc>
          <w:tcPr>
            <w:tcW w:w="26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Principal Occupation</w:t>
            </w:r>
          </w:p>
        </w:tc>
        <w:tc>
          <w:tcPr>
            <w:tcW w:w="220" w:type="dxa"/>
            <w:vAlign w:val="bottom"/>
          </w:tcPr>
          <w:p>
            <w:pPr>
              <w:spacing w:after="0"/>
              <w:rPr>
                <w:sz w:val="24"/>
                <w:szCs w:val="24"/>
                <w:color w:val="auto"/>
              </w:rPr>
            </w:pPr>
          </w:p>
        </w:tc>
        <w:tc>
          <w:tcPr>
            <w:tcW w:w="25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Citizenship</w:t>
            </w:r>
          </w:p>
        </w:tc>
      </w:tr>
      <w:tr>
        <w:trPr>
          <w:trHeight w:val="627"/>
        </w:trPr>
        <w:tc>
          <w:tcPr>
            <w:tcW w:w="2680" w:type="dxa"/>
            <w:vAlign w:val="bottom"/>
          </w:tcPr>
          <w:p>
            <w:pPr>
              <w:spacing w:after="0"/>
              <w:rPr>
                <w:sz w:val="20"/>
                <w:szCs w:val="20"/>
                <w:color w:val="auto"/>
              </w:rPr>
            </w:pPr>
            <w:r>
              <w:rPr>
                <w:rFonts w:ascii="Arial" w:cs="Arial" w:eastAsia="Arial" w:hAnsi="Arial"/>
                <w:sz w:val="18"/>
                <w:szCs w:val="18"/>
                <w:color w:val="auto"/>
              </w:rPr>
              <w:t>Global Head of Audit &amp; Control,</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United States</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Refinitiv</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rPr>
              <w:t>Assistant General Counsel,</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United States</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Corporate &amp; Sourcing, Refinitiv</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ectPr>
          <w:pgSz w:w="11900" w:h="16838" w:orient="portrait"/>
          <w:cols w:equalWidth="0" w:num="2">
            <w:col w:w="5520" w:space="240"/>
            <w:col w:w="5480"/>
          </w:cols>
          <w:pgMar w:left="320" w:top="935"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b w:val="1"/>
                <w:bCs w:val="1"/>
                <w:i w:val="1"/>
                <w:iCs w:val="1"/>
                <w:color w:val="auto"/>
              </w:rPr>
              <w:t>Refinitiv US LLC</w:t>
            </w: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color w:val="auto"/>
              </w:rPr>
              <w:t>Name and Title</w:t>
            </w:r>
          </w:p>
        </w:tc>
        <w:tc>
          <w:tcPr>
            <w:tcW w:w="220" w:type="dxa"/>
            <w:vAlign w:val="bottom"/>
          </w:tcPr>
          <w:p>
            <w:pPr>
              <w:spacing w:after="0"/>
              <w:rPr>
                <w:sz w:val="24"/>
                <w:szCs w:val="24"/>
                <w:color w:val="auto"/>
              </w:rPr>
            </w:pPr>
          </w:p>
        </w:tc>
        <w:tc>
          <w:tcPr>
            <w:tcW w:w="2940" w:type="dxa"/>
            <w:vAlign w:val="bottom"/>
            <w:gridSpan w:val="2"/>
          </w:tcPr>
          <w:p>
            <w:pPr>
              <w:ind w:left="660"/>
              <w:spacing w:after="0"/>
              <w:rPr>
                <w:sz w:val="20"/>
                <w:szCs w:val="20"/>
                <w:color w:val="auto"/>
              </w:rPr>
            </w:pPr>
            <w:r>
              <w:rPr>
                <w:rFonts w:ascii="Arial" w:cs="Arial" w:eastAsia="Arial" w:hAnsi="Arial"/>
                <w:sz w:val="18"/>
                <w:szCs w:val="18"/>
                <w:b w:val="1"/>
                <w:bCs w:val="1"/>
                <w:color w:val="auto"/>
              </w:rPr>
              <w:t>Principal Address</w:t>
            </w:r>
          </w:p>
        </w:tc>
        <w:tc>
          <w:tcPr>
            <w:tcW w:w="2680" w:type="dxa"/>
            <w:vAlign w:val="bottom"/>
          </w:tcPr>
          <w:p>
            <w:pPr>
              <w:ind w:left="520"/>
              <w:spacing w:after="0"/>
              <w:rPr>
                <w:sz w:val="20"/>
                <w:szCs w:val="20"/>
                <w:color w:val="auto"/>
              </w:rPr>
            </w:pPr>
            <w:r>
              <w:rPr>
                <w:rFonts w:ascii="Arial" w:cs="Arial" w:eastAsia="Arial" w:hAnsi="Arial"/>
                <w:sz w:val="18"/>
                <w:szCs w:val="18"/>
                <w:b w:val="1"/>
                <w:bCs w:val="1"/>
                <w:color w:val="auto"/>
              </w:rPr>
              <w:t>Principal Occupation</w:t>
            </w:r>
          </w:p>
        </w:tc>
        <w:tc>
          <w:tcPr>
            <w:tcW w:w="220" w:type="dxa"/>
            <w:vAlign w:val="bottom"/>
          </w:tcPr>
          <w:p>
            <w:pPr>
              <w:spacing w:after="0"/>
              <w:rPr>
                <w:sz w:val="24"/>
                <w:szCs w:val="24"/>
                <w:color w:val="auto"/>
              </w:rPr>
            </w:pPr>
          </w:p>
        </w:tc>
        <w:tc>
          <w:tcPr>
            <w:tcW w:w="2580" w:type="dxa"/>
            <w:vAlign w:val="bottom"/>
          </w:tcPr>
          <w:p>
            <w:pPr>
              <w:ind w:left="860"/>
              <w:spacing w:after="0"/>
              <w:rPr>
                <w:sz w:val="20"/>
                <w:szCs w:val="20"/>
                <w:color w:val="auto"/>
              </w:rPr>
            </w:pPr>
            <w:r>
              <w:rPr>
                <w:rFonts w:ascii="Arial" w:cs="Arial" w:eastAsia="Arial" w:hAnsi="Arial"/>
                <w:sz w:val="18"/>
                <w:szCs w:val="18"/>
                <w:b w:val="1"/>
                <w:bCs w:val="1"/>
                <w:color w:val="auto"/>
              </w:rPr>
              <w:t>Citizenship</w:t>
            </w:r>
          </w:p>
        </w:tc>
      </w:tr>
      <w:tr>
        <w:trPr>
          <w:trHeight w:val="224"/>
        </w:trPr>
        <w:tc>
          <w:tcPr>
            <w:tcW w:w="26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Directors</w:t>
            </w:r>
          </w:p>
        </w:tc>
        <w:tc>
          <w:tcPr>
            <w:tcW w:w="220" w:type="dxa"/>
            <w:vAlign w:val="bottom"/>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Borders>
              <w:top w:val="single" w:sz="8" w:color="auto"/>
            </w:tcBorders>
          </w:tcPr>
          <w:p>
            <w:pPr>
              <w:spacing w:after="0"/>
              <w:rPr>
                <w:sz w:val="19"/>
                <w:szCs w:val="19"/>
                <w:color w:val="auto"/>
              </w:rPr>
            </w:pPr>
          </w:p>
        </w:tc>
      </w:tr>
      <w:tr>
        <w:trPr>
          <w:trHeight w:val="403"/>
        </w:trPr>
        <w:tc>
          <w:tcPr>
            <w:tcW w:w="2600" w:type="dxa"/>
            <w:vAlign w:val="bottom"/>
          </w:tcPr>
          <w:p>
            <w:pPr>
              <w:spacing w:after="0"/>
              <w:rPr>
                <w:sz w:val="20"/>
                <w:szCs w:val="20"/>
                <w:color w:val="auto"/>
              </w:rPr>
            </w:pPr>
            <w:r>
              <w:rPr>
                <w:rFonts w:ascii="Arial" w:cs="Arial" w:eastAsia="Arial" w:hAnsi="Arial"/>
                <w:sz w:val="18"/>
                <w:szCs w:val="18"/>
                <w:color w:val="auto"/>
              </w:rPr>
              <w:t>Richard Hoponick</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w w:val="99"/>
              </w:rPr>
              <w:t>1 Station Place, Stamford, CT 06902</w:t>
            </w:r>
          </w:p>
        </w:tc>
        <w:tc>
          <w:tcPr>
            <w:tcW w:w="2680" w:type="dxa"/>
            <w:vAlign w:val="bottom"/>
          </w:tcPr>
          <w:p>
            <w:pPr>
              <w:spacing w:after="0"/>
              <w:rPr>
                <w:sz w:val="20"/>
                <w:szCs w:val="20"/>
                <w:color w:val="auto"/>
              </w:rPr>
            </w:pPr>
            <w:r>
              <w:rPr>
                <w:rFonts w:ascii="Arial" w:cs="Arial" w:eastAsia="Arial" w:hAnsi="Arial"/>
                <w:sz w:val="18"/>
                <w:szCs w:val="18"/>
                <w:color w:val="auto"/>
              </w:rPr>
              <w:t>Global Head of Audit &amp; Control,</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United States</w:t>
            </w:r>
          </w:p>
        </w:tc>
      </w:tr>
      <w:tr>
        <w:trPr>
          <w:trHeight w:val="230"/>
        </w:trPr>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Refinitiv</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Mark Irving</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26 Thomson Place, Boston, MA</w:t>
            </w:r>
          </w:p>
        </w:tc>
        <w:tc>
          <w:tcPr>
            <w:tcW w:w="2680" w:type="dxa"/>
            <w:vAlign w:val="bottom"/>
          </w:tcPr>
          <w:p>
            <w:pPr>
              <w:spacing w:after="0"/>
              <w:rPr>
                <w:sz w:val="20"/>
                <w:szCs w:val="20"/>
                <w:color w:val="auto"/>
              </w:rPr>
            </w:pPr>
            <w:r>
              <w:rPr>
                <w:rFonts w:ascii="Arial" w:cs="Arial" w:eastAsia="Arial" w:hAnsi="Arial"/>
                <w:sz w:val="18"/>
                <w:szCs w:val="18"/>
                <w:color w:val="auto"/>
              </w:rPr>
              <w:t>Assistant General Counsel,</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United States</w:t>
            </w:r>
          </w:p>
        </w:tc>
      </w:tr>
      <w:tr>
        <w:trPr>
          <w:trHeight w:val="230"/>
        </w:trPr>
        <w:tc>
          <w:tcPr>
            <w:tcW w:w="2600" w:type="dxa"/>
            <w:vAlign w:val="bottom"/>
          </w:tcPr>
          <w:p>
            <w:pPr>
              <w:spacing w:after="0"/>
              <w:rPr>
                <w:sz w:val="20"/>
                <w:szCs w:val="20"/>
                <w:color w:val="auto"/>
              </w:rPr>
            </w:pPr>
          </w:p>
        </w:tc>
        <w:tc>
          <w:tcPr>
            <w:tcW w:w="2920" w:type="dxa"/>
            <w:vAlign w:val="bottom"/>
            <w:gridSpan w:val="2"/>
          </w:tcPr>
          <w:p>
            <w:pPr>
              <w:ind w:left="220"/>
              <w:spacing w:after="0"/>
              <w:rPr>
                <w:sz w:val="20"/>
                <w:szCs w:val="20"/>
                <w:color w:val="auto"/>
              </w:rPr>
            </w:pPr>
            <w:r>
              <w:rPr>
                <w:rFonts w:ascii="Arial" w:cs="Arial" w:eastAsia="Arial" w:hAnsi="Arial"/>
                <w:sz w:val="18"/>
                <w:szCs w:val="18"/>
                <w:color w:val="auto"/>
              </w:rPr>
              <w:t>02210</w:t>
            </w: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Corporate &amp; Sourcing, Refinitiv</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i w:val="1"/>
                <w:iCs w:val="1"/>
                <w:color w:val="auto"/>
              </w:rPr>
              <w:t>LSEGA, Inc.</w:t>
            </w: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198" w:lineRule="exact"/>
        <w:rPr>
          <w:sz w:val="20"/>
          <w:szCs w:val="20"/>
          <w:color w:val="auto"/>
        </w:rPr>
      </w:pPr>
    </w:p>
    <w:p>
      <w:pPr>
        <w:sectPr>
          <w:pgSz w:w="11900" w:h="16838" w:orient="portrait"/>
          <w:cols w:equalWidth="0" w:num="1">
            <w:col w:w="11240"/>
          </w:cols>
          <w:pgMar w:left="320" w:top="908" w:right="339" w:bottom="1440" w:gutter="0" w:footer="0" w:header="0"/>
        </w:sectPr>
      </w:pPr>
    </w:p>
    <w:p>
      <w:pPr>
        <w:spacing w:after="0"/>
        <w:rPr>
          <w:sz w:val="20"/>
          <w:szCs w:val="20"/>
          <w:color w:val="auto"/>
        </w:rPr>
      </w:pPr>
      <w:r>
        <w:rPr>
          <w:rFonts w:ascii="Arial" w:cs="Arial" w:eastAsia="Arial" w:hAnsi="Arial"/>
          <w:sz w:val="18"/>
          <w:szCs w:val="18"/>
          <w:b w:val="1"/>
          <w:bCs w:val="1"/>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459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Michael Ferraro</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James Kerton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Patricia Wolff</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Refinitiv TW Holdings Ltd.</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Arial" w:cs="Arial" w:eastAsia="Arial" w:hAnsi="Arial"/>
          <w:sz w:val="18"/>
          <w:szCs w:val="18"/>
          <w:b w:val="1"/>
          <w:bCs w:val="1"/>
          <w:color w:val="auto"/>
        </w:rPr>
        <w:t>Principal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1714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40"/>
        <w:spacing w:after="0" w:line="214" w:lineRule="auto"/>
        <w:rPr>
          <w:sz w:val="20"/>
          <w:szCs w:val="20"/>
          <w:color w:val="auto"/>
        </w:rPr>
      </w:pPr>
      <w:r>
        <w:rPr>
          <w:rFonts w:ascii="Arial" w:cs="Arial" w:eastAsia="Arial" w:hAnsi="Arial"/>
          <w:sz w:val="18"/>
          <w:szCs w:val="18"/>
          <w:color w:val="auto"/>
        </w:rPr>
        <w:t>c/o: 28 Liberty Street,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10005</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 London Stock Exchange Group plc, 10 Paternoster Square, London EC4M 7LS</w:t>
      </w:r>
    </w:p>
    <w:p>
      <w:pPr>
        <w:spacing w:after="0" w:line="187"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28 Liberty Street,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10005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Principal Occupation</w:t>
            </w:r>
          </w:p>
        </w:tc>
        <w:tc>
          <w:tcPr>
            <w:tcW w:w="220" w:type="dxa"/>
            <w:vAlign w:val="bottom"/>
          </w:tcPr>
          <w:p>
            <w:pPr>
              <w:spacing w:after="0"/>
              <w:rPr>
                <w:sz w:val="20"/>
                <w:szCs w:val="20"/>
                <w:color w:val="auto"/>
              </w:rPr>
            </w:pPr>
          </w:p>
        </w:tc>
        <w:tc>
          <w:tcPr>
            <w:tcW w:w="25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Citizenship</w:t>
            </w:r>
          </w:p>
        </w:tc>
      </w:tr>
      <w:tr>
        <w:trPr>
          <w:trHeight w:val="642"/>
        </w:trPr>
        <w:tc>
          <w:tcPr>
            <w:tcW w:w="2680" w:type="dxa"/>
            <w:vAlign w:val="bottom"/>
          </w:tcPr>
          <w:p>
            <w:pPr>
              <w:spacing w:after="0"/>
              <w:rPr>
                <w:sz w:val="20"/>
                <w:szCs w:val="20"/>
                <w:color w:val="auto"/>
              </w:rPr>
            </w:pPr>
            <w:r>
              <w:rPr>
                <w:rFonts w:ascii="Arial" w:cs="Arial" w:eastAsia="Arial" w:hAnsi="Arial"/>
                <w:sz w:val="18"/>
                <w:szCs w:val="18"/>
                <w:color w:val="auto"/>
                <w:w w:val="96"/>
              </w:rPr>
              <w:t>Head of Finance, Americas, LSEG</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United States</w:t>
            </w:r>
          </w:p>
        </w:tc>
      </w:tr>
      <w:tr>
        <w:trPr>
          <w:trHeight w:val="674"/>
        </w:trPr>
        <w:tc>
          <w:tcPr>
            <w:tcW w:w="2680" w:type="dxa"/>
            <w:vAlign w:val="bottom"/>
          </w:tcPr>
          <w:p>
            <w:pPr>
              <w:spacing w:after="0"/>
              <w:rPr>
                <w:sz w:val="20"/>
                <w:szCs w:val="20"/>
                <w:color w:val="auto"/>
              </w:rPr>
            </w:pPr>
            <w:r>
              <w:rPr>
                <w:rFonts w:ascii="Arial" w:cs="Arial" w:eastAsia="Arial" w:hAnsi="Arial"/>
                <w:sz w:val="18"/>
                <w:szCs w:val="18"/>
                <w:color w:val="auto"/>
              </w:rPr>
              <w:t>Head of Legal for Corporate</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Transactions, LSEG</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648"/>
        </w:trPr>
        <w:tc>
          <w:tcPr>
            <w:tcW w:w="2680" w:type="dxa"/>
            <w:vAlign w:val="bottom"/>
          </w:tcPr>
          <w:p>
            <w:pPr>
              <w:spacing w:after="0"/>
              <w:rPr>
                <w:sz w:val="20"/>
                <w:szCs w:val="20"/>
                <w:color w:val="auto"/>
              </w:rPr>
            </w:pPr>
            <w:r>
              <w:rPr>
                <w:rFonts w:ascii="Arial" w:cs="Arial" w:eastAsia="Arial" w:hAnsi="Arial"/>
                <w:sz w:val="18"/>
                <w:szCs w:val="18"/>
                <w:color w:val="auto"/>
              </w:rPr>
              <w:t>US Financial Controller, LSEG</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United States</w:t>
            </w:r>
          </w:p>
        </w:tc>
      </w:tr>
    </w:tbl>
    <w:p>
      <w:pPr>
        <w:spacing w:after="0" w:line="842" w:lineRule="exact"/>
        <w:rPr>
          <w:sz w:val="20"/>
          <w:szCs w:val="20"/>
          <w:color w:val="auto"/>
        </w:rPr>
      </w:pPr>
    </w:p>
    <w:p>
      <w:pPr>
        <w:sectPr>
          <w:pgSz w:w="11900" w:h="16838" w:orient="portrait"/>
          <w:cols w:equalWidth="0" w:num="3">
            <w:col w:w="2100" w:space="720"/>
            <w:col w:w="2540" w:space="400"/>
            <w:col w:w="5480"/>
          </w:cols>
          <w:pgMar w:left="320" w:top="908" w:right="339" w:bottom="1440" w:gutter="0" w:footer="0" w:header="0"/>
          <w:type w:val="continuous"/>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Name and Title</w:t>
            </w:r>
          </w:p>
        </w:tc>
        <w:tc>
          <w:tcPr>
            <w:tcW w:w="220" w:type="dxa"/>
            <w:vAlign w:val="bottom"/>
          </w:tcPr>
          <w:p>
            <w:pPr>
              <w:spacing w:after="0"/>
              <w:rPr>
                <w:sz w:val="20"/>
                <w:szCs w:val="20"/>
                <w:color w:val="auto"/>
              </w:rPr>
            </w:pPr>
          </w:p>
        </w:tc>
        <w:tc>
          <w:tcPr>
            <w:tcW w:w="2940" w:type="dxa"/>
            <w:vAlign w:val="bottom"/>
            <w:gridSpan w:val="2"/>
          </w:tcPr>
          <w:p>
            <w:pPr>
              <w:ind w:left="660"/>
              <w:spacing w:after="0"/>
              <w:rPr>
                <w:sz w:val="20"/>
                <w:szCs w:val="20"/>
                <w:color w:val="auto"/>
              </w:rPr>
            </w:pPr>
            <w:r>
              <w:rPr>
                <w:rFonts w:ascii="Arial" w:cs="Arial" w:eastAsia="Arial" w:hAnsi="Arial"/>
                <w:sz w:val="18"/>
                <w:szCs w:val="18"/>
                <w:b w:val="1"/>
                <w:bCs w:val="1"/>
                <w:color w:val="auto"/>
              </w:rPr>
              <w:t>Principal Address</w:t>
            </w:r>
          </w:p>
        </w:tc>
        <w:tc>
          <w:tcPr>
            <w:tcW w:w="2680" w:type="dxa"/>
            <w:vAlign w:val="bottom"/>
          </w:tcPr>
          <w:p>
            <w:pPr>
              <w:ind w:left="520"/>
              <w:spacing w:after="0"/>
              <w:rPr>
                <w:sz w:val="20"/>
                <w:szCs w:val="20"/>
                <w:color w:val="auto"/>
              </w:rPr>
            </w:pPr>
            <w:r>
              <w:rPr>
                <w:rFonts w:ascii="Arial" w:cs="Arial" w:eastAsia="Arial" w:hAnsi="Arial"/>
                <w:sz w:val="18"/>
                <w:szCs w:val="18"/>
                <w:b w:val="1"/>
                <w:bCs w:val="1"/>
                <w:color w:val="auto"/>
              </w:rPr>
              <w:t>Principal Occupation</w:t>
            </w:r>
          </w:p>
        </w:tc>
        <w:tc>
          <w:tcPr>
            <w:tcW w:w="220" w:type="dxa"/>
            <w:vAlign w:val="bottom"/>
          </w:tcPr>
          <w:p>
            <w:pPr>
              <w:spacing w:after="0"/>
              <w:rPr>
                <w:sz w:val="20"/>
                <w:szCs w:val="20"/>
                <w:color w:val="auto"/>
              </w:rPr>
            </w:pPr>
          </w:p>
        </w:tc>
        <w:tc>
          <w:tcPr>
            <w:tcW w:w="2580" w:type="dxa"/>
            <w:vAlign w:val="bottom"/>
          </w:tcPr>
          <w:p>
            <w:pPr>
              <w:ind w:left="860"/>
              <w:spacing w:after="0"/>
              <w:rPr>
                <w:sz w:val="20"/>
                <w:szCs w:val="20"/>
                <w:color w:val="auto"/>
              </w:rPr>
            </w:pPr>
            <w:r>
              <w:rPr>
                <w:rFonts w:ascii="Arial" w:cs="Arial" w:eastAsia="Arial" w:hAnsi="Arial"/>
                <w:sz w:val="18"/>
                <w:szCs w:val="18"/>
                <w:b w:val="1"/>
                <w:bCs w:val="1"/>
                <w:color w:val="auto"/>
              </w:rPr>
              <w:t>Citizenship</w:t>
            </w:r>
          </w:p>
        </w:tc>
      </w:tr>
      <w:tr>
        <w:trPr>
          <w:trHeight w:val="224"/>
        </w:trPr>
        <w:tc>
          <w:tcPr>
            <w:tcW w:w="26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Directors</w:t>
            </w:r>
          </w:p>
        </w:tc>
        <w:tc>
          <w:tcPr>
            <w:tcW w:w="220" w:type="dxa"/>
            <w:vAlign w:val="bottom"/>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Borders>
              <w:top w:val="single" w:sz="8" w:color="auto"/>
            </w:tcBorders>
          </w:tcPr>
          <w:p>
            <w:pPr>
              <w:spacing w:after="0"/>
              <w:rPr>
                <w:sz w:val="19"/>
                <w:szCs w:val="19"/>
                <w:color w:val="auto"/>
              </w:rPr>
            </w:pPr>
          </w:p>
        </w:tc>
      </w:tr>
      <w:tr>
        <w:trPr>
          <w:trHeight w:val="403"/>
        </w:trPr>
        <w:tc>
          <w:tcPr>
            <w:tcW w:w="2600" w:type="dxa"/>
            <w:vAlign w:val="bottom"/>
          </w:tcPr>
          <w:p>
            <w:pPr>
              <w:spacing w:after="0"/>
              <w:rPr>
                <w:sz w:val="20"/>
                <w:szCs w:val="20"/>
                <w:color w:val="auto"/>
              </w:rPr>
            </w:pPr>
            <w:r>
              <w:rPr>
                <w:rFonts w:ascii="Arial" w:cs="Arial" w:eastAsia="Arial" w:hAnsi="Arial"/>
                <w:sz w:val="18"/>
                <w:szCs w:val="18"/>
                <w:color w:val="auto"/>
              </w:rPr>
              <w:t>Timothy Knowland</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Five Canada Square, Canary Wharf,</w:t>
            </w:r>
          </w:p>
        </w:tc>
        <w:tc>
          <w:tcPr>
            <w:tcW w:w="2680" w:type="dxa"/>
            <w:vAlign w:val="bottom"/>
          </w:tcPr>
          <w:p>
            <w:pPr>
              <w:spacing w:after="0"/>
              <w:rPr>
                <w:sz w:val="20"/>
                <w:szCs w:val="20"/>
                <w:color w:val="auto"/>
              </w:rPr>
            </w:pPr>
            <w:r>
              <w:rPr>
                <w:rFonts w:ascii="Arial" w:cs="Arial" w:eastAsia="Arial" w:hAnsi="Arial"/>
                <w:sz w:val="18"/>
                <w:szCs w:val="18"/>
                <w:color w:val="auto"/>
              </w:rPr>
              <w:t>General Counsel, Corporate</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16"/>
        </w:trPr>
        <w:tc>
          <w:tcPr>
            <w:tcW w:w="26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London E14 5AQ</w:t>
            </w:r>
          </w:p>
        </w:tc>
        <w:tc>
          <w:tcPr>
            <w:tcW w:w="2680" w:type="dxa"/>
            <w:vAlign w:val="bottom"/>
          </w:tcPr>
          <w:p>
            <w:pPr>
              <w:spacing w:after="0"/>
              <w:rPr>
                <w:sz w:val="20"/>
                <w:szCs w:val="20"/>
                <w:color w:val="auto"/>
              </w:rPr>
            </w:pPr>
            <w:r>
              <w:rPr>
                <w:rFonts w:ascii="Arial" w:cs="Arial" w:eastAsia="Arial" w:hAnsi="Arial"/>
                <w:sz w:val="18"/>
                <w:szCs w:val="18"/>
                <w:color w:val="auto"/>
                <w:w w:val="96"/>
              </w:rPr>
              <w:t>Transactions, Corporate Functions</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and Anti-trust, LSEG</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Peter Thorn</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Five Canada Square, Canary Wharf,</w:t>
            </w:r>
          </w:p>
        </w:tc>
        <w:tc>
          <w:tcPr>
            <w:tcW w:w="2680" w:type="dxa"/>
            <w:vAlign w:val="bottom"/>
          </w:tcPr>
          <w:p>
            <w:pPr>
              <w:spacing w:after="0"/>
              <w:rPr>
                <w:sz w:val="20"/>
                <w:szCs w:val="20"/>
                <w:color w:val="auto"/>
              </w:rPr>
            </w:pPr>
            <w:r>
              <w:rPr>
                <w:rFonts w:ascii="Arial" w:cs="Arial" w:eastAsia="Arial" w:hAnsi="Arial"/>
                <w:sz w:val="18"/>
                <w:szCs w:val="18"/>
                <w:color w:val="auto"/>
                <w:w w:val="97"/>
              </w:rPr>
              <w:t>Global Transfer Pricing Controller,</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30"/>
        </w:trPr>
        <w:tc>
          <w:tcPr>
            <w:tcW w:w="26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London E14 5AQ</w:t>
            </w:r>
          </w:p>
        </w:tc>
        <w:tc>
          <w:tcPr>
            <w:tcW w:w="2680" w:type="dxa"/>
            <w:vAlign w:val="bottom"/>
          </w:tcPr>
          <w:p>
            <w:pPr>
              <w:spacing w:after="0"/>
              <w:rPr>
                <w:sz w:val="20"/>
                <w:szCs w:val="20"/>
                <w:color w:val="auto"/>
              </w:rPr>
            </w:pPr>
            <w:r>
              <w:rPr>
                <w:rFonts w:ascii="Arial" w:cs="Arial" w:eastAsia="Arial" w:hAnsi="Arial"/>
                <w:sz w:val="18"/>
                <w:szCs w:val="18"/>
                <w:color w:val="auto"/>
              </w:rPr>
              <w:t>LSEG</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i w:val="1"/>
                <w:iCs w:val="1"/>
                <w:color w:val="auto"/>
              </w:rPr>
              <w:t>Refinitiv Parent Limited</w:t>
            </w: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color w:val="auto"/>
              </w:rPr>
              <w:t>Name and Title</w:t>
            </w:r>
          </w:p>
        </w:tc>
        <w:tc>
          <w:tcPr>
            <w:tcW w:w="220" w:type="dxa"/>
            <w:vAlign w:val="bottom"/>
          </w:tcPr>
          <w:p>
            <w:pPr>
              <w:spacing w:after="0"/>
              <w:rPr>
                <w:sz w:val="24"/>
                <w:szCs w:val="24"/>
                <w:color w:val="auto"/>
              </w:rPr>
            </w:pPr>
          </w:p>
        </w:tc>
        <w:tc>
          <w:tcPr>
            <w:tcW w:w="2940" w:type="dxa"/>
            <w:vAlign w:val="bottom"/>
            <w:gridSpan w:val="2"/>
          </w:tcPr>
          <w:p>
            <w:pPr>
              <w:ind w:left="660"/>
              <w:spacing w:after="0"/>
              <w:rPr>
                <w:sz w:val="20"/>
                <w:szCs w:val="20"/>
                <w:color w:val="auto"/>
              </w:rPr>
            </w:pPr>
            <w:r>
              <w:rPr>
                <w:rFonts w:ascii="Arial" w:cs="Arial" w:eastAsia="Arial" w:hAnsi="Arial"/>
                <w:sz w:val="18"/>
                <w:szCs w:val="18"/>
                <w:b w:val="1"/>
                <w:bCs w:val="1"/>
                <w:color w:val="auto"/>
              </w:rPr>
              <w:t>Principal Address</w:t>
            </w:r>
          </w:p>
        </w:tc>
        <w:tc>
          <w:tcPr>
            <w:tcW w:w="2680" w:type="dxa"/>
            <w:vAlign w:val="bottom"/>
          </w:tcPr>
          <w:p>
            <w:pPr>
              <w:ind w:left="520"/>
              <w:spacing w:after="0"/>
              <w:rPr>
                <w:sz w:val="20"/>
                <w:szCs w:val="20"/>
                <w:color w:val="auto"/>
              </w:rPr>
            </w:pPr>
            <w:r>
              <w:rPr>
                <w:rFonts w:ascii="Arial" w:cs="Arial" w:eastAsia="Arial" w:hAnsi="Arial"/>
                <w:sz w:val="18"/>
                <w:szCs w:val="18"/>
                <w:b w:val="1"/>
                <w:bCs w:val="1"/>
                <w:color w:val="auto"/>
              </w:rPr>
              <w:t>Principal Occupation</w:t>
            </w:r>
          </w:p>
        </w:tc>
        <w:tc>
          <w:tcPr>
            <w:tcW w:w="220" w:type="dxa"/>
            <w:vAlign w:val="bottom"/>
          </w:tcPr>
          <w:p>
            <w:pPr>
              <w:spacing w:after="0"/>
              <w:rPr>
                <w:sz w:val="24"/>
                <w:szCs w:val="24"/>
                <w:color w:val="auto"/>
              </w:rPr>
            </w:pPr>
          </w:p>
        </w:tc>
        <w:tc>
          <w:tcPr>
            <w:tcW w:w="2580" w:type="dxa"/>
            <w:vAlign w:val="bottom"/>
          </w:tcPr>
          <w:p>
            <w:pPr>
              <w:ind w:left="860"/>
              <w:spacing w:after="0"/>
              <w:rPr>
                <w:sz w:val="20"/>
                <w:szCs w:val="20"/>
                <w:color w:val="auto"/>
              </w:rPr>
            </w:pPr>
            <w:r>
              <w:rPr>
                <w:rFonts w:ascii="Arial" w:cs="Arial" w:eastAsia="Arial" w:hAnsi="Arial"/>
                <w:sz w:val="18"/>
                <w:szCs w:val="18"/>
                <w:b w:val="1"/>
                <w:bCs w:val="1"/>
                <w:color w:val="auto"/>
              </w:rPr>
              <w:t>Citizenship</w:t>
            </w:r>
          </w:p>
        </w:tc>
      </w:tr>
      <w:tr>
        <w:trPr>
          <w:trHeight w:val="224"/>
        </w:trPr>
        <w:tc>
          <w:tcPr>
            <w:tcW w:w="26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Directors</w:t>
            </w:r>
          </w:p>
        </w:tc>
        <w:tc>
          <w:tcPr>
            <w:tcW w:w="220" w:type="dxa"/>
            <w:vAlign w:val="bottom"/>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Borders>
              <w:top w:val="single" w:sz="8" w:color="auto"/>
            </w:tcBorders>
          </w:tcPr>
          <w:p>
            <w:pPr>
              <w:spacing w:after="0"/>
              <w:rPr>
                <w:sz w:val="19"/>
                <w:szCs w:val="19"/>
                <w:color w:val="auto"/>
              </w:rPr>
            </w:pPr>
          </w:p>
        </w:tc>
      </w:tr>
      <w:tr>
        <w:trPr>
          <w:trHeight w:val="403"/>
        </w:trPr>
        <w:tc>
          <w:tcPr>
            <w:tcW w:w="2600" w:type="dxa"/>
            <w:vAlign w:val="bottom"/>
          </w:tcPr>
          <w:p>
            <w:pPr>
              <w:spacing w:after="0"/>
              <w:rPr>
                <w:sz w:val="20"/>
                <w:szCs w:val="20"/>
                <w:color w:val="auto"/>
              </w:rPr>
            </w:pPr>
            <w:r>
              <w:rPr>
                <w:rFonts w:ascii="Arial" w:cs="Arial" w:eastAsia="Arial" w:hAnsi="Arial"/>
                <w:sz w:val="18"/>
                <w:szCs w:val="18"/>
                <w:color w:val="auto"/>
              </w:rPr>
              <w:t>Timothy Knowland</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Five Canada Square, Canary Wharf,</w:t>
            </w:r>
          </w:p>
        </w:tc>
        <w:tc>
          <w:tcPr>
            <w:tcW w:w="2680" w:type="dxa"/>
            <w:vAlign w:val="bottom"/>
          </w:tcPr>
          <w:p>
            <w:pPr>
              <w:spacing w:after="0"/>
              <w:rPr>
                <w:sz w:val="20"/>
                <w:szCs w:val="20"/>
                <w:color w:val="auto"/>
              </w:rPr>
            </w:pPr>
            <w:r>
              <w:rPr>
                <w:rFonts w:ascii="Arial" w:cs="Arial" w:eastAsia="Arial" w:hAnsi="Arial"/>
                <w:sz w:val="18"/>
                <w:szCs w:val="18"/>
                <w:color w:val="auto"/>
              </w:rPr>
              <w:t>General Counsel, Corporate</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16"/>
        </w:trPr>
        <w:tc>
          <w:tcPr>
            <w:tcW w:w="260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London E14 5AQ</w:t>
            </w:r>
          </w:p>
        </w:tc>
        <w:tc>
          <w:tcPr>
            <w:tcW w:w="2680" w:type="dxa"/>
            <w:vAlign w:val="bottom"/>
          </w:tcPr>
          <w:p>
            <w:pPr>
              <w:spacing w:after="0"/>
              <w:rPr>
                <w:sz w:val="20"/>
                <w:szCs w:val="20"/>
                <w:color w:val="auto"/>
              </w:rPr>
            </w:pPr>
            <w:r>
              <w:rPr>
                <w:rFonts w:ascii="Arial" w:cs="Arial" w:eastAsia="Arial" w:hAnsi="Arial"/>
                <w:sz w:val="18"/>
                <w:szCs w:val="18"/>
                <w:color w:val="auto"/>
                <w:w w:val="96"/>
              </w:rPr>
              <w:t>Transactions, Corporate Functions</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and Anti-trust, LSEG</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Peter Thorn</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Five Canada Square, Canary Wharf,</w:t>
            </w:r>
          </w:p>
        </w:tc>
        <w:tc>
          <w:tcPr>
            <w:tcW w:w="2680" w:type="dxa"/>
            <w:vAlign w:val="bottom"/>
          </w:tcPr>
          <w:p>
            <w:pPr>
              <w:spacing w:after="0"/>
              <w:rPr>
                <w:sz w:val="20"/>
                <w:szCs w:val="20"/>
                <w:color w:val="auto"/>
              </w:rPr>
            </w:pPr>
            <w:r>
              <w:rPr>
                <w:rFonts w:ascii="Arial" w:cs="Arial" w:eastAsia="Arial" w:hAnsi="Arial"/>
                <w:sz w:val="18"/>
                <w:szCs w:val="18"/>
                <w:color w:val="auto"/>
                <w:w w:val="97"/>
              </w:rPr>
              <w:t>Global Transfer Pricing Controller,</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Great Britain</w:t>
            </w:r>
          </w:p>
        </w:tc>
      </w:tr>
      <w:tr>
        <w:trPr>
          <w:trHeight w:val="230"/>
        </w:trPr>
        <w:tc>
          <w:tcPr>
            <w:tcW w:w="2600" w:type="dxa"/>
            <w:vAlign w:val="bottom"/>
          </w:tcPr>
          <w:p>
            <w:pPr>
              <w:spacing w:after="0"/>
              <w:rPr>
                <w:sz w:val="20"/>
                <w:szCs w:val="20"/>
                <w:color w:val="auto"/>
              </w:rPr>
            </w:pP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London E14 5AQ</w:t>
            </w:r>
          </w:p>
        </w:tc>
        <w:tc>
          <w:tcPr>
            <w:tcW w:w="2680" w:type="dxa"/>
            <w:vAlign w:val="bottom"/>
          </w:tcPr>
          <w:p>
            <w:pPr>
              <w:spacing w:after="0"/>
              <w:rPr>
                <w:sz w:val="20"/>
                <w:szCs w:val="20"/>
                <w:color w:val="auto"/>
              </w:rPr>
            </w:pPr>
            <w:r>
              <w:rPr>
                <w:rFonts w:ascii="Arial" w:cs="Arial" w:eastAsia="Arial" w:hAnsi="Arial"/>
                <w:sz w:val="18"/>
                <w:szCs w:val="18"/>
                <w:color w:val="auto"/>
              </w:rPr>
              <w:t>LSEG</w:t>
            </w: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best knowledge of the Reporting Persons, none of the individuals listed above beneficially owns any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Pursuant to and in accordance with the Securities Exchange Act of 1934, as amended, and the rules and regulations thereunder (the “Exchange Act”) the undersigned hereby agree to the joint filing of Refinitiv US PME LLC, Refinitiv US LLC, LSEGA, Inc., Refinitiv TW Holdings Ltd., Refinitiv Parent Limited and London Stock Exchange Group plc., on behalf of each of them of any filing required by such party under Section 13 of the Exchange Act or any rule or regulation thereunder (including any amendment, restatement, supplement, and/or exhibit thereto) with respect to the securities of Tradeweb Markets Inc., a Delaware corporation,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 WITNESS WHEREOF, the undersigned hereby execute this Agreement this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2021.</w:t>
      </w:r>
    </w:p>
    <w:p>
      <w:pPr>
        <w:spacing w:after="0" w:line="13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REFINITIV US PME LLC</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REFINITIV US LLC</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3515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LSEGA, INC.</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REFINITIV TW HOLDINGS LTD.</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351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REFINITIV PARENT LIMITED</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3515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LONDON STOCK EXCHANGE GROUP PLC</w:t>
      </w: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351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[Tradeweb Markets Inc. –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443230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699"/>
          </w:cols>
          <w:pgMar w:left="760" w:top="912"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u w:val="single" w:color="auto"/>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20" w:firstLine="824"/>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Lisa Condron, Teresa Hogan and Timothy Knowland, and with full power of substitution, as the undersigned's true and lawful attorney-in-fact to:</w:t>
      </w:r>
    </w:p>
    <w:p>
      <w:pPr>
        <w:spacing w:after="0" w:line="170" w:lineRule="exact"/>
        <w:rPr>
          <w:sz w:val="20"/>
          <w:szCs w:val="20"/>
          <w:color w:val="auto"/>
        </w:rPr>
      </w:pPr>
    </w:p>
    <w:p>
      <w:pPr>
        <w:ind w:firstLine="832"/>
        <w:spacing w:after="0" w:line="259" w:lineRule="auto"/>
        <w:tabs>
          <w:tab w:leader="none" w:pos="14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execute for and on behalf of the undersigned, in connection with the undersigned’s beneficial ownership of securities beneficially owned, directly or indirectly, of Tradeweb Markets Inc., a Delaware corporation (the “Company”), forms and documents related specifically to Section 13 and Section 16 of the Securities Exchange Act of 1934 and the rules thereunder (the “Exchange Act”), and any joint filing agreement in connection with the foregoing;</w:t>
      </w:r>
    </w:p>
    <w:p>
      <w:pPr>
        <w:spacing w:after="0" w:line="186" w:lineRule="exact"/>
        <w:rPr>
          <w:rFonts w:ascii="Arial" w:cs="Arial" w:eastAsia="Arial" w:hAnsi="Arial"/>
          <w:sz w:val="18"/>
          <w:szCs w:val="18"/>
          <w:color w:val="auto"/>
        </w:rPr>
      </w:pPr>
    </w:p>
    <w:p>
      <w:pPr>
        <w:ind w:right="40" w:firstLine="832"/>
        <w:spacing w:after="0" w:line="259" w:lineRule="auto"/>
        <w:tabs>
          <w:tab w:leader="none" w:pos="14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and documents related specifically to Section 13 and Section 16 of the Exchange Act, complete and execute any amendment or amendments thereto, and timely file such forms and documents with the U.S. Securities and Exchange Commission (the “SEC”) and any stock exchange or similar authority; and</w:t>
      </w:r>
    </w:p>
    <w:p>
      <w:pPr>
        <w:spacing w:after="0" w:line="186" w:lineRule="exact"/>
        <w:rPr>
          <w:rFonts w:ascii="Arial" w:cs="Arial" w:eastAsia="Arial" w:hAnsi="Arial"/>
          <w:sz w:val="18"/>
          <w:szCs w:val="18"/>
          <w:color w:val="auto"/>
        </w:rPr>
      </w:pPr>
    </w:p>
    <w:p>
      <w:pPr>
        <w:ind w:right="160" w:firstLine="832"/>
        <w:spacing w:after="0" w:line="259" w:lineRule="auto"/>
        <w:tabs>
          <w:tab w:leader="none" w:pos="14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take any other lawful action of any type whatsoever in connection with the foregoing which, in the opinion of any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any such attorney-in-fact’s discretion.</w:t>
      </w:r>
    </w:p>
    <w:p>
      <w:pPr>
        <w:spacing w:after="0" w:line="187" w:lineRule="exact"/>
        <w:rPr>
          <w:sz w:val="20"/>
          <w:szCs w:val="20"/>
          <w:color w:val="auto"/>
        </w:rPr>
      </w:pPr>
    </w:p>
    <w:p>
      <w:pPr>
        <w:ind w:right="240" w:firstLine="824"/>
        <w:spacing w:after="0" w:line="296" w:lineRule="auto"/>
        <w:rPr>
          <w:sz w:val="20"/>
          <w:szCs w:val="20"/>
          <w:color w:val="auto"/>
        </w:rPr>
      </w:pPr>
      <w:r>
        <w:rPr>
          <w:rFonts w:ascii="Arial" w:cs="Arial" w:eastAsia="Arial" w:hAnsi="Arial"/>
          <w:sz w:val="16"/>
          <w:szCs w:val="16"/>
          <w:color w:val="auto"/>
        </w:rPr>
        <w:t>The undersigned hereby grants to each such attorney-in-fact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All lawful acts done by the attorney-in-fact in this regard shall be deemed to have been done by the undersigned. The undersigned acknowledges that the foregoing attorneys-in-fact, in serving in such capacity at the request of the undersigned, are not assuming, nor is the Company assuming, any of the undersigned's responsibilities to comply with Section 13 or Section 16 of the Exchange Act.</w:t>
      </w:r>
    </w:p>
    <w:p>
      <w:pPr>
        <w:spacing w:after="0" w:line="161" w:lineRule="exact"/>
        <w:rPr>
          <w:sz w:val="20"/>
          <w:szCs w:val="20"/>
          <w:color w:val="auto"/>
        </w:rPr>
      </w:pPr>
    </w:p>
    <w:p>
      <w:pPr>
        <w:jc w:val="both"/>
        <w:ind w:right="400" w:firstLine="824"/>
        <w:spacing w:after="0" w:line="286" w:lineRule="auto"/>
        <w:rPr>
          <w:sz w:val="20"/>
          <w:szCs w:val="20"/>
          <w:color w:val="auto"/>
        </w:rPr>
      </w:pPr>
      <w:r>
        <w:rPr>
          <w:rFonts w:ascii="Arial" w:cs="Arial" w:eastAsia="Arial" w:hAnsi="Arial"/>
          <w:sz w:val="17"/>
          <w:szCs w:val="17"/>
          <w:color w:val="auto"/>
        </w:rPr>
        <w:t>This Power of Attorney shall remain in full force and effect until the undersigned is no longer required to file forms and documents related specifically to Section 13 and Section 16 of the Exchange Act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IN WITNESS WHEREOF, the undersigned has caused this Power of Attorney to be executed as of this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February, 2021</w:t>
      </w:r>
    </w:p>
    <w:p>
      <w:pPr>
        <w:spacing w:after="0" w:line="16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REFINITIV US PME LLC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Mark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Mark Irving</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Assistant Secretary</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REFINITIV US LLC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Mark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Mark Irving</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Assistant Secretary</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LSEGA, INC.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Patricia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Patricia Wolff</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REFINITIV TW HOLDINGS LTD.</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Timothy Knowland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Timothy Knowland</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Assistant Secretary</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REFINITIV PARENT LIMITED</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Timothy Knowland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Timothy Knowland</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Assistant Secretary</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LONDON STOCK EXCHANGE GROUP PLC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Lisa Condron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Lisa Condron</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479"/>
      </w:cols>
      <w:pgMar w:left="980" w:top="9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bullet"/>
      <w:start w:val="1"/>
    </w:lvl>
  </w:abstractNum>
  <w:abstractNum w:abstractNumId="2">
    <w:nsid w:val="721DA317"/>
    <w:multiLevelType w:val="hybridMultilevel"/>
    <w:lvl w:ilvl="0">
      <w:lvlJc w:val="left"/>
      <w:lvlText w:val="2"/>
      <w:numFmt w:val="bullet"/>
      <w:start w:val="1"/>
    </w:lvl>
  </w:abstractNum>
  <w:abstractNum w:abstractNumId="3">
    <w:nsid w:val="2443A858"/>
    <w:multiLevelType w:val="hybridMultilevel"/>
    <w:lvl w:ilvl="0">
      <w:lvlJc w:val="left"/>
      <w:lvlText w:val="4"/>
      <w:numFmt w:val="bullet"/>
      <w:start w:val="1"/>
    </w:lvl>
  </w:abstractNum>
  <w:abstractNum w:abstractNumId="4">
    <w:nsid w:val="2D1D5AE9"/>
    <w:multiLevelType w:val="hybridMultilevel"/>
    <w:lvl w:ilvl="0">
      <w:lvlJc w:val="left"/>
      <w:lvlText w:val="5"/>
      <w:numFmt w:val="bullet"/>
      <w:start w:val="1"/>
    </w:lvl>
  </w:abstractNum>
  <w:abstractNum w:abstractNumId="5">
    <w:nsid w:val="6763845E"/>
    <w:multiLevelType w:val="hybridMultilevel"/>
    <w:lvl w:ilvl="0">
      <w:lvlJc w:val="left"/>
      <w:lvlText w:val="6"/>
      <w:numFmt w:val="bullet"/>
      <w:start w:val="1"/>
    </w:lvl>
  </w:abstractNum>
  <w:abstractNum w:abstractNumId="6">
    <w:nsid w:val="75A2A8D4"/>
    <w:multiLevelType w:val="hybridMultilevel"/>
    <w:lvl w:ilvl="0">
      <w:lvlJc w:val="left"/>
      <w:lvlText w:val="%1"/>
      <w:numFmt w:val="decimal"/>
      <w:start w:val="11"/>
    </w:lvl>
  </w:abstractNum>
  <w:abstractNum w:abstractNumId="7">
    <w:nsid w:val="8EDBDAB"/>
    <w:multiLevelType w:val="hybridMultilevel"/>
    <w:lvl w:ilvl="0">
      <w:lvlJc w:val="left"/>
      <w:lvlText w:val="1"/>
      <w:numFmt w:val="bullet"/>
      <w:start w:val="1"/>
    </w:lvl>
  </w:abstractNum>
  <w:abstractNum w:abstractNumId="8">
    <w:nsid w:val="79838CB2"/>
    <w:multiLevelType w:val="hybridMultilevel"/>
    <w:lvl w:ilvl="0">
      <w:lvlJc w:val="left"/>
      <w:lvlText w:val="2"/>
      <w:numFmt w:val="bullet"/>
      <w:start w:val="1"/>
    </w:lvl>
  </w:abstractNum>
  <w:abstractNum w:abstractNumId="9">
    <w:nsid w:val="4353D0CD"/>
    <w:multiLevelType w:val="hybridMultilevel"/>
    <w:lvl w:ilvl="0">
      <w:lvlJc w:val="left"/>
      <w:lvlText w:val="4"/>
      <w:numFmt w:val="bullet"/>
      <w:start w:val="1"/>
    </w:lvl>
  </w:abstractNum>
  <w:abstractNum w:abstractNumId="10">
    <w:nsid w:val="B03E0C6"/>
    <w:multiLevelType w:val="hybridMultilevel"/>
    <w:lvl w:ilvl="0">
      <w:lvlJc w:val="left"/>
      <w:lvlText w:val="5"/>
      <w:numFmt w:val="bullet"/>
      <w:start w:val="1"/>
    </w:lvl>
  </w:abstractNum>
  <w:abstractNum w:abstractNumId="11">
    <w:nsid w:val="189A769B"/>
    <w:multiLevelType w:val="hybridMultilevel"/>
    <w:lvl w:ilvl="0">
      <w:lvlJc w:val="left"/>
      <w:lvlText w:val="6"/>
      <w:numFmt w:val="bullet"/>
      <w:start w:val="1"/>
    </w:lvl>
  </w:abstractNum>
  <w:abstractNum w:abstractNumId="12">
    <w:nsid w:val="54E49EB4"/>
    <w:multiLevelType w:val="hybridMultilevel"/>
    <w:lvl w:ilvl="0">
      <w:lvlJc w:val="left"/>
      <w:lvlText w:val="%1"/>
      <w:numFmt w:val="decimal"/>
      <w:start w:val="11"/>
    </w:lvl>
  </w:abstractNum>
  <w:abstractNum w:abstractNumId="13">
    <w:nsid w:val="71F32454"/>
    <w:multiLevelType w:val="hybridMultilevel"/>
    <w:lvl w:ilvl="0">
      <w:lvlJc w:val="left"/>
      <w:lvlText w:val="1"/>
      <w:numFmt w:val="bullet"/>
      <w:start w:val="1"/>
    </w:lvl>
  </w:abstractNum>
  <w:abstractNum w:abstractNumId="14">
    <w:nsid w:val="2CA88611"/>
    <w:multiLevelType w:val="hybridMultilevel"/>
    <w:lvl w:ilvl="0">
      <w:lvlJc w:val="left"/>
      <w:lvlText w:val="2"/>
      <w:numFmt w:val="bullet"/>
      <w:start w:val="1"/>
    </w:lvl>
  </w:abstractNum>
  <w:abstractNum w:abstractNumId="15">
    <w:nsid w:val="836C40E"/>
    <w:multiLevelType w:val="hybridMultilevel"/>
    <w:lvl w:ilvl="0">
      <w:lvlJc w:val="left"/>
      <w:lvlText w:val="4"/>
      <w:numFmt w:val="bullet"/>
      <w:start w:val="1"/>
    </w:lvl>
  </w:abstractNum>
  <w:abstractNum w:abstractNumId="16">
    <w:nsid w:val="2901D82"/>
    <w:multiLevelType w:val="hybridMultilevel"/>
    <w:lvl w:ilvl="0">
      <w:lvlJc w:val="left"/>
      <w:lvlText w:val="5"/>
      <w:numFmt w:val="bullet"/>
      <w:start w:val="1"/>
    </w:lvl>
  </w:abstractNum>
  <w:abstractNum w:abstractNumId="17">
    <w:nsid w:val="3A95F874"/>
    <w:multiLevelType w:val="hybridMultilevel"/>
    <w:lvl w:ilvl="0">
      <w:lvlJc w:val="left"/>
      <w:lvlText w:val="6"/>
      <w:numFmt w:val="bullet"/>
      <w:start w:val="1"/>
    </w:lvl>
  </w:abstractNum>
  <w:abstractNum w:abstractNumId="18">
    <w:nsid w:val="8138641"/>
    <w:multiLevelType w:val="hybridMultilevel"/>
    <w:lvl w:ilvl="0">
      <w:lvlJc w:val="left"/>
      <w:lvlText w:val="%1"/>
      <w:numFmt w:val="decimal"/>
      <w:start w:val="11"/>
    </w:lvl>
  </w:abstractNum>
  <w:abstractNum w:abstractNumId="19">
    <w:nsid w:val="1E7FF521"/>
    <w:multiLevelType w:val="hybridMultilevel"/>
    <w:lvl w:ilvl="0">
      <w:lvlJc w:val="left"/>
      <w:lvlText w:val="1"/>
      <w:numFmt w:val="bullet"/>
      <w:start w:val="1"/>
    </w:lvl>
  </w:abstractNum>
  <w:abstractNum w:abstractNumId="20">
    <w:nsid w:val="7C3DBD3D"/>
    <w:multiLevelType w:val="hybridMultilevel"/>
    <w:lvl w:ilvl="0">
      <w:lvlJc w:val="left"/>
      <w:lvlText w:val="2"/>
      <w:numFmt w:val="bullet"/>
      <w:start w:val="1"/>
    </w:lvl>
  </w:abstractNum>
  <w:abstractNum w:abstractNumId="21">
    <w:nsid w:val="737B8DDC"/>
    <w:multiLevelType w:val="hybridMultilevel"/>
    <w:lvl w:ilvl="0">
      <w:lvlJc w:val="left"/>
      <w:lvlText w:val="4"/>
      <w:numFmt w:val="bullet"/>
      <w:start w:val="1"/>
    </w:lvl>
  </w:abstractNum>
  <w:abstractNum w:abstractNumId="22">
    <w:nsid w:val="6CEAF087"/>
    <w:multiLevelType w:val="hybridMultilevel"/>
    <w:lvl w:ilvl="0">
      <w:lvlJc w:val="left"/>
      <w:lvlText w:val="5"/>
      <w:numFmt w:val="bullet"/>
      <w:start w:val="1"/>
    </w:lvl>
  </w:abstractNum>
  <w:abstractNum w:abstractNumId="23">
    <w:nsid w:val="22221A70"/>
    <w:multiLevelType w:val="hybridMultilevel"/>
    <w:lvl w:ilvl="0">
      <w:lvlJc w:val="left"/>
      <w:lvlText w:val="6"/>
      <w:numFmt w:val="bullet"/>
      <w:start w:val="1"/>
    </w:lvl>
  </w:abstractNum>
  <w:abstractNum w:abstractNumId="24">
    <w:nsid w:val="4516DDE9"/>
    <w:multiLevelType w:val="hybridMultilevel"/>
    <w:lvl w:ilvl="0">
      <w:lvlJc w:val="left"/>
      <w:lvlText w:val="%1"/>
      <w:numFmt w:val="decimal"/>
      <w:start w:val="11"/>
    </w:lvl>
  </w:abstractNum>
  <w:abstractNum w:abstractNumId="25">
    <w:nsid w:val="3006C83E"/>
    <w:multiLevelType w:val="hybridMultilevel"/>
    <w:lvl w:ilvl="0">
      <w:lvlJc w:val="left"/>
      <w:lvlText w:val="1"/>
      <w:numFmt w:val="bullet"/>
      <w:start w:val="1"/>
    </w:lvl>
  </w:abstractNum>
  <w:abstractNum w:abstractNumId="26">
    <w:nsid w:val="614FD4A1"/>
    <w:multiLevelType w:val="hybridMultilevel"/>
    <w:lvl w:ilvl="0">
      <w:lvlJc w:val="left"/>
      <w:lvlText w:val="2"/>
      <w:numFmt w:val="bullet"/>
      <w:start w:val="1"/>
    </w:lvl>
  </w:abstractNum>
  <w:abstractNum w:abstractNumId="27">
    <w:nsid w:val="419AC241"/>
    <w:multiLevelType w:val="hybridMultilevel"/>
    <w:lvl w:ilvl="0">
      <w:lvlJc w:val="left"/>
      <w:lvlText w:val="4"/>
      <w:numFmt w:val="bullet"/>
      <w:start w:val="1"/>
    </w:lvl>
  </w:abstractNum>
  <w:abstractNum w:abstractNumId="28">
    <w:nsid w:val="5577F8E1"/>
    <w:multiLevelType w:val="hybridMultilevel"/>
    <w:lvl w:ilvl="0">
      <w:lvlJc w:val="left"/>
      <w:lvlText w:val="5"/>
      <w:numFmt w:val="bullet"/>
      <w:start w:val="1"/>
    </w:lvl>
  </w:abstractNum>
  <w:abstractNum w:abstractNumId="29">
    <w:nsid w:val="440BADFC"/>
    <w:multiLevelType w:val="hybridMultilevel"/>
    <w:lvl w:ilvl="0">
      <w:lvlJc w:val="left"/>
      <w:lvlText w:val="6"/>
      <w:numFmt w:val="bullet"/>
      <w:start w:val="1"/>
    </w:lvl>
  </w:abstractNum>
  <w:abstractNum w:abstractNumId="30">
    <w:nsid w:val="5072367"/>
    <w:multiLevelType w:val="hybridMultilevel"/>
    <w:lvl w:ilvl="0">
      <w:lvlJc w:val="left"/>
      <w:lvlText w:val="%1"/>
      <w:numFmt w:val="decimal"/>
      <w:start w:val="11"/>
    </w:lvl>
  </w:abstractNum>
  <w:abstractNum w:abstractNumId="31">
    <w:nsid w:val="3804823E"/>
    <w:multiLevelType w:val="hybridMultilevel"/>
    <w:lvl w:ilvl="0">
      <w:lvlJc w:val="left"/>
      <w:lvlText w:val="1"/>
      <w:numFmt w:val="bullet"/>
      <w:start w:val="1"/>
    </w:lvl>
  </w:abstractNum>
  <w:abstractNum w:abstractNumId="32">
    <w:nsid w:val="77465F01"/>
    <w:multiLevelType w:val="hybridMultilevel"/>
    <w:lvl w:ilvl="0">
      <w:lvlJc w:val="left"/>
      <w:lvlText w:val="2"/>
      <w:numFmt w:val="bullet"/>
      <w:start w:val="1"/>
    </w:lvl>
  </w:abstractNum>
  <w:abstractNum w:abstractNumId="33">
    <w:nsid w:val="7724C67E"/>
    <w:multiLevelType w:val="hybridMultilevel"/>
    <w:lvl w:ilvl="0">
      <w:lvlJc w:val="left"/>
      <w:lvlText w:val="4"/>
      <w:numFmt w:val="bullet"/>
      <w:start w:val="1"/>
    </w:lvl>
  </w:abstractNum>
  <w:abstractNum w:abstractNumId="34">
    <w:nsid w:val="5C482A97"/>
    <w:multiLevelType w:val="hybridMultilevel"/>
    <w:lvl w:ilvl="0">
      <w:lvlJc w:val="left"/>
      <w:lvlText w:val="5"/>
      <w:numFmt w:val="bullet"/>
      <w:start w:val="1"/>
    </w:lvl>
  </w:abstractNum>
  <w:abstractNum w:abstractNumId="35">
    <w:nsid w:val="2463B9EA"/>
    <w:multiLevelType w:val="hybridMultilevel"/>
    <w:lvl w:ilvl="0">
      <w:lvlJc w:val="left"/>
      <w:lvlText w:val="6"/>
      <w:numFmt w:val="bullet"/>
      <w:start w:val="1"/>
    </w:lvl>
  </w:abstractNum>
  <w:abstractNum w:abstractNumId="36">
    <w:nsid w:val="5E884ADC"/>
    <w:multiLevelType w:val="hybridMultilevel"/>
    <w:lvl w:ilvl="0">
      <w:lvlJc w:val="left"/>
      <w:lvlText w:val="%1"/>
      <w:numFmt w:val="decimal"/>
      <w:start w:val="11"/>
    </w:lvl>
  </w:abstractNum>
  <w:abstractNum w:abstractNumId="37">
    <w:nsid w:val="51EAD36B"/>
    <w:multiLevelType w:val="hybridMultilevel"/>
    <w:lvl w:ilvl="0">
      <w:lvlJc w:val="left"/>
      <w:lvlText w:val="(%1)"/>
      <w:numFmt w:val="lowerLetter"/>
      <w:start w:val="3"/>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lowerLetter"/>
      <w:start w:val="3"/>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42" Type="http://schemas.openxmlformats.org/officeDocument/2006/relationships/hyperlink" Target="http://www.sec.gov/Archives/edgar/data/1758730/000110465919030556/a19-9947_1ex10d3.htm" TargetMode="External"/><Relationship Id="rId43" Type="http://schemas.openxmlformats.org/officeDocument/2006/relationships/hyperlink" Target="http://www.sec.gov/Archives/edgar/data/1758730/000110465919030556/a19-9947_1ex10d4.htm" TargetMode="External"/><Relationship Id="rId44" Type="http://schemas.openxmlformats.org/officeDocument/2006/relationships/hyperlink" Target="http://www.sec.gov/Archives/edgar/data/1758730/000110465919030556/a19-9947_1ex10d1.htm" TargetMode="External"/><Relationship Id="rId45" Type="http://schemas.openxmlformats.org/officeDocument/2006/relationships/hyperlink" Target="http://www.sec.gov/Archives/edgar/data/1758730/000110465919030556/a19-9947_1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2021-02-08T15:04:32Z</dcterms:created>
  <dcterms:modified xsi:type="dcterms:W3CDTF">2021-02-08T15:04:32Z</dcterms:modified>
</cp:coreProperties>
</file>