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83.66</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54,924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2021.</w:t>
      </w:r>
    </w:p>
    <w:p>
      <w:pPr>
        <w:spacing w:after="0" w:line="50" w:lineRule="exact"/>
        <w:rPr>
          <w:rFonts w:ascii="Arial" w:cs="Arial" w:eastAsia="Arial" w:hAnsi="Arial"/>
          <w:sz w:val="13"/>
          <w:szCs w:val="13"/>
          <w:color w:val="008000"/>
        </w:rPr>
      </w:pPr>
    </w:p>
    <w:p>
      <w:pPr>
        <w:ind w:left="40" w:right="1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6,860 unvested restricted stock units ("RSUs") in respect of the issuer's Class A common stock ("Class A Common Stock") which are scheduled to vest in equal installments on each of March 17, 2022 and March 17, 2023, (ii) 20,580 unvested RSUs in respect of Class A Common Stock which are scheduled to vest on January 1, 2023, and (iii)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2022-02-17T16:53:50Z</dcterms:created>
  <dcterms:modified xsi:type="dcterms:W3CDTF">2022-02-17T16:53:50Z</dcterms:modified>
</cp:coreProperties>
</file>