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Tradeweb Markets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August 1, 2024, Tradeweb Markets Inc. (“Tradeweb Markets”) issued a press release announcing the closing of the acquisition of the Institutional Cash Distributors business described in Item 8.01 below. A copy of the press release is furnished as Exhibit 99.1 hereto and is incorporated into this Item 7.01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August 1, 2024, Tradeweb Markets LLC (the “Buyer”), a Delaware limited liability company and a subsidiary of Tradeweb Markets (together with Buyer and its other subsidiaries, the “Company”), completed its acquisition (the “Acquisition Closing”) of the Institutional Cash Distributors business by purchasing all of the outstanding equity interests of each of ICD Holdco and the Blockers (each as defined below), pursuant to the previously announced Purchase and Sale Agreement, dated April 5, 2024 (the “Purchase Agreement”), by and among the Buyer, ICD Intermediate Holdco 1, LLC, a Delaware limited liability company (“ICD Holdco”), ICD Holdings, LLC, a Delaware limited liability company (the “ICD Seller”), Stellus Capital Investment Corporation, a Maryland corporation (the “Stellus Blocker Seller”), Parthenon Investors V ICD Holdco AIV, LP, a Delaware limited partnership (the “Parthenon Blocker Seller” and, together with the ICD Seller and the Stellus Blocker Seller, the “Sellers”), SCIC - ICD Blocker 1, Inc., a Delaware corporation (the “Stellus Blocker”), Parthenon Investors V ICD Blocker, Inc., a Delaware corporation (the “Parthenon Blocker” and, together with the Stellus Blocker, together the “Blockers”), ICD Holdings, LLC, in its capacity as the initial Seller Representative thereunder, and Tradeweb Markets, solely for purposes of Section 10.21 thereof.</w:t>
      </w:r>
    </w:p>
    <w:p>
      <w:pPr>
        <w:spacing w:after="0" w:line="1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acquisition was funded with cash on hand and completed for a base purchase price of $785 million, subject to customary adjustments for cash, indebtedness, net working capital and transaction expenses of ICD Holdco and its subsidiaries. In connection with the Acquisition Closing, Tradeweb Markets also issued and sold $4.5 million of shares of its Class A common stock (the “Class A Shares”) in reliance on Section 4(a)(2) of the Securities Act of 1933, as amended (the “Securities Act”), to an equityholder of the ICD Seller, which Class A Shares were issued and sold as restricted stock, subject to vesting and forfeiture terms, pursuant to the Tradeweb Markets Inc. 2019 Omnibus Equity Incentive Plan.</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acquisition and the Purchase Agreement described above are more fully described in Tradeweb Markets’ Current Report on Form 8-K filed with the Securities and Exchange Commission on April 8,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548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980" w:type="dxa"/>
            <w:vAlign w:val="bottom"/>
            <w:gridSpan w:val="2"/>
          </w:tcPr>
          <w:p>
            <w:pPr>
              <w:ind w:left="4380"/>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Tradeweb Markets Inc., dated August 1, 2024.</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173990</wp:posOffset>
            </wp:positionV>
            <wp:extent cx="102044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04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Completes Acquisition of ICD</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NEW YORK – August 1, 2024 – Tradeweb Markets Inc. (Nasdaq: TW), a leading, global operator of electronic marketplaces for rates, credit, equities and money markets, today announced it has completed its acquisition of Institutional Cash Distributors (“ICD”), an investment technology provider for corporate treasury organizations trading short-term investments. The $785 million, all-cash transaction was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in April 2024.</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 the acquisition of ICD, Tradeweb adds corporate treasury professionals as a fourth client channel, complementing its existing focus on institutional, wholesale and retail clients, and giving it access to a $2+ billion addressable market. Tradeweb expects the ICD acquisition to be accretive to its adjusted earnings per share over the next 12 months.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Tradeweb CEO Billy Hult said: “We are excited to complete the acquisition of ICD and launch corporates as a new client channel, offering a key new avenue for growth and building on our strong presence across our other core markets. Corporate treasurers represent an increasingly large and underserved opportunity within fixed income markets, and ICD’s differentiated technology offers the perfect gateway between corporates and global fixed income markets. The ICD team shares our commitment to continuous innovation and exceptional client service, and it is a pleasure to officially welcome them to Tradeweb.”</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part of Tradeweb, ICD will provide an increasingly comprehensive solution for corporate treasury organizations worldwide, enhancing its leadership in this space with a range of Tradeweb integration opportunities. In the future, ICD clients will have the ability to optimize yield and duration via Tradeweb’s existing suite of products and partnerships, as well as manage liquidity needs and related FX risk. In addition to cross-selling its products to ICD’s clients, Tradeweb will leverage its international presence to aim to accelerate ICD’s growth and expansion.</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ICD is one of the largest U.S. institutional money market fund portals, enabling more than 500 corporate treasury organizations from growth and blue-chip companies (including approximately 17% of the S&amp;P 100 as of December 31, 2023) across 65 industries and more than 45 countries to invest in money market funds and other short-term products to manage liquidity.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Tradeweb Markets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 markets. Advanced technologies developed by Tradeweb enhance price discovery, order execution and trade workflows while allowing for greater scale and helping to reduce risks in client trading operations. Tradeweb serves more than 2,500 clients in more than 70 countries. On average, Tradeweb facilitated more than $1.7 trillion in notional value traded per day over the past four quarters. For more information, please go to </w:t>
      </w:r>
      <w:r>
        <w:rPr>
          <w:rFonts w:ascii="Times New Roman" w:cs="Times New Roman" w:eastAsia="Times New Roman" w:hAnsi="Times New Roman"/>
          <w:sz w:val="18"/>
          <w:szCs w:val="18"/>
          <w:u w:val="single" w:color="auto"/>
          <w:color w:val="auto"/>
        </w:rPr>
        <w:t>www.tradeweb.com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6251575</wp:posOffset>
            </wp:positionH>
            <wp:positionV relativeFrom="page">
              <wp:posOffset>183515</wp:posOffset>
            </wp:positionV>
            <wp:extent cx="102044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20445" cy="316865"/>
                    </a:xfrm>
                    <a:prstGeom prst="rect">
                      <a:avLst/>
                    </a:prstGeom>
                    <a:noFill/>
                  </pic:spPr>
                </pic:pic>
              </a:graphicData>
            </a:graphic>
          </wp:anchor>
        </w:drawing>
        <w:t>Forward-Looking Statements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federal securities laws. Statements related to, among other things, the potential benefits of the acquisition, our plans, objectives, expectations and intentions regarding ICD, our and ICD’s future performance, the industry and markets in which we and ICD operate, as well as our other expectations, beliefs, plans, strategies, objectives, prospects and assumptions and other future events are forward-looking statements.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Risks and uncertainties include, among others, risks related to our ability to successfully integrate ICD’s operations, implement our plans, objectives, expectations and intentions with respect to ICD’s business and realize the expected benefits and synergies from the acquisition. These and other important factors, including those discussed under the heading “Risk Factors” in documents of Tradeweb Markets Inc. on file with or furnished to the SEC, may cause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includes estimates regarding market and industry data, including addressable market data related to certain corporate treasury activities, that we prepared based on our management’s knowledge and experience in the markets in which we operate, together with information obtained from various sources, including ICD,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914"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6251575</wp:posOffset>
            </wp:positionH>
            <wp:positionV relativeFrom="page">
              <wp:posOffset>182880</wp:posOffset>
            </wp:positionV>
            <wp:extent cx="1020445"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0445" cy="31686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Noonan, Tradeweb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+1 646 767 4677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Daniel.Noonan@Tradeweb.com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Serrao, Tradeweb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+1 646 430 6027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Ashley.Serrao@Tradeweb.com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Murukutla, Tradeweb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+1 646 767 4864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Sameer.Murukutla@Tradeweb.com</w:t>
      </w:r>
    </w:p>
    <w:sectPr>
      <w:pgSz w:w="11900" w:h="16838" w:orient="portrait"/>
      <w:cols w:equalWidth="0" w:num="1">
        <w:col w:w="10019"/>
      </w:cols>
      <w:pgMar w:left="440" w:top="9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2024-08-01T15:48:13Z</dcterms:created>
  <dcterms:modified xsi:type="dcterms:W3CDTF">2024-08-01T15:48:13Z</dcterms:modified>
</cp:coreProperties>
</file>