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14"/>
          <w:szCs w:val="14"/>
          <w:b w:val="1"/>
          <w:bCs w:val="1"/>
          <w:color w:val="auto"/>
        </w:rPr>
        <w:t>As filed with the Securities and Exchange Commission on April 3, 2019</w:t>
      </w:r>
    </w:p>
    <w:p>
      <w:pPr>
        <w:ind w:left="8066"/>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1829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299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81915</wp:posOffset>
            </wp:positionV>
            <wp:extent cx="6182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176" w:lineRule="exact"/>
        <w:rPr>
          <w:sz w:val="24"/>
          <w:szCs w:val="24"/>
          <w:color w:val="auto"/>
        </w:rPr>
      </w:pPr>
    </w:p>
    <w:p>
      <w:pPr>
        <w:jc w:val="center"/>
        <w:ind w:right="-5"/>
        <w:spacing w:after="0"/>
        <w:rPr>
          <w:sz w:val="20"/>
          <w:szCs w:val="20"/>
          <w:color w:val="auto"/>
        </w:rPr>
      </w:pPr>
      <w:r>
        <w:rPr>
          <w:rFonts w:ascii="Arial" w:cs="Arial" w:eastAsia="Arial" w:hAnsi="Arial"/>
          <w:sz w:val="22"/>
          <w:szCs w:val="22"/>
          <w:b w:val="1"/>
          <w:bCs w:val="1"/>
          <w:color w:val="auto"/>
        </w:rPr>
        <w:t>UNITED STATES</w:t>
      </w:r>
    </w:p>
    <w:p>
      <w:pPr>
        <w:jc w:val="center"/>
        <w:ind w:right="54"/>
        <w:spacing w:after="0" w:line="236" w:lineRule="auto"/>
        <w:rPr>
          <w:sz w:val="20"/>
          <w:szCs w:val="20"/>
          <w:color w:val="auto"/>
        </w:rPr>
      </w:pPr>
      <w:r>
        <w:rPr>
          <w:rFonts w:ascii="Arial" w:cs="Arial" w:eastAsia="Arial" w:hAnsi="Arial"/>
          <w:sz w:val="22"/>
          <w:szCs w:val="22"/>
          <w:b w:val="1"/>
          <w:bCs w:val="1"/>
          <w:color w:val="auto"/>
        </w:rPr>
        <w:t>SECURITIES AND EXCHANGE COMMISSION</w:t>
      </w:r>
    </w:p>
    <w:p>
      <w:pPr>
        <w:jc w:val="center"/>
        <w:ind w:right="-5"/>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90170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90" w:lineRule="exact"/>
        <w:rPr>
          <w:sz w:val="24"/>
          <w:szCs w:val="24"/>
          <w:color w:val="auto"/>
        </w:rPr>
      </w:pPr>
    </w:p>
    <w:p>
      <w:pPr>
        <w:jc w:val="center"/>
        <w:ind w:right="-5"/>
        <w:spacing w:after="0"/>
        <w:rPr>
          <w:sz w:val="20"/>
          <w:szCs w:val="20"/>
          <w:color w:val="auto"/>
        </w:rPr>
      </w:pPr>
      <w:r>
        <w:rPr>
          <w:rFonts w:ascii="Arial" w:cs="Arial" w:eastAsia="Arial" w:hAnsi="Arial"/>
          <w:sz w:val="22"/>
          <w:szCs w:val="22"/>
          <w:b w:val="1"/>
          <w:bCs w:val="1"/>
          <w:color w:val="auto"/>
        </w:rPr>
        <w:t>FORM S-1</w:t>
      </w:r>
    </w:p>
    <w:p>
      <w:pPr>
        <w:spacing w:after="0" w:line="28" w:lineRule="exact"/>
        <w:rPr>
          <w:sz w:val="24"/>
          <w:szCs w:val="24"/>
          <w:color w:val="auto"/>
        </w:rPr>
      </w:pPr>
    </w:p>
    <w:p>
      <w:pPr>
        <w:jc w:val="center"/>
        <w:ind w:right="34"/>
        <w:spacing w:after="0"/>
        <w:rPr>
          <w:sz w:val="20"/>
          <w:szCs w:val="20"/>
          <w:color w:val="auto"/>
        </w:rPr>
      </w:pPr>
      <w:r>
        <w:rPr>
          <w:rFonts w:ascii="Arial" w:cs="Arial" w:eastAsia="Arial" w:hAnsi="Arial"/>
          <w:sz w:val="18"/>
          <w:szCs w:val="18"/>
          <w:b w:val="1"/>
          <w:bCs w:val="1"/>
          <w:color w:val="auto"/>
        </w:rPr>
        <w:t>REGISTRATION STATEMENT</w:t>
      </w:r>
    </w:p>
    <w:p>
      <w:pPr>
        <w:jc w:val="center"/>
        <w:ind w:right="34"/>
        <w:spacing w:after="0" w:line="220" w:lineRule="auto"/>
        <w:rPr>
          <w:sz w:val="20"/>
          <w:szCs w:val="20"/>
          <w:color w:val="auto"/>
        </w:rPr>
      </w:pPr>
      <w:r>
        <w:rPr>
          <w:rFonts w:ascii="Arial" w:cs="Arial" w:eastAsia="Arial" w:hAnsi="Arial"/>
          <w:sz w:val="18"/>
          <w:szCs w:val="18"/>
          <w:b w:val="1"/>
          <w:bCs w:val="1"/>
          <w:color w:val="auto"/>
        </w:rPr>
        <w:t>UNDER</w:t>
      </w:r>
    </w:p>
    <w:p>
      <w:pPr>
        <w:jc w:val="center"/>
        <w:ind w:right="-5"/>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73025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2" w:lineRule="exact"/>
        <w:rPr>
          <w:sz w:val="24"/>
          <w:szCs w:val="24"/>
          <w:color w:val="auto"/>
        </w:rPr>
      </w:pPr>
    </w:p>
    <w:p>
      <w:pPr>
        <w:jc w:val="center"/>
        <w:ind w:right="-5"/>
        <w:spacing w:after="0"/>
        <w:rPr>
          <w:sz w:val="20"/>
          <w:szCs w:val="20"/>
          <w:color w:val="auto"/>
        </w:rPr>
      </w:pPr>
      <w:r>
        <w:rPr>
          <w:rFonts w:ascii="Arial" w:cs="Arial" w:eastAsia="Arial" w:hAnsi="Arial"/>
          <w:sz w:val="32"/>
          <w:szCs w:val="32"/>
          <w:b w:val="1"/>
          <w:bCs w:val="1"/>
          <w:color w:val="auto"/>
        </w:rPr>
        <w:t>Tradeweb Markets Inc.</w:t>
      </w:r>
    </w:p>
    <w:p>
      <w:pPr>
        <w:spacing w:after="0" w:line="18" w:lineRule="exact"/>
        <w:rPr>
          <w:sz w:val="24"/>
          <w:szCs w:val="24"/>
          <w:color w:val="auto"/>
        </w:rPr>
      </w:pPr>
    </w:p>
    <w:p>
      <w:pPr>
        <w:jc w:val="center"/>
        <w:ind w:right="-5"/>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90805</wp:posOffset>
            </wp:positionV>
            <wp:extent cx="1235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90" w:lineRule="exact"/>
        <w:rPr>
          <w:sz w:val="24"/>
          <w:szCs w:val="24"/>
          <w:color w:val="auto"/>
        </w:rPr>
      </w:pPr>
    </w:p>
    <w:tbl>
      <w:tblPr>
        <w:tblLayout w:type="fixed"/>
        <w:tblInd w:w="626" w:type="dxa"/>
        <w:tblCellMar>
          <w:top w:w="0" w:type="dxa"/>
          <w:left w:w="0" w:type="dxa"/>
          <w:bottom w:w="0" w:type="dxa"/>
          <w:right w:w="0" w:type="dxa"/>
        </w:tblCellMar>
      </w:tblPr>
      <w:tr>
        <w:trPr>
          <w:trHeight w:val="184"/>
        </w:trPr>
        <w:tc>
          <w:tcPr>
            <w:tcW w:w="2640" w:type="dxa"/>
            <w:vAlign w:val="bottom"/>
          </w:tcPr>
          <w:p>
            <w:pPr>
              <w:jc w:val="center"/>
              <w:ind w:right="725"/>
              <w:spacing w:after="0"/>
              <w:rPr>
                <w:sz w:val="20"/>
                <w:szCs w:val="20"/>
                <w:color w:val="auto"/>
              </w:rPr>
            </w:pPr>
            <w:r>
              <w:rPr>
                <w:rFonts w:ascii="Arial" w:cs="Arial" w:eastAsia="Arial" w:hAnsi="Arial"/>
                <w:sz w:val="16"/>
                <w:szCs w:val="16"/>
                <w:b w:val="1"/>
                <w:bCs w:val="1"/>
                <w:color w:val="auto"/>
                <w:w w:val="91"/>
              </w:rPr>
              <w:t>Delaware</w:t>
            </w: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89"/>
              </w:rPr>
              <w:t>6200</w:t>
            </w:r>
          </w:p>
        </w:tc>
        <w:tc>
          <w:tcPr>
            <w:tcW w:w="2800" w:type="dxa"/>
            <w:vAlign w:val="bottom"/>
          </w:tcPr>
          <w:p>
            <w:pPr>
              <w:jc w:val="right"/>
              <w:ind w:right="583"/>
              <w:spacing w:after="0"/>
              <w:rPr>
                <w:sz w:val="20"/>
                <w:szCs w:val="20"/>
                <w:color w:val="auto"/>
              </w:rPr>
            </w:pPr>
            <w:r>
              <w:rPr>
                <w:rFonts w:ascii="Arial" w:cs="Arial" w:eastAsia="Arial" w:hAnsi="Arial"/>
                <w:sz w:val="16"/>
                <w:szCs w:val="16"/>
                <w:b w:val="1"/>
                <w:bCs w:val="1"/>
                <w:color w:val="auto"/>
              </w:rPr>
              <w:t>83-2456358</w:t>
            </w:r>
          </w:p>
        </w:tc>
      </w:tr>
      <w:tr>
        <w:trPr>
          <w:trHeight w:val="176"/>
        </w:trPr>
        <w:tc>
          <w:tcPr>
            <w:tcW w:w="2640" w:type="dxa"/>
            <w:vAlign w:val="bottom"/>
          </w:tcPr>
          <w:p>
            <w:pPr>
              <w:jc w:val="center"/>
              <w:ind w:right="725"/>
              <w:spacing w:after="0"/>
              <w:rPr>
                <w:sz w:val="20"/>
                <w:szCs w:val="20"/>
                <w:color w:val="auto"/>
              </w:rPr>
            </w:pPr>
            <w:r>
              <w:rPr>
                <w:rFonts w:ascii="Arial" w:cs="Arial" w:eastAsia="Arial" w:hAnsi="Arial"/>
                <w:sz w:val="14"/>
                <w:szCs w:val="14"/>
                <w:color w:val="auto"/>
                <w:w w:val="95"/>
              </w:rPr>
              <w:t>(State or other jurisdiction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(Primary Standard Industrial</w:t>
            </w:r>
          </w:p>
        </w:tc>
        <w:tc>
          <w:tcPr>
            <w:tcW w:w="2800" w:type="dxa"/>
            <w:vAlign w:val="bottom"/>
          </w:tcPr>
          <w:p>
            <w:pPr>
              <w:jc w:val="center"/>
              <w:ind w:left="623"/>
              <w:spacing w:after="0"/>
              <w:rPr>
                <w:sz w:val="20"/>
                <w:szCs w:val="20"/>
                <w:color w:val="auto"/>
              </w:rPr>
            </w:pPr>
            <w:r>
              <w:rPr>
                <w:rFonts w:ascii="Arial" w:cs="Arial" w:eastAsia="Arial" w:hAnsi="Arial"/>
                <w:sz w:val="14"/>
                <w:szCs w:val="14"/>
                <w:color w:val="auto"/>
                <w:w w:val="97"/>
              </w:rPr>
              <w:t>(I.R.S. Employer Identification No.)</w:t>
            </w:r>
          </w:p>
        </w:tc>
      </w:tr>
      <w:tr>
        <w:trPr>
          <w:trHeight w:val="182"/>
        </w:trPr>
        <w:tc>
          <w:tcPr>
            <w:tcW w:w="2640" w:type="dxa"/>
            <w:vAlign w:val="bottom"/>
          </w:tcPr>
          <w:p>
            <w:pPr>
              <w:jc w:val="center"/>
              <w:ind w:right="685"/>
              <w:spacing w:after="0"/>
              <w:rPr>
                <w:sz w:val="20"/>
                <w:szCs w:val="20"/>
                <w:color w:val="auto"/>
              </w:rPr>
            </w:pPr>
            <w:r>
              <w:rPr>
                <w:rFonts w:ascii="Arial" w:cs="Arial" w:eastAsia="Arial" w:hAnsi="Arial"/>
                <w:sz w:val="14"/>
                <w:szCs w:val="14"/>
                <w:color w:val="auto"/>
                <w:w w:val="95"/>
              </w:rPr>
              <w:t>of incorporation or organization)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Classification Code Number)</w:t>
            </w:r>
          </w:p>
        </w:tc>
        <w:tc>
          <w:tcPr>
            <w:tcW w:w="2800" w:type="dxa"/>
            <w:vAlign w:val="bottom"/>
          </w:tcPr>
          <w:p>
            <w:pPr>
              <w:spacing w:after="0"/>
              <w:rPr>
                <w:sz w:val="15"/>
                <w:szCs w:val="15"/>
                <w:color w:val="auto"/>
              </w:rPr>
            </w:pPr>
          </w:p>
        </w:tc>
      </w:tr>
    </w:tbl>
    <w:p>
      <w:pPr>
        <w:spacing w:after="0" w:line="116" w:lineRule="exact"/>
        <w:rPr>
          <w:sz w:val="24"/>
          <w:szCs w:val="24"/>
          <w:color w:val="auto"/>
        </w:rPr>
      </w:pPr>
    </w:p>
    <w:p>
      <w:pPr>
        <w:ind w:left="3866"/>
        <w:spacing w:after="0"/>
        <w:rPr>
          <w:sz w:val="20"/>
          <w:szCs w:val="20"/>
          <w:color w:val="auto"/>
        </w:rPr>
      </w:pPr>
      <w:r>
        <w:rPr>
          <w:rFonts w:ascii="Arial" w:cs="Arial" w:eastAsia="Arial" w:hAnsi="Arial"/>
          <w:sz w:val="16"/>
          <w:szCs w:val="16"/>
          <w:b w:val="1"/>
          <w:bCs w:val="1"/>
          <w:color w:val="auto"/>
        </w:rPr>
        <w:t>1177 Avenue of the Americas</w:t>
      </w:r>
    </w:p>
    <w:p>
      <w:pPr>
        <w:ind w:left="3906"/>
        <w:spacing w:after="0" w:line="211" w:lineRule="auto"/>
        <w:rPr>
          <w:sz w:val="20"/>
          <w:szCs w:val="20"/>
          <w:color w:val="auto"/>
        </w:rPr>
      </w:pPr>
      <w:r>
        <w:rPr>
          <w:rFonts w:ascii="Arial" w:cs="Arial" w:eastAsia="Arial" w:hAnsi="Arial"/>
          <w:sz w:val="16"/>
          <w:szCs w:val="16"/>
          <w:b w:val="1"/>
          <w:bCs w:val="1"/>
          <w:color w:val="auto"/>
        </w:rPr>
        <w:t>New York, New York 10036</w:t>
      </w:r>
    </w:p>
    <w:p>
      <w:pPr>
        <w:ind w:left="4366"/>
        <w:spacing w:after="0" w:line="197" w:lineRule="auto"/>
        <w:rPr>
          <w:sz w:val="20"/>
          <w:szCs w:val="20"/>
          <w:color w:val="auto"/>
        </w:rPr>
      </w:pPr>
      <w:r>
        <w:rPr>
          <w:rFonts w:ascii="Arial" w:cs="Arial" w:eastAsia="Arial" w:hAnsi="Arial"/>
          <w:sz w:val="16"/>
          <w:szCs w:val="16"/>
          <w:b w:val="1"/>
          <w:bCs w:val="1"/>
          <w:color w:val="auto"/>
        </w:rPr>
        <w:t>(646) 430-6000</w:t>
      </w:r>
    </w:p>
    <w:p>
      <w:pPr>
        <w:jc w:val="center"/>
        <w:ind w:right="-5"/>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73660</wp:posOffset>
            </wp:positionV>
            <wp:extent cx="1235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73" w:lineRule="exact"/>
        <w:rPr>
          <w:sz w:val="24"/>
          <w:szCs w:val="24"/>
          <w:color w:val="auto"/>
        </w:rPr>
      </w:pPr>
    </w:p>
    <w:p>
      <w:pPr>
        <w:jc w:val="center"/>
        <w:ind w:right="34"/>
        <w:spacing w:after="0"/>
        <w:rPr>
          <w:sz w:val="20"/>
          <w:szCs w:val="20"/>
          <w:color w:val="auto"/>
        </w:rPr>
      </w:pPr>
      <w:r>
        <w:rPr>
          <w:rFonts w:ascii="Arial" w:cs="Arial" w:eastAsia="Arial" w:hAnsi="Arial"/>
          <w:sz w:val="16"/>
          <w:szCs w:val="16"/>
          <w:b w:val="1"/>
          <w:bCs w:val="1"/>
          <w:color w:val="auto"/>
        </w:rPr>
        <w:t>Lee Olesky</w:t>
      </w:r>
    </w:p>
    <w:p>
      <w:pPr>
        <w:jc w:val="center"/>
        <w:ind w:right="34"/>
        <w:spacing w:after="0" w:line="211" w:lineRule="auto"/>
        <w:rPr>
          <w:sz w:val="20"/>
          <w:szCs w:val="20"/>
          <w:color w:val="auto"/>
        </w:rPr>
      </w:pPr>
      <w:r>
        <w:rPr>
          <w:rFonts w:ascii="Arial" w:cs="Arial" w:eastAsia="Arial" w:hAnsi="Arial"/>
          <w:sz w:val="16"/>
          <w:szCs w:val="16"/>
          <w:b w:val="1"/>
          <w:bCs w:val="1"/>
          <w:color w:val="auto"/>
        </w:rPr>
        <w:t>Chief Executive Officer</w:t>
      </w:r>
    </w:p>
    <w:p>
      <w:pPr>
        <w:jc w:val="center"/>
        <w:ind w:right="34"/>
        <w:spacing w:after="0" w:line="211" w:lineRule="auto"/>
        <w:rPr>
          <w:sz w:val="20"/>
          <w:szCs w:val="20"/>
          <w:color w:val="auto"/>
        </w:rPr>
      </w:pPr>
      <w:r>
        <w:rPr>
          <w:rFonts w:ascii="Arial" w:cs="Arial" w:eastAsia="Arial" w:hAnsi="Arial"/>
          <w:sz w:val="16"/>
          <w:szCs w:val="16"/>
          <w:b w:val="1"/>
          <w:bCs w:val="1"/>
          <w:color w:val="auto"/>
        </w:rPr>
        <w:t>1177 Avenue of the Americas</w:t>
      </w:r>
    </w:p>
    <w:p>
      <w:pPr>
        <w:jc w:val="center"/>
        <w:ind w:right="34"/>
        <w:spacing w:after="0" w:line="212" w:lineRule="auto"/>
        <w:rPr>
          <w:sz w:val="20"/>
          <w:szCs w:val="20"/>
          <w:color w:val="auto"/>
        </w:rPr>
      </w:pPr>
      <w:r>
        <w:rPr>
          <w:rFonts w:ascii="Arial" w:cs="Arial" w:eastAsia="Arial" w:hAnsi="Arial"/>
          <w:sz w:val="16"/>
          <w:szCs w:val="16"/>
          <w:b w:val="1"/>
          <w:bCs w:val="1"/>
          <w:color w:val="auto"/>
        </w:rPr>
        <w:t>New York, New York 10036</w:t>
      </w:r>
    </w:p>
    <w:p>
      <w:pPr>
        <w:jc w:val="center"/>
        <w:ind w:right="-5"/>
        <w:spacing w:after="0" w:line="215" w:lineRule="auto"/>
        <w:rPr>
          <w:sz w:val="20"/>
          <w:szCs w:val="20"/>
          <w:color w:val="auto"/>
        </w:rPr>
      </w:pPr>
      <w:r>
        <w:rPr>
          <w:rFonts w:ascii="Arial" w:cs="Arial" w:eastAsia="Arial" w:hAnsi="Arial"/>
          <w:sz w:val="16"/>
          <w:szCs w:val="16"/>
          <w:b w:val="1"/>
          <w:bCs w:val="1"/>
          <w:color w:val="auto"/>
        </w:rPr>
        <w:t>(646) 430-6000</w:t>
      </w:r>
    </w:p>
    <w:p>
      <w:pPr>
        <w:jc w:val="center"/>
        <w:ind w:right="-5"/>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64770</wp:posOffset>
            </wp:positionV>
            <wp:extent cx="1235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3" w:lineRule="exact"/>
        <w:rPr>
          <w:sz w:val="24"/>
          <w:szCs w:val="24"/>
          <w:color w:val="auto"/>
        </w:rPr>
      </w:pPr>
    </w:p>
    <w:tbl>
      <w:tblPr>
        <w:tblLayout w:type="fixed"/>
        <w:tblInd w:w="746"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80" w:type="dxa"/>
            <w:vAlign w:val="bottom"/>
            <w:gridSpan w:val="2"/>
          </w:tcPr>
          <w:p>
            <w:pPr>
              <w:ind w:left="260"/>
              <w:spacing w:after="0"/>
              <w:rPr>
                <w:sz w:val="20"/>
                <w:szCs w:val="20"/>
                <w:color w:val="auto"/>
              </w:rPr>
            </w:pPr>
            <w:r>
              <w:rPr>
                <w:rFonts w:ascii="Arial" w:cs="Arial" w:eastAsia="Arial" w:hAnsi="Arial"/>
                <w:sz w:val="16"/>
                <w:szCs w:val="16"/>
                <w:b w:val="1"/>
                <w:bCs w:val="1"/>
                <w:color w:val="auto"/>
              </w:rPr>
              <w:t>Copies to:</w:t>
            </w:r>
          </w:p>
        </w:tc>
      </w:tr>
      <w:tr>
        <w:trPr>
          <w:trHeight w:val="162"/>
        </w:trPr>
        <w:tc>
          <w:tcPr>
            <w:tcW w:w="3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0"/>
              </w:rPr>
              <w:t>Steven G. Scheinfeld, Esq.</w:t>
            </w:r>
          </w:p>
        </w:tc>
        <w:tc>
          <w:tcPr>
            <w:tcW w:w="1580" w:type="dxa"/>
            <w:vAlign w:val="bottom"/>
          </w:tcPr>
          <w:p>
            <w:pPr>
              <w:spacing w:after="0"/>
              <w:rPr>
                <w:sz w:val="14"/>
                <w:szCs w:val="14"/>
                <w:color w:val="auto"/>
              </w:rPr>
            </w:pPr>
          </w:p>
        </w:tc>
        <w:tc>
          <w:tcPr>
            <w:tcW w:w="2500" w:type="dxa"/>
            <w:vAlign w:val="bottom"/>
          </w:tcPr>
          <w:p>
            <w:pPr>
              <w:jc w:val="center"/>
              <w:ind w:left="419"/>
              <w:spacing w:after="0" w:line="162" w:lineRule="exact"/>
              <w:rPr>
                <w:sz w:val="20"/>
                <w:szCs w:val="20"/>
                <w:color w:val="auto"/>
              </w:rPr>
            </w:pPr>
            <w:r>
              <w:rPr>
                <w:rFonts w:ascii="Arial" w:cs="Arial" w:eastAsia="Arial" w:hAnsi="Arial"/>
                <w:sz w:val="16"/>
                <w:szCs w:val="16"/>
                <w:b w:val="1"/>
                <w:bCs w:val="1"/>
                <w:color w:val="auto"/>
                <w:w w:val="92"/>
              </w:rPr>
              <w:t>Michael Kaplan, Esq.</w:t>
            </w:r>
          </w:p>
        </w:tc>
      </w:tr>
      <w:tr>
        <w:trPr>
          <w:trHeight w:val="162"/>
        </w:trPr>
        <w:tc>
          <w:tcPr>
            <w:tcW w:w="3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4"/>
              </w:rPr>
              <w:t>Andrew B. Barkan, Esq.</w:t>
            </w:r>
          </w:p>
        </w:tc>
        <w:tc>
          <w:tcPr>
            <w:tcW w:w="1580" w:type="dxa"/>
            <w:vAlign w:val="bottom"/>
          </w:tcPr>
          <w:p>
            <w:pPr>
              <w:spacing w:after="0"/>
              <w:rPr>
                <w:sz w:val="14"/>
                <w:szCs w:val="14"/>
                <w:color w:val="auto"/>
              </w:rPr>
            </w:pPr>
          </w:p>
        </w:tc>
        <w:tc>
          <w:tcPr>
            <w:tcW w:w="2500" w:type="dxa"/>
            <w:vAlign w:val="bottom"/>
          </w:tcPr>
          <w:p>
            <w:pPr>
              <w:jc w:val="center"/>
              <w:ind w:left="439"/>
              <w:spacing w:after="0" w:line="162" w:lineRule="exact"/>
              <w:rPr>
                <w:sz w:val="20"/>
                <w:szCs w:val="20"/>
                <w:color w:val="auto"/>
              </w:rPr>
            </w:pPr>
            <w:r>
              <w:rPr>
                <w:rFonts w:ascii="Arial" w:cs="Arial" w:eastAsia="Arial" w:hAnsi="Arial"/>
                <w:sz w:val="16"/>
                <w:szCs w:val="16"/>
                <w:b w:val="1"/>
                <w:bCs w:val="1"/>
                <w:color w:val="auto"/>
                <w:w w:val="91"/>
              </w:rPr>
              <w:t>Shane Tintle, Esq.</w:t>
            </w:r>
          </w:p>
        </w:tc>
      </w:tr>
      <w:tr>
        <w:trPr>
          <w:trHeight w:val="162"/>
        </w:trPr>
        <w:tc>
          <w:tcPr>
            <w:tcW w:w="3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Fried, Frank, Harris, Shriver &amp; Jacobson LLP</w:t>
            </w:r>
          </w:p>
        </w:tc>
        <w:tc>
          <w:tcPr>
            <w:tcW w:w="1580" w:type="dxa"/>
            <w:vAlign w:val="bottom"/>
          </w:tcPr>
          <w:p>
            <w:pPr>
              <w:spacing w:after="0"/>
              <w:rPr>
                <w:sz w:val="14"/>
                <w:szCs w:val="14"/>
                <w:color w:val="auto"/>
              </w:rPr>
            </w:pPr>
          </w:p>
        </w:tc>
        <w:tc>
          <w:tcPr>
            <w:tcW w:w="2500" w:type="dxa"/>
            <w:vAlign w:val="bottom"/>
          </w:tcPr>
          <w:p>
            <w:pPr>
              <w:jc w:val="center"/>
              <w:ind w:left="419"/>
              <w:spacing w:after="0" w:line="162" w:lineRule="exact"/>
              <w:rPr>
                <w:sz w:val="20"/>
                <w:szCs w:val="20"/>
                <w:color w:val="auto"/>
              </w:rPr>
            </w:pPr>
            <w:r>
              <w:rPr>
                <w:rFonts w:ascii="Arial" w:cs="Arial" w:eastAsia="Arial" w:hAnsi="Arial"/>
                <w:sz w:val="16"/>
                <w:szCs w:val="16"/>
                <w:b w:val="1"/>
                <w:bCs w:val="1"/>
                <w:color w:val="auto"/>
                <w:w w:val="96"/>
              </w:rPr>
              <w:t>Davis Polk &amp; Wardwell LLP</w:t>
            </w:r>
          </w:p>
        </w:tc>
      </w:tr>
      <w:tr>
        <w:trPr>
          <w:trHeight w:val="162"/>
        </w:trPr>
        <w:tc>
          <w:tcPr>
            <w:tcW w:w="3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One New York Plaza</w:t>
            </w:r>
          </w:p>
        </w:tc>
        <w:tc>
          <w:tcPr>
            <w:tcW w:w="1580" w:type="dxa"/>
            <w:vAlign w:val="bottom"/>
          </w:tcPr>
          <w:p>
            <w:pPr>
              <w:spacing w:after="0"/>
              <w:rPr>
                <w:sz w:val="14"/>
                <w:szCs w:val="14"/>
                <w:color w:val="auto"/>
              </w:rPr>
            </w:pPr>
          </w:p>
        </w:tc>
        <w:tc>
          <w:tcPr>
            <w:tcW w:w="2500" w:type="dxa"/>
            <w:vAlign w:val="bottom"/>
          </w:tcPr>
          <w:p>
            <w:pPr>
              <w:jc w:val="center"/>
              <w:ind w:left="419"/>
              <w:spacing w:after="0" w:line="162" w:lineRule="exact"/>
              <w:rPr>
                <w:sz w:val="20"/>
                <w:szCs w:val="20"/>
                <w:color w:val="auto"/>
              </w:rPr>
            </w:pPr>
            <w:r>
              <w:rPr>
                <w:rFonts w:ascii="Arial" w:cs="Arial" w:eastAsia="Arial" w:hAnsi="Arial"/>
                <w:sz w:val="16"/>
                <w:szCs w:val="16"/>
                <w:b w:val="1"/>
                <w:bCs w:val="1"/>
                <w:color w:val="auto"/>
                <w:w w:val="89"/>
              </w:rPr>
              <w:t>450 Lexington Avenue</w:t>
            </w:r>
          </w:p>
        </w:tc>
      </w:tr>
      <w:tr>
        <w:trPr>
          <w:trHeight w:val="162"/>
        </w:trPr>
        <w:tc>
          <w:tcPr>
            <w:tcW w:w="3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New York, New York 10004</w:t>
            </w:r>
          </w:p>
        </w:tc>
        <w:tc>
          <w:tcPr>
            <w:tcW w:w="1580" w:type="dxa"/>
            <w:vAlign w:val="bottom"/>
          </w:tcPr>
          <w:p>
            <w:pPr>
              <w:spacing w:after="0"/>
              <w:rPr>
                <w:sz w:val="14"/>
                <w:szCs w:val="14"/>
                <w:color w:val="auto"/>
              </w:rPr>
            </w:pPr>
          </w:p>
        </w:tc>
        <w:tc>
          <w:tcPr>
            <w:tcW w:w="2500" w:type="dxa"/>
            <w:vAlign w:val="bottom"/>
          </w:tcPr>
          <w:p>
            <w:pPr>
              <w:jc w:val="center"/>
              <w:ind w:left="419"/>
              <w:spacing w:after="0" w:line="162" w:lineRule="exact"/>
              <w:rPr>
                <w:sz w:val="20"/>
                <w:szCs w:val="20"/>
                <w:color w:val="auto"/>
              </w:rPr>
            </w:pPr>
            <w:r>
              <w:rPr>
                <w:rFonts w:ascii="Arial" w:cs="Arial" w:eastAsia="Arial" w:hAnsi="Arial"/>
                <w:sz w:val="16"/>
                <w:szCs w:val="16"/>
                <w:b w:val="1"/>
                <w:bCs w:val="1"/>
                <w:color w:val="auto"/>
                <w:w w:val="94"/>
              </w:rPr>
              <w:t>New York, New York 10017</w:t>
            </w:r>
          </w:p>
        </w:tc>
      </w:tr>
      <w:tr>
        <w:trPr>
          <w:trHeight w:val="210"/>
        </w:trPr>
        <w:tc>
          <w:tcPr>
            <w:tcW w:w="316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(212) 859-8000</w:t>
            </w:r>
          </w:p>
        </w:tc>
        <w:tc>
          <w:tcPr>
            <w:tcW w:w="360" w:type="dxa"/>
            <w:vAlign w:val="bottom"/>
          </w:tcPr>
          <w:p>
            <w:pPr>
              <w:spacing w:after="0"/>
              <w:rPr>
                <w:sz w:val="18"/>
                <w:szCs w:val="18"/>
                <w:color w:val="auto"/>
              </w:rPr>
            </w:pPr>
          </w:p>
        </w:tc>
        <w:tc>
          <w:tcPr>
            <w:tcW w:w="4080" w:type="dxa"/>
            <w:vAlign w:val="bottom"/>
            <w:gridSpan w:val="2"/>
          </w:tcPr>
          <w:p>
            <w:pPr>
              <w:jc w:val="center"/>
              <w:ind w:left="1999"/>
              <w:spacing w:after="0"/>
              <w:rPr>
                <w:sz w:val="20"/>
                <w:szCs w:val="20"/>
                <w:color w:val="auto"/>
              </w:rPr>
            </w:pPr>
            <w:r>
              <w:rPr>
                <w:rFonts w:ascii="Arial" w:cs="Arial" w:eastAsia="Arial" w:hAnsi="Arial"/>
                <w:sz w:val="16"/>
                <w:szCs w:val="16"/>
                <w:b w:val="1"/>
                <w:bCs w:val="1"/>
                <w:color w:val="auto"/>
                <w:w w:val="91"/>
              </w:rPr>
              <w:t>(212) 450-4000</w:t>
            </w:r>
          </w:p>
        </w:tc>
      </w:tr>
      <w:tr>
        <w:trPr>
          <w:trHeight w:val="60"/>
        </w:trPr>
        <w:tc>
          <w:tcPr>
            <w:tcW w:w="31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500" w:type="dxa"/>
            <w:vAlign w:val="bottom"/>
          </w:tcPr>
          <w:p>
            <w:pPr>
              <w:spacing w:after="0"/>
              <w:rPr>
                <w:sz w:val="5"/>
                <w:szCs w:val="5"/>
                <w:color w:val="auto"/>
              </w:rPr>
            </w:pPr>
          </w:p>
        </w:tc>
      </w:tr>
    </w:tbl>
    <w:p>
      <w:pPr>
        <w:spacing w:after="0" w:line="89" w:lineRule="exact"/>
        <w:rPr>
          <w:sz w:val="24"/>
          <w:szCs w:val="24"/>
          <w:color w:val="auto"/>
        </w:rPr>
      </w:pPr>
    </w:p>
    <w:p>
      <w:pPr>
        <w:ind w:left="366"/>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1" w:lineRule="exact"/>
        <w:rPr>
          <w:sz w:val="24"/>
          <w:szCs w:val="24"/>
          <w:color w:val="auto"/>
        </w:rPr>
      </w:pPr>
    </w:p>
    <w:p>
      <w:pPr>
        <w:ind w:left="6" w:right="300" w:firstLine="360"/>
        <w:spacing w:after="0" w:line="15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6" w:right="180" w:firstLine="360"/>
        <w:spacing w:after="0" w:line="149"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r>
        <w:rPr>
          <w:rFonts w:ascii="Arial" w:cs="Arial" w:eastAsia="Arial" w:hAnsi="Arial"/>
          <w:sz w:val="13"/>
          <w:szCs w:val="13"/>
          <w:color w:val="auto"/>
        </w:rPr>
        <w:t xml:space="preserve"> File No. 333-230115</w:t>
      </w:r>
    </w:p>
    <w:p>
      <w:pPr>
        <w:spacing w:after="0" w:line="1" w:lineRule="exact"/>
        <w:rPr>
          <w:sz w:val="24"/>
          <w:szCs w:val="24"/>
          <w:color w:val="auto"/>
        </w:rPr>
      </w:pPr>
    </w:p>
    <w:p>
      <w:pPr>
        <w:ind w:left="6" w:right="140" w:firstLine="360"/>
        <w:spacing w:after="0" w:line="15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6" w:right="140" w:firstLine="36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6" w:right="20" w:firstLine="360"/>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366" w:type="dxa"/>
        <w:tblCellMar>
          <w:top w:w="0" w:type="dxa"/>
          <w:left w:w="0" w:type="dxa"/>
          <w:bottom w:w="0" w:type="dxa"/>
          <w:right w:w="0" w:type="dxa"/>
        </w:tblCellMar>
      </w:tblPr>
      <w:tr>
        <w:trPr>
          <w:trHeight w:val="161"/>
        </w:trPr>
        <w:tc>
          <w:tcPr>
            <w:tcW w:w="1400" w:type="dxa"/>
            <w:vAlign w:val="bottom"/>
          </w:tcPr>
          <w:p>
            <w:pPr>
              <w:spacing w:after="0"/>
              <w:rPr>
                <w:sz w:val="20"/>
                <w:szCs w:val="20"/>
                <w:color w:val="auto"/>
              </w:rPr>
            </w:pPr>
            <w:r>
              <w:rPr>
                <w:rFonts w:ascii="Arial" w:cs="Arial" w:eastAsia="Arial" w:hAnsi="Arial"/>
                <w:sz w:val="14"/>
                <w:szCs w:val="14"/>
                <w:color w:val="auto"/>
                <w:w w:val="99"/>
              </w:rPr>
              <w:t>Large accelerated filer</w:t>
            </w:r>
          </w:p>
        </w:tc>
        <w:tc>
          <w:tcPr>
            <w:tcW w:w="18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58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2"/>
        </w:trPr>
        <w:tc>
          <w:tcPr>
            <w:tcW w:w="1400" w:type="dxa"/>
            <w:vAlign w:val="bottom"/>
          </w:tcPr>
          <w:p>
            <w:pPr>
              <w:spacing w:after="0"/>
              <w:rPr>
                <w:sz w:val="20"/>
                <w:szCs w:val="20"/>
                <w:color w:val="auto"/>
              </w:rPr>
            </w:pPr>
            <w:r>
              <w:rPr>
                <w:rFonts w:ascii="Arial" w:cs="Arial" w:eastAsia="Arial" w:hAnsi="Arial"/>
                <w:sz w:val="14"/>
                <w:szCs w:val="14"/>
                <w:color w:val="auto"/>
              </w:rPr>
              <w:t>Non-accelerated filer</w:t>
            </w:r>
          </w:p>
        </w:tc>
        <w:tc>
          <w:tcPr>
            <w:tcW w:w="18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58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340" w:type="dxa"/>
            <w:vAlign w:val="bottom"/>
          </w:tcPr>
          <w:p>
            <w:pPr>
              <w:ind w:left="158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6" w:lineRule="exact"/>
        <w:rPr>
          <w:sz w:val="24"/>
          <w:szCs w:val="24"/>
          <w:color w:val="auto"/>
        </w:rPr>
      </w:pPr>
    </w:p>
    <w:p>
      <w:pPr>
        <w:ind w:left="6" w:right="380" w:firstLine="36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49530</wp:posOffset>
            </wp:positionV>
            <wp:extent cx="1235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25"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CALCULATION OF REGISTRATION FEE</w:t>
      </w:r>
    </w:p>
    <w:p>
      <w:pPr>
        <w:spacing w:after="0" w:line="26" w:lineRule="exact"/>
        <w:rPr>
          <w:sz w:val="24"/>
          <w:szCs w:val="24"/>
          <w:color w:val="auto"/>
        </w:rPr>
      </w:pPr>
    </w:p>
    <w:tbl>
      <w:tblPr>
        <w:tblLayout w:type="fixed"/>
        <w:tblInd w:w="6" w:type="dxa"/>
        <w:tblCellMar>
          <w:top w:w="0" w:type="dxa"/>
          <w:left w:w="0" w:type="dxa"/>
          <w:bottom w:w="0" w:type="dxa"/>
          <w:right w:w="0" w:type="dxa"/>
        </w:tblCellMar>
      </w:tblPr>
      <w:tr>
        <w:trPr>
          <w:trHeight w:val="40"/>
        </w:trPr>
        <w:tc>
          <w:tcPr>
            <w:tcW w:w="376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r>
      <w:tr>
        <w:trPr>
          <w:trHeight w:val="119"/>
        </w:trPr>
        <w:tc>
          <w:tcPr>
            <w:tcW w:w="37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Proposed Maximum</w:t>
            </w:r>
          </w:p>
        </w:tc>
        <w:tc>
          <w:tcPr>
            <w:tcW w:w="1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Proposed Maximum</w:t>
            </w:r>
          </w:p>
        </w:tc>
        <w:tc>
          <w:tcPr>
            <w:tcW w:w="1140" w:type="dxa"/>
            <w:vAlign w:val="bottom"/>
          </w:tcPr>
          <w:p>
            <w:pPr>
              <w:spacing w:after="0"/>
              <w:rPr>
                <w:sz w:val="10"/>
                <w:szCs w:val="10"/>
                <w:color w:val="auto"/>
              </w:rPr>
            </w:pPr>
          </w:p>
        </w:tc>
      </w:tr>
      <w:tr>
        <w:trPr>
          <w:trHeight w:val="158"/>
        </w:trPr>
        <w:tc>
          <w:tcPr>
            <w:tcW w:w="3760" w:type="dxa"/>
            <w:vAlign w:val="bottom"/>
          </w:tcPr>
          <w:p>
            <w:pPr>
              <w:spacing w:after="0"/>
              <w:rPr>
                <w:sz w:val="13"/>
                <w:szCs w:val="13"/>
                <w:color w:val="auto"/>
              </w:rPr>
            </w:pPr>
          </w:p>
        </w:tc>
        <w:tc>
          <w:tcPr>
            <w:tcW w:w="1820" w:type="dxa"/>
            <w:vAlign w:val="bottom"/>
          </w:tcPr>
          <w:p>
            <w:pPr>
              <w:jc w:val="center"/>
              <w:ind w:left="591"/>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Aggregate Offering</w:t>
            </w:r>
          </w:p>
        </w:tc>
        <w:tc>
          <w:tcPr>
            <w:tcW w:w="1140" w:type="dxa"/>
            <w:vAlign w:val="bottom"/>
          </w:tcPr>
          <w:p>
            <w:pPr>
              <w:jc w:val="center"/>
              <w:ind w:left="11"/>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203"/>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820" w:type="dxa"/>
            <w:vAlign w:val="bottom"/>
            <w:tcBorders>
              <w:bottom w:val="single" w:sz="8" w:color="auto"/>
            </w:tcBorders>
          </w:tcPr>
          <w:p>
            <w:pPr>
              <w:jc w:val="center"/>
              <w:ind w:left="651"/>
              <w:spacing w:after="0" w:line="203" w:lineRule="exact"/>
              <w:rPr>
                <w:sz w:val="20"/>
                <w:szCs w:val="20"/>
                <w:color w:val="auto"/>
              </w:rPr>
            </w:pPr>
            <w:r>
              <w:rPr>
                <w:rFonts w:ascii="Arial" w:cs="Arial" w:eastAsia="Arial" w:hAnsi="Arial"/>
                <w:sz w:val="14"/>
                <w:szCs w:val="14"/>
                <w:b w:val="1"/>
                <w:bCs w:val="1"/>
                <w:color w:val="auto"/>
                <w:w w:val="84"/>
              </w:rPr>
              <w:t>Registered</w:t>
            </w:r>
            <w:r>
              <w:rPr>
                <w:rFonts w:ascii="Arial" w:cs="Arial" w:eastAsia="Arial" w:hAnsi="Arial"/>
                <w:sz w:val="21"/>
                <w:szCs w:val="21"/>
                <w:b w:val="1"/>
                <w:bCs w:val="1"/>
                <w:color w:val="auto"/>
                <w:w w:val="84"/>
                <w:vertAlign w:val="superscript"/>
              </w:rPr>
              <w:t>(1)(2)</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3"/>
                <w:vertAlign w:val="subscript"/>
              </w:rPr>
              <w:t>Price</w:t>
            </w:r>
            <w:r>
              <w:rPr>
                <w:rFonts w:ascii="Arial" w:cs="Arial" w:eastAsia="Arial" w:hAnsi="Arial"/>
                <w:sz w:val="10"/>
                <w:szCs w:val="10"/>
                <w:b w:val="1"/>
                <w:bCs w:val="1"/>
                <w:color w:val="auto"/>
                <w:w w:val="93"/>
              </w:rPr>
              <w:t>(1)(2)</w:t>
            </w:r>
          </w:p>
        </w:tc>
        <w:tc>
          <w:tcPr>
            <w:tcW w:w="1140" w:type="dxa"/>
            <w:vAlign w:val="bottom"/>
            <w:tcBorders>
              <w:bottom w:val="single" w:sz="8" w:color="auto"/>
            </w:tcBorders>
          </w:tcPr>
          <w:p>
            <w:pPr>
              <w:jc w:val="center"/>
              <w:ind w:left="51"/>
              <w:spacing w:after="0"/>
              <w:rPr>
                <w:sz w:val="20"/>
                <w:szCs w:val="20"/>
                <w:color w:val="auto"/>
              </w:rPr>
            </w:pPr>
            <w:r>
              <w:rPr>
                <w:rFonts w:ascii="Arial" w:cs="Arial" w:eastAsia="Arial" w:hAnsi="Arial"/>
                <w:sz w:val="14"/>
                <w:szCs w:val="14"/>
                <w:b w:val="1"/>
                <w:bCs w:val="1"/>
                <w:color w:val="auto"/>
                <w:w w:val="92"/>
              </w:rPr>
              <w:t>Registration Fee</w:t>
            </w:r>
          </w:p>
        </w:tc>
      </w:tr>
      <w:tr>
        <w:trPr>
          <w:trHeight w:val="155"/>
        </w:trPr>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Class A common stock, par value $0.00001 per share</w:t>
            </w:r>
          </w:p>
        </w:tc>
        <w:tc>
          <w:tcPr>
            <w:tcW w:w="1820" w:type="dxa"/>
            <w:vAlign w:val="bottom"/>
            <w:tcBorders>
              <w:bottom w:val="single" w:sz="8" w:color="auto"/>
            </w:tcBorders>
            <w:shd w:val="clear" w:color="auto" w:fill="CCEEFF"/>
          </w:tcPr>
          <w:p>
            <w:pPr>
              <w:jc w:val="center"/>
              <w:ind w:left="651"/>
              <w:spacing w:after="0"/>
              <w:rPr>
                <w:sz w:val="20"/>
                <w:szCs w:val="20"/>
                <w:color w:val="auto"/>
              </w:rPr>
            </w:pPr>
            <w:r>
              <w:rPr>
                <w:rFonts w:ascii="Arial" w:cs="Arial" w:eastAsia="Arial" w:hAnsi="Arial"/>
                <w:sz w:val="13"/>
                <w:szCs w:val="13"/>
                <w:color w:val="auto"/>
                <w:w w:val="86"/>
              </w:rPr>
              <w:t>4,315,786</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$ 27.00</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$ 116,526,222</w:t>
            </w:r>
          </w:p>
        </w:tc>
        <w:tc>
          <w:tcPr>
            <w:tcW w:w="114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3"/>
                <w:szCs w:val="13"/>
                <w:color w:val="auto"/>
                <w:w w:val="86"/>
              </w:rPr>
              <w:t>$ 14,123</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3" w:lineRule="exact"/>
        <w:rPr>
          <w:sz w:val="24"/>
          <w:szCs w:val="24"/>
          <w:color w:val="auto"/>
        </w:rPr>
      </w:pPr>
    </w:p>
    <w:p>
      <w:pPr>
        <w:ind w:left="366" w:right="140" w:hanging="366"/>
        <w:spacing w:after="0" w:line="277" w:lineRule="auto"/>
        <w:tabs>
          <w:tab w:leader="none" w:pos="36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amount is in addition to the 41,684,214 shares of Class A common stock registered under the registration statement originally declared effective on April 3, 2019 (File No. 333-230115), and includes shares of Class A common stock that may be purchased by the underwriters upon exercise of their option to purchase additional shares of Class A common stock.</w:t>
      </w:r>
    </w:p>
    <w:p>
      <w:pPr>
        <w:spacing w:after="0" w:line="144" w:lineRule="exact"/>
        <w:rPr>
          <w:rFonts w:ascii="Arial" w:cs="Arial" w:eastAsia="Arial" w:hAnsi="Arial"/>
          <w:sz w:val="14"/>
          <w:szCs w:val="14"/>
          <w:color w:val="auto"/>
        </w:rPr>
      </w:pPr>
    </w:p>
    <w:p>
      <w:pPr>
        <w:ind w:left="366" w:right="100" w:hanging="366"/>
        <w:spacing w:after="0" w:line="293" w:lineRule="auto"/>
        <w:tabs>
          <w:tab w:leader="none" w:pos="36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amount represents the proposed maximum aggregate offering price of the securities registered hereunder. Estimated solely for the purpose of calculating the amount of the registration fee pursuant to Rule 457(a) under the Securities Act of 1933, as amended.</w:t>
      </w:r>
    </w:p>
    <w:p>
      <w:pPr>
        <w:spacing w:after="0" w:line="62" w:lineRule="exact"/>
        <w:rPr>
          <w:rFonts w:ascii="Arial" w:cs="Arial" w:eastAsia="Arial" w:hAnsi="Arial"/>
          <w:sz w:val="14"/>
          <w:szCs w:val="14"/>
          <w:color w:val="auto"/>
        </w:rPr>
      </w:pPr>
    </w:p>
    <w:p>
      <w:pPr>
        <w:ind w:left="366"/>
        <w:spacing w:after="0"/>
        <w:rPr>
          <w:rFonts w:ascii="Arial" w:cs="Arial" w:eastAsia="Arial" w:hAnsi="Arial"/>
          <w:sz w:val="14"/>
          <w:szCs w:val="14"/>
          <w:color w:val="auto"/>
        </w:rPr>
      </w:pPr>
      <w:r>
        <w:rPr>
          <w:rFonts w:ascii="Arial" w:cs="Arial" w:eastAsia="Arial" w:hAnsi="Arial"/>
          <w:sz w:val="14"/>
          <w:szCs w:val="14"/>
          <w:b w:val="1"/>
          <w:bCs w:val="1"/>
          <w:color w:val="auto"/>
        </w:rPr>
        <w:t>This Registration Statement shall become effective upon filing in accordance with Rule 462(b)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182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160655</wp:posOffset>
            </wp:positionV>
            <wp:extent cx="61829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2995" cy="1714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414020</wp:posOffset>
            </wp:positionV>
            <wp:extent cx="68345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746"/>
          </w:cols>
          <w:pgMar w:left="734" w:top="688" w:right="1419" w:bottom="1440" w:gutter="0" w:footer="0" w:header="0"/>
        </w:sectPr>
      </w:pPr>
    </w:p>
    <w:bookmarkStart w:id="1" w:name="page2"/>
    <w:bookmarkEnd w:id="1"/>
    <w:p>
      <w:pPr>
        <w:jc w:val="center"/>
        <w:ind w:right="679"/>
        <w:spacing w:after="0"/>
        <w:rPr>
          <w:sz w:val="20"/>
          <w:szCs w:val="20"/>
          <w:color w:val="auto"/>
        </w:rPr>
      </w:pPr>
      <w:r>
        <w:rPr>
          <w:rFonts w:ascii="Arial" w:cs="Arial" w:eastAsia="Arial" w:hAnsi="Arial"/>
          <w:sz w:val="18"/>
          <w:szCs w:val="18"/>
          <w:b w:val="1"/>
          <w:bCs w:val="1"/>
          <w:color w:val="auto"/>
        </w:rPr>
        <w:t>EXPLANATORY NOTE</w:t>
      </w:r>
    </w:p>
    <w:p>
      <w:pPr>
        <w:spacing w:after="0" w:line="108" w:lineRule="exact"/>
        <w:rPr>
          <w:sz w:val="20"/>
          <w:szCs w:val="20"/>
          <w:color w:val="auto"/>
        </w:rPr>
      </w:pPr>
    </w:p>
    <w:p>
      <w:pPr>
        <w:ind w:left="60" w:right="759" w:firstLine="360"/>
        <w:spacing w:after="0" w:line="286" w:lineRule="auto"/>
        <w:rPr>
          <w:sz w:val="20"/>
          <w:szCs w:val="20"/>
          <w:color w:val="auto"/>
        </w:rPr>
      </w:pPr>
      <w:r>
        <w:rPr>
          <w:rFonts w:ascii="Arial" w:cs="Arial" w:eastAsia="Arial" w:hAnsi="Arial"/>
          <w:sz w:val="16"/>
          <w:szCs w:val="16"/>
          <w:color w:val="auto"/>
        </w:rPr>
        <w:t>This Registration Statement is being filed by Tradeweb Markets Inc. (the “Company”) pursuant to Rule 462(b) under the Securities Act of 1933, as amended, to register an additional number of shares of the Company’s Class A common stock, par value $0.00001 per share. The Company hereby incorporates by reference into this Registration Statement on Form S-1 in its entirety the Registration Statement on Form S-1 (File No. 333-</w:t>
      </w:r>
    </w:p>
    <w:p>
      <w:pPr>
        <w:spacing w:after="0" w:line="2" w:lineRule="exact"/>
        <w:rPr>
          <w:sz w:val="20"/>
          <w:szCs w:val="20"/>
          <w:color w:val="auto"/>
        </w:rPr>
      </w:pPr>
    </w:p>
    <w:p>
      <w:pPr>
        <w:ind w:left="60" w:right="939"/>
        <w:spacing w:after="0" w:line="261" w:lineRule="auto"/>
        <w:rPr>
          <w:sz w:val="20"/>
          <w:szCs w:val="20"/>
          <w:color w:val="auto"/>
        </w:rPr>
      </w:pPr>
      <w:r>
        <w:rPr>
          <w:rFonts w:ascii="Arial" w:cs="Arial" w:eastAsia="Arial" w:hAnsi="Arial"/>
          <w:sz w:val="18"/>
          <w:szCs w:val="18"/>
          <w:color w:val="auto"/>
        </w:rPr>
        <w:t>230115), as amended (including the exhibits thereto), declared effective on April 3, 2019 by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6570980</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20" w:type="dxa"/>
            <w:vAlign w:val="bottom"/>
            <w:gridSpan w:val="7"/>
          </w:tcPr>
          <w:p>
            <w:pPr>
              <w:ind w:left="2220"/>
              <w:spacing w:after="0"/>
              <w:rPr>
                <w:sz w:val="20"/>
                <w:szCs w:val="20"/>
                <w:color w:val="auto"/>
              </w:rPr>
            </w:pPr>
            <w:r>
              <w:rPr>
                <w:rFonts w:ascii="Arial" w:cs="Arial" w:eastAsia="Arial" w:hAnsi="Arial"/>
                <w:sz w:val="18"/>
                <w:szCs w:val="18"/>
                <w:b w:val="1"/>
                <w:bCs w:val="1"/>
                <w:color w:val="auto"/>
              </w:rPr>
              <w:t>INDEX TO EXHIBITS</w:t>
            </w:r>
          </w:p>
        </w:tc>
      </w:tr>
      <w:tr>
        <w:trPr>
          <w:trHeight w:val="261"/>
        </w:trPr>
        <w:tc>
          <w:tcPr>
            <w:tcW w:w="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186"/>
        </w:trPr>
        <w:tc>
          <w:tcPr>
            <w:tcW w:w="240" w:type="dxa"/>
            <w:vAlign w:val="bottom"/>
          </w:tcPr>
          <w:p>
            <w:pPr>
              <w:spacing w:after="0"/>
              <w:rPr>
                <w:sz w:val="16"/>
                <w:szCs w:val="16"/>
                <w:color w:val="auto"/>
              </w:rPr>
            </w:pPr>
          </w:p>
        </w:tc>
        <w:tc>
          <w:tcPr>
            <w:tcW w:w="7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20" w:type="dxa"/>
            <w:vAlign w:val="bottom"/>
            <w:gridSpan w:val="5"/>
          </w:tcPr>
          <w:p>
            <w:pPr>
              <w:spacing w:after="0"/>
              <w:rPr>
                <w:sz w:val="20"/>
                <w:szCs w:val="20"/>
                <w:color w:val="auto"/>
              </w:rPr>
            </w:pPr>
            <w:r>
              <w:rPr>
                <w:rFonts w:ascii="Arial" w:cs="Arial" w:eastAsia="Arial" w:hAnsi="Arial"/>
                <w:sz w:val="14"/>
                <w:szCs w:val="14"/>
                <w:b w:val="1"/>
                <w:bCs w:val="1"/>
                <w:color w:val="auto"/>
              </w:rPr>
              <w:t>Exhibit Description</w:t>
            </w:r>
          </w:p>
        </w:tc>
      </w:tr>
      <w:tr>
        <w:trPr>
          <w:trHeight w:val="53"/>
        </w:trPr>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237"/>
        </w:trPr>
        <w:tc>
          <w:tcPr>
            <w:tcW w:w="560" w:type="dxa"/>
            <w:vAlign w:val="bottom"/>
            <w:gridSpan w:val="3"/>
          </w:tcPr>
          <w:p>
            <w:pPr>
              <w:jc w:val="right"/>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20" w:type="dxa"/>
            <w:vAlign w:val="bottom"/>
            <w:gridSpan w:val="7"/>
          </w:tcPr>
          <w:p>
            <w:pPr>
              <w:spacing w:after="0"/>
              <w:rPr>
                <w:sz w:val="20"/>
                <w:szCs w:val="20"/>
                <w:color w:val="auto"/>
              </w:rPr>
            </w:pPr>
            <w:r>
              <w:rPr>
                <w:rFonts w:ascii="Arial" w:cs="Arial" w:eastAsia="Arial" w:hAnsi="Arial"/>
                <w:sz w:val="18"/>
                <w:szCs w:val="18"/>
                <w:color w:val="0000EE"/>
              </w:rPr>
              <w:t>Opinion of Fried, Frank, Harris, Shriver &amp; Jacobson LLP.</w:t>
            </w: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1"/>
        </w:trPr>
        <w:tc>
          <w:tcPr>
            <w:tcW w:w="240" w:type="dxa"/>
            <w:vAlign w:val="bottom"/>
          </w:tcPr>
          <w:p>
            <w:pPr>
              <w:spacing w:after="0"/>
              <w:rPr>
                <w:sz w:val="24"/>
                <w:szCs w:val="24"/>
                <w:color w:val="auto"/>
              </w:rPr>
            </w:pPr>
          </w:p>
        </w:tc>
        <w:tc>
          <w:tcPr>
            <w:tcW w:w="32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Consent of Deloitte &amp; Touche LLP.</w:t>
            </w:r>
          </w:p>
        </w:tc>
        <w:tc>
          <w:tcPr>
            <w:tcW w:w="4660" w:type="dxa"/>
            <w:vAlign w:val="bottom"/>
            <w:gridSpan w:val="6"/>
          </w:tcPr>
          <w:p>
            <w:pPr>
              <w:spacing w:after="0"/>
              <w:rPr>
                <w:sz w:val="24"/>
                <w:szCs w:val="24"/>
                <w:color w:val="auto"/>
              </w:rPr>
            </w:pPr>
          </w:p>
        </w:tc>
      </w:tr>
      <w:tr>
        <w:trPr>
          <w:trHeight w:val="291"/>
        </w:trPr>
        <w:tc>
          <w:tcPr>
            <w:tcW w:w="240" w:type="dxa"/>
            <w:vAlign w:val="bottom"/>
          </w:tcPr>
          <w:p>
            <w:pPr>
              <w:spacing w:after="0"/>
              <w:rPr>
                <w:sz w:val="24"/>
                <w:szCs w:val="24"/>
                <w:color w:val="auto"/>
              </w:rPr>
            </w:pPr>
          </w:p>
        </w:tc>
        <w:tc>
          <w:tcPr>
            <w:tcW w:w="32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Consent of Deloitte &amp; Touche LLP.</w:t>
            </w:r>
          </w:p>
        </w:tc>
        <w:tc>
          <w:tcPr>
            <w:tcW w:w="4660" w:type="dxa"/>
            <w:vAlign w:val="bottom"/>
            <w:gridSpan w:val="6"/>
          </w:tcPr>
          <w:p>
            <w:pPr>
              <w:spacing w:after="0"/>
              <w:rPr>
                <w:sz w:val="24"/>
                <w:szCs w:val="24"/>
                <w:color w:val="auto"/>
              </w:rPr>
            </w:pPr>
          </w:p>
        </w:tc>
      </w:tr>
      <w:tr>
        <w:trPr>
          <w:trHeight w:val="291"/>
        </w:trPr>
        <w:tc>
          <w:tcPr>
            <w:tcW w:w="2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gridSpan w:val="7"/>
          </w:tcPr>
          <w:p>
            <w:pPr>
              <w:spacing w:after="0"/>
              <w:rPr>
                <w:sz w:val="20"/>
                <w:szCs w:val="20"/>
                <w:color w:val="auto"/>
              </w:rPr>
            </w:pPr>
            <w:r>
              <w:rPr>
                <w:rFonts w:ascii="Arial" w:cs="Arial" w:eastAsia="Arial" w:hAnsi="Arial"/>
                <w:sz w:val="18"/>
                <w:szCs w:val="18"/>
                <w:color w:val="0000EE"/>
              </w:rPr>
              <w:t>Consent of PricewaterhouseCoopers LLP.</w:t>
            </w:r>
          </w:p>
        </w:tc>
      </w:tr>
      <w:tr>
        <w:trPr>
          <w:trHeight w:val="20"/>
        </w:trPr>
        <w:tc>
          <w:tcPr>
            <w:tcW w:w="2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1"/>
        </w:trPr>
        <w:tc>
          <w:tcPr>
            <w:tcW w:w="2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gridSpan w:val="7"/>
          </w:tcPr>
          <w:p>
            <w:pPr>
              <w:spacing w:after="0"/>
              <w:rPr>
                <w:sz w:val="20"/>
                <w:szCs w:val="20"/>
                <w:color w:val="auto"/>
              </w:rPr>
            </w:pPr>
            <w:r>
              <w:rPr>
                <w:rFonts w:ascii="Arial" w:cs="Arial" w:eastAsia="Arial" w:hAnsi="Arial"/>
                <w:sz w:val="18"/>
                <w:szCs w:val="18"/>
                <w:color w:val="0000EE"/>
              </w:rPr>
              <w:t>Consent of Fried, Frank, Harris, Shriver &amp; Jacobson LLP (included in Exhibit 5.1).</w:t>
            </w:r>
          </w:p>
        </w:tc>
      </w:tr>
      <w:tr>
        <w:trPr>
          <w:trHeight w:val="20"/>
        </w:trPr>
        <w:tc>
          <w:tcPr>
            <w:tcW w:w="2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240" w:type="dxa"/>
            <w:vAlign w:val="bottom"/>
          </w:tcPr>
          <w:p>
            <w:pPr>
              <w:spacing w:after="0"/>
              <w:rPr>
                <w:sz w:val="24"/>
                <w:szCs w:val="24"/>
                <w:color w:val="auto"/>
              </w:rPr>
            </w:pPr>
          </w:p>
        </w:tc>
        <w:tc>
          <w:tcPr>
            <w:tcW w:w="320" w:type="dxa"/>
            <w:vAlign w:val="bottom"/>
            <w:tcBorders>
              <w:bottom w:val="single" w:sz="8" w:color="0000EE"/>
            </w:tcBorders>
            <w:gridSpan w:val="2"/>
          </w:tcPr>
          <w:p>
            <w:pPr>
              <w:jc w:val="right"/>
              <w:spacing w:after="0"/>
              <w:rPr>
                <w:rFonts w:ascii="Arial" w:cs="Arial" w:eastAsia="Arial" w:hAnsi="Arial"/>
                <w:sz w:val="18"/>
                <w:szCs w:val="18"/>
                <w:color w:val="0000EE"/>
                <w:w w:val="85"/>
              </w:rPr>
            </w:pPr>
            <w:r>
              <w:rPr>
                <w:rFonts w:ascii="Arial" w:cs="Arial" w:eastAsia="Arial" w:hAnsi="Arial"/>
                <w:sz w:val="18"/>
                <w:szCs w:val="18"/>
                <w:color w:val="0000EE"/>
                <w:w w:val="85"/>
              </w:rPr>
              <w:t>24.</w:t>
            </w:r>
            <w:hyperlink r:id="rId20">
              <w:r>
                <w:rPr>
                  <w:rFonts w:ascii="Arial" w:cs="Arial" w:eastAsia="Arial" w:hAnsi="Arial"/>
                  <w:sz w:val="18"/>
                  <w:szCs w:val="18"/>
                  <w:u w:val="single" w:color="auto"/>
                  <w:color w:val="0000EE"/>
                  <w:w w:val="85"/>
                </w:rPr>
                <w:t>1</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tcBorders>
              <w:bottom w:val="single" w:sz="8" w:color="0000EE"/>
            </w:tcBorders>
            <w:gridSpan w:val="5"/>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Power of Attorney (contained on the signature page to the Registration Statement on</w:t>
              </w:r>
            </w:hyperlink>
          </w:p>
        </w:tc>
        <w:tc>
          <w:tcPr>
            <w:tcW w:w="110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gridSpan w:val="7"/>
          </w:tcPr>
          <w:p>
            <w:pPr>
              <w:spacing w:after="0" w:line="196" w:lineRule="exact"/>
              <w:rPr>
                <w:rFonts w:ascii="Arial" w:cs="Arial" w:eastAsia="Arial" w:hAnsi="Arial"/>
                <w:sz w:val="18"/>
                <w:szCs w:val="18"/>
                <w:color w:val="0000EE"/>
                <w:w w:val="95"/>
              </w:rPr>
            </w:pPr>
            <w:hyperlink r:id="rId20">
              <w:r>
                <w:rPr>
                  <w:rFonts w:ascii="Arial" w:cs="Arial" w:eastAsia="Arial" w:hAnsi="Arial"/>
                  <w:sz w:val="18"/>
                  <w:szCs w:val="18"/>
                  <w:color w:val="0000EE"/>
                  <w:w w:val="95"/>
                </w:rPr>
                <w:t>Form S-1 filed on March 25, 2019 (File No.333-230115) and incorporated herein by reference).</w:t>
              </w:r>
            </w:hyperlink>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5895975</wp:posOffset>
            </wp:positionV>
            <wp:extent cx="68345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60" w:right="779" w:firstLine="360"/>
        <w:spacing w:after="0" w:line="25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this 3</w:t>
      </w:r>
      <w:r>
        <w:rPr>
          <w:rFonts w:ascii="Arial" w:cs="Arial" w:eastAsia="Arial" w:hAnsi="Arial"/>
          <w:sz w:val="27"/>
          <w:szCs w:val="27"/>
          <w:color w:val="auto"/>
          <w:vertAlign w:val="superscript"/>
        </w:rPr>
        <w:t>rd</w:t>
      </w:r>
      <w:r>
        <w:rPr>
          <w:rFonts w:ascii="Arial" w:cs="Arial" w:eastAsia="Arial" w:hAnsi="Arial"/>
          <w:sz w:val="18"/>
          <w:szCs w:val="18"/>
          <w:color w:val="auto"/>
        </w:rPr>
        <w:t xml:space="preserve"> day of April, 2019.</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Tradeweb Markets Inc.</w:t>
      </w:r>
    </w:p>
    <w:p>
      <w:pPr>
        <w:spacing w:after="0" w:line="17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 /s/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48895</wp:posOffset>
            </wp:positionV>
            <wp:extent cx="2470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Lee Olesky</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Chief Executive Officer</w:t>
      </w:r>
    </w:p>
    <w:p>
      <w:pPr>
        <w:spacing w:after="0" w:line="103" w:lineRule="exact"/>
        <w:rPr>
          <w:sz w:val="20"/>
          <w:szCs w:val="20"/>
          <w:color w:val="auto"/>
        </w:rPr>
      </w:pPr>
    </w:p>
    <w:p>
      <w:pPr>
        <w:ind w:left="60" w:right="77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68" w:lineRule="exact"/>
        <w:rPr>
          <w:sz w:val="20"/>
          <w:szCs w:val="20"/>
          <w:color w:val="auto"/>
        </w:rPr>
      </w:pPr>
    </w:p>
    <w:p>
      <w:pPr>
        <w:ind w:left="1020"/>
        <w:spacing w:after="0"/>
        <w:tabs>
          <w:tab w:leader="none" w:pos="4440" w:val="left"/>
          <w:tab w:leader="none" w:pos="73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23495</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p>
      <w:pPr>
        <w:spacing w:after="0" w:line="15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5779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Lee Olesky</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63500</wp:posOffset>
            </wp:positionV>
            <wp:extent cx="15779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2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Robert Warshaw</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5779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Martin Brand</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5779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John G. Finley</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5779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Scott C. Ganeles</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5779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William Hult</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5779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Paula B. Madoff</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5779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Thomas Pluta</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5779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Debra Walton</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48895</wp:posOffset>
            </wp:positionV>
            <wp:extent cx="15779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Brian West</w:t>
      </w:r>
    </w:p>
    <w:p>
      <w:pPr>
        <w:spacing w:after="0" w:line="239" w:lineRule="exact"/>
        <w:rPr>
          <w:sz w:val="20"/>
          <w:szCs w:val="20"/>
          <w:color w:val="auto"/>
        </w:rPr>
      </w:pPr>
    </w:p>
    <w:p>
      <w:pPr>
        <w:ind w:left="420" w:hanging="35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 Lee Olesky</w:t>
      </w:r>
    </w:p>
    <w:p>
      <w:pPr>
        <w:spacing w:after="0" w:line="90" w:lineRule="exact"/>
        <w:rPr>
          <w:rFonts w:ascii="Arial" w:cs="Arial" w:eastAsia="Arial" w:hAnsi="Arial"/>
          <w:sz w:val="18"/>
          <w:szCs w:val="18"/>
          <w:color w:val="auto"/>
        </w:rPr>
      </w:pPr>
    </w:p>
    <w:p>
      <w:pPr>
        <w:ind w:left="420" w:right="400"/>
        <w:spacing w:after="0" w:line="308" w:lineRule="auto"/>
        <w:rPr>
          <w:rFonts w:ascii="Arial" w:cs="Arial" w:eastAsia="Arial" w:hAnsi="Arial"/>
          <w:sz w:val="18"/>
          <w:szCs w:val="18"/>
          <w:color w:val="auto"/>
        </w:rPr>
      </w:pPr>
      <w:r>
        <w:rPr>
          <w:rFonts w:ascii="Arial" w:cs="Arial" w:eastAsia="Arial" w:hAnsi="Arial"/>
          <w:sz w:val="17"/>
          <w:szCs w:val="17"/>
          <w:color w:val="auto"/>
        </w:rPr>
        <w:t>Lee Olesky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-342900</wp:posOffset>
            </wp:positionV>
            <wp:extent cx="13462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Chief Executive Officer (Principal Executive</w:t>
      </w:r>
      <w:r>
        <w:rPr>
          <w:sz w:val="20"/>
          <w:szCs w:val="20"/>
          <w:color w:val="auto"/>
        </w:rPr>
        <w:tab/>
      </w:r>
      <w:r>
        <w:rPr>
          <w:rFonts w:ascii="Arial" w:cs="Arial" w:eastAsia="Arial" w:hAnsi="Arial"/>
          <w:sz w:val="17"/>
          <w:szCs w:val="17"/>
          <w:color w:val="auto"/>
        </w:rPr>
        <w:t>April 3,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and Director</w:t>
      </w:r>
    </w:p>
    <w:p>
      <w:pPr>
        <w:spacing w:after="0" w:line="238"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Chief Financial Officer (Principal Financial</w:t>
      </w:r>
      <w:r>
        <w:rPr>
          <w:sz w:val="20"/>
          <w:szCs w:val="20"/>
          <w:color w:val="auto"/>
        </w:rPr>
        <w:tab/>
      </w:r>
      <w:r>
        <w:rPr>
          <w:rFonts w:ascii="Arial" w:cs="Arial" w:eastAsia="Arial" w:hAnsi="Arial"/>
          <w:sz w:val="17"/>
          <w:szCs w:val="17"/>
          <w:color w:val="auto"/>
        </w:rPr>
        <w:t>April 3,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and Principal Accounting Officer)</w:t>
      </w:r>
    </w:p>
    <w:p>
      <w:pPr>
        <w:spacing w:after="0" w:line="238"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3,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3,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3,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3,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3,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3,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3,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1407160</wp:posOffset>
            </wp:positionV>
            <wp:extent cx="68345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2">
            <w:col w:w="2040" w:space="720"/>
            <w:col w:w="6259"/>
          </w:cols>
          <w:pgMar w:left="1440" w:top="1067" w:right="1440"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Fried, Frank, Harris, Shriver &amp; Jacobson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Registration Statement filed under Rule 462(b)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acted as counsel to Tradeweb Markets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Company’s (i) Registration Statement on Form S-1 (Registration No. 333-230115)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as subsequently amended (the “</w:t>
      </w:r>
      <w:r>
        <w:rPr>
          <w:rFonts w:ascii="Arial" w:cs="Arial" w:eastAsia="Arial" w:hAnsi="Arial"/>
          <w:sz w:val="16"/>
          <w:szCs w:val="16"/>
          <w:u w:val="single" w:color="auto"/>
          <w:color w:val="auto"/>
        </w:rPr>
        <w:t>Initial Registration Statement</w:t>
      </w:r>
      <w:r>
        <w:rPr>
          <w:rFonts w:ascii="Arial" w:cs="Arial" w:eastAsia="Arial" w:hAnsi="Arial"/>
          <w:sz w:val="16"/>
          <w:szCs w:val="16"/>
          <w:color w:val="auto"/>
        </w:rPr>
        <w:t>”), and (ii) an additional Registration Statement on Form S-1 filed pursuant to Rule 462(b) under the Securities Act (the “</w:t>
      </w:r>
      <w:r>
        <w:rPr>
          <w:rFonts w:ascii="Arial" w:cs="Arial" w:eastAsia="Arial" w:hAnsi="Arial"/>
          <w:sz w:val="16"/>
          <w:szCs w:val="16"/>
          <w:u w:val="single" w:color="auto"/>
          <w:color w:val="auto"/>
        </w:rPr>
        <w:t>462(b) Registration Statement</w:t>
      </w:r>
      <w:r>
        <w:rPr>
          <w:rFonts w:ascii="Arial" w:cs="Arial" w:eastAsia="Arial" w:hAnsi="Arial"/>
          <w:sz w:val="16"/>
          <w:szCs w:val="16"/>
          <w:color w:val="auto"/>
        </w:rPr>
        <w:t>”). The 462(b) Registration Statement relates to the registration of an additional 4,315,786 shares of the Company’s Class A common stock, par value $0.00001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being offered by the Company (the “</w:t>
      </w:r>
      <w:r>
        <w:rPr>
          <w:rFonts w:ascii="Arial" w:cs="Arial" w:eastAsia="Arial" w:hAnsi="Arial"/>
          <w:sz w:val="16"/>
          <w:szCs w:val="16"/>
          <w:u w:val="single" w:color="auto"/>
          <w:color w:val="auto"/>
        </w:rPr>
        <w:t>Additional Shares</w:t>
      </w:r>
      <w:r>
        <w:rPr>
          <w:rFonts w:ascii="Arial" w:cs="Arial" w:eastAsia="Arial" w:hAnsi="Arial"/>
          <w:sz w:val="16"/>
          <w:szCs w:val="16"/>
          <w:color w:val="auto"/>
        </w:rPr>
        <w:t>”). The Additional Shares include shares which may be purchased by the underwriters upon the exercise of the option to purchase additional Class A common stock granted to the underwriters by the Company. The Additional Shares are proposed to be sold pursuant to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to be entered into among the Company and Tradeweb Markets LLC and J.P. Morgan Securities LLC, Citigroup Global Markets Inc., Goldman Sachs &amp; Co. LLC and Morgan Stanley &amp; Co. LLC, as representatives of the several underwriters named in Schedule I thereto. 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opinion, we have (i) investigated such questions of law, (ii) examined the originals or certified, conformed, facsimile, electronic or reproduction copies of such agreements, instruments, documents and records of the Company, such certificates of public officials and such other documents and (iii) received such information from officers and representatives of the Company and others as we have deemed necessary or appropriate for the purposes of this opinion.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conformed, facsimile, electronic or reproduction copies.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Based upon the foregoing and subject to the limitations, qualifications and assumptions set forth herein, we are of the opinion that, when the Amended and Restated Certificate of Incorporation of the Company, in the form most recently filed as an exhibit to the Registration Statement, has been duly filed with the Secretary of State of the State of Delaware, the Additional Shares will have been duly authorized and, when issued and delivered pursuant to the Underwriting Agreement against payment of the consideration set forth therein,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opinions expressed herein are limited to the applicable provisions of the General Corporation Law of the State of Delaware as currently in effect, and no opinion is expressed with respect to any other laws or any effect that such other laws may have on the opinion expressed herein. The opinions expressed herein are limited to the matters stated herein and no opinion is implied or may be inferred beyond the matters expressly stated herein. We undertake no responsibility to update or supplement this letter after the effectiveness of the 462(b) Registration Statement.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filing of this opinion as an exhibit to the 462(b) Registration Statement and to the references to this firm under the caption “Legal Matters” in the prospectus included in the Initial Registration Statement, which is incorporated by reference into the 462(b) Registration Statement. In giving this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Fried, Frank, Harris, Shriver &amp; Jacobson LLP</w:t>
      </w: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FRIED, FRANK, HARRIS, SHRIVER &amp; JACOBSON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S-1 of Tradeweb Markets Inc. of our report dated March 5, 2019 relating to the financial statement of Tradeweb Markets Inc. included in Amendment No. 3 to Registration Statement No. 333-230115 on Form S-1 of Tradeweb Markets Inc., and to the reference to us under the headings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23.2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consent to the incorporation by reference in this Registration Statement on Form S-1 of Tradeweb Markets Inc. of our report dated March 5, 2019 (March 25, 2019 as to the subsequent events described in Note 23) relating to the consolidated financial statements of Tradeweb Markets LLC (which report expresses an unqualified opinion and includes an emphasis of a matter paragraph relating to the Successor Period financial statements not being comparable to the Predecessor Period financial statements as a result of pushdown accounting) included in Amendment No. 3 to Registration Statement No. 333-230115 on Form S-1 of Tradeweb Markets Inc., and to the reference to us under the heading "Experts" in such Registration Statement.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 dated December 17, 2018 relating to the financial statements of Tradeweb Markets LLC, which appears in Amendment No. 3 to the Registration Statement on Form S-1 (No. 333-230115) of Tradeweb Markets Inc. We also consent to the reference to us under the heading “Experts” in Amendment No. 3 to the Registration Statement on Form S-1 (No. 333-230115) incorporated by reference in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20" Type="http://schemas.openxmlformats.org/officeDocument/2006/relationships/hyperlink" Target="http://www.sec.gov/Archives/edgar/data/1758730/000114420419015706/tv515721_s1a.htm#t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2019-12-03T16:09:09Z</dcterms:created>
  <dcterms:modified xsi:type="dcterms:W3CDTF">2019-12-03T16:09:09Z</dcterms:modified>
</cp:coreProperties>
</file>