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01/01/2024</w:t>
            </w:r>
          </w:p>
        </w:tc>
        <w:tc>
          <w:tcPr>
            <w:tcW w:w="1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4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25,895</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89.27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156,993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248</w:t>
            </w:r>
            <w:r>
              <w:rPr>
                <w:rFonts w:ascii="Times New Roman" w:cs="Times New Roman" w:eastAsia="Times New Roman" w:hAnsi="Times New Roman"/>
                <w:sz w:val="11"/>
                <w:szCs w:val="11"/>
                <w:color w:val="008000"/>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157,241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8,281 unvested RSUs in respect of Class A Common Stock that are scheduled to vest on March 15, 2024, (ii) 17,309 unvested RSUs in respect of Class A Common Stock that are scheduled to vest in equal installments on March 15, 2024 and March 15, 2025, (iii) 31,268 unvested RSUs in respect of Class A Common Stock that are scheduled to vest on January 1, 2025, and (iv) 43,128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01/03/2024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2024-01-03T15:58:08Z</dcterms:created>
  <dcterms:modified xsi:type="dcterms:W3CDTF">2024-01-03T15:58:08Z</dcterms:modified>
</cp:coreProperties>
</file>