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02/05/2021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6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86,184</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390,378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performance-based restricted stock units ("RSUs") in respect of the issuer's Class A common stock ("Class A Common Stock") that were granted to the reporting person on March 17, 2020, subject to the achievement of certain performance goals in respect of calendar year 2020. Those performance goals were deemed achieved at the maximum performance level on February 5, 2021. These RSUs remain unvested and are scheduled to vest on January 1, 2023, subject to the reporting person's continued employment through such date.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249,102 unvested RSUs in respect of Class A Common Stock which are scheduled to vest on January 1, 2022, (ii) 43,092 unvested RSUs in respect of Class A Common Stock which are scheduled to vest in equal installments on each of the first, second and third anniversaries of March 17, 2020, and (iii) 86,184 unvested RSUs in respect of Class A Common Stock which are scheduled to vest on January 1, 2023, in each case subject to the reporting person's continued employment through the applicable vesting date.</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2021-02-09T19:48:33Z</dcterms:created>
  <dcterms:modified xsi:type="dcterms:W3CDTF">2021-02-09T19:48:33Z</dcterms:modified>
</cp:coreProperties>
</file>