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82"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Date of Report (Date of earliest event reported): April 29, 2026</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Tradeweb Markets Inc.</w:t>
      </w:r>
    </w:p>
    <w:p>
      <w:pPr>
        <w:spacing w:after="0" w:line="7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6"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325" w:lineRule="exact"/>
        <w:rPr>
          <w:sz w:val="24"/>
          <w:szCs w:val="24"/>
          <w:color w:val="auto"/>
        </w:rPr>
      </w:pPr>
    </w:p>
    <w:tbl>
      <w:tblPr>
        <w:tblLayout w:type="fixed"/>
        <w:tblInd w:w="900" w:type="dxa"/>
        <w:tblCellMar>
          <w:top w:w="0" w:type="dxa"/>
          <w:left w:w="0" w:type="dxa"/>
          <w:bottom w:w="0" w:type="dxa"/>
          <w:right w:w="0" w:type="dxa"/>
        </w:tblCellMar>
      </w:tblPr>
      <w:tr>
        <w:trPr>
          <w:trHeight w:val="261"/>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5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001-38860</w:t>
            </w:r>
          </w:p>
        </w:tc>
        <w:tc>
          <w:tcPr>
            <w:tcW w:w="26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83-2456358</w:t>
            </w:r>
          </w:p>
        </w:tc>
        <w:tc>
          <w:tcPr>
            <w:tcW w:w="0" w:type="dxa"/>
            <w:vAlign w:val="bottom"/>
          </w:tcPr>
          <w:p>
            <w:pPr>
              <w:spacing w:after="0"/>
              <w:rPr>
                <w:sz w:val="1"/>
                <w:szCs w:val="1"/>
                <w:color w:val="auto"/>
              </w:rPr>
            </w:pPr>
          </w:p>
        </w:tc>
      </w:tr>
      <w:tr>
        <w:trPr>
          <w:trHeight w:val="203"/>
        </w:trPr>
        <w:tc>
          <w:tcPr>
            <w:tcW w:w="20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500" w:type="dxa"/>
            <w:vAlign w:val="bottom"/>
          </w:tcPr>
          <w:p>
            <w:pPr>
              <w:jc w:val="center"/>
              <w:ind w:left="830"/>
              <w:spacing w:after="0" w:line="202" w:lineRule="exact"/>
              <w:rPr>
                <w:sz w:val="20"/>
                <w:szCs w:val="20"/>
                <w:color w:val="auto"/>
              </w:rPr>
            </w:pPr>
            <w:r>
              <w:rPr>
                <w:rFonts w:ascii="Times New Roman" w:cs="Times New Roman" w:eastAsia="Times New Roman" w:hAnsi="Times New Roman"/>
                <w:sz w:val="18"/>
                <w:szCs w:val="18"/>
                <w:color w:val="auto"/>
              </w:rPr>
              <w:t>(Commission</w:t>
            </w:r>
          </w:p>
        </w:tc>
        <w:tc>
          <w:tcPr>
            <w:tcW w:w="2640" w:type="dxa"/>
            <w:vAlign w:val="bottom"/>
          </w:tcPr>
          <w:p>
            <w:pPr>
              <w:jc w:val="center"/>
              <w:ind w:left="1190"/>
              <w:spacing w:after="0" w:line="202"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4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450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48"/>
        </w:trPr>
        <w:tc>
          <w:tcPr>
            <w:tcW w:w="2000" w:type="dxa"/>
            <w:vAlign w:val="bottom"/>
          </w:tcPr>
          <w:p>
            <w:pPr>
              <w:spacing w:after="0"/>
              <w:rPr>
                <w:sz w:val="21"/>
                <w:szCs w:val="21"/>
                <w:color w:val="auto"/>
              </w:rPr>
            </w:pPr>
          </w:p>
        </w:tc>
        <w:tc>
          <w:tcPr>
            <w:tcW w:w="450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8"/>
              </w:rPr>
              <w:t>245 Park Avenue</w:t>
            </w:r>
          </w:p>
        </w:tc>
        <w:tc>
          <w:tcPr>
            <w:tcW w:w="26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10167</w:t>
            </w:r>
          </w:p>
        </w:tc>
        <w:tc>
          <w:tcPr>
            <w:tcW w:w="0" w:type="dxa"/>
            <w:vAlign w:val="bottom"/>
          </w:tcPr>
          <w:p>
            <w:pPr>
              <w:spacing w:after="0"/>
              <w:rPr>
                <w:sz w:val="1"/>
                <w:szCs w:val="1"/>
                <w:color w:val="auto"/>
              </w:rPr>
            </w:pPr>
          </w:p>
        </w:tc>
      </w:tr>
      <w:tr>
        <w:trPr>
          <w:trHeight w:val="238"/>
        </w:trPr>
        <w:tc>
          <w:tcPr>
            <w:tcW w:w="2000" w:type="dxa"/>
            <w:vAlign w:val="bottom"/>
          </w:tcPr>
          <w:p>
            <w:pPr>
              <w:spacing w:after="0"/>
              <w:rPr>
                <w:sz w:val="20"/>
                <w:szCs w:val="20"/>
                <w:color w:val="auto"/>
              </w:rPr>
            </w:pPr>
          </w:p>
        </w:tc>
        <w:tc>
          <w:tcPr>
            <w:tcW w:w="4500" w:type="dxa"/>
            <w:vAlign w:val="bottom"/>
          </w:tcPr>
          <w:p>
            <w:pPr>
              <w:jc w:val="center"/>
              <w:ind w:right="27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6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00" w:type="dxa"/>
            <w:vAlign w:val="bottom"/>
            <w:gridSpan w:val="2"/>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(646) 430-6000</w:t>
      </w:r>
    </w:p>
    <w:p>
      <w:pPr>
        <w:spacing w:after="0" w:line="31"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______________________________________________________________________________</w:t>
      </w:r>
    </w:p>
    <w:p>
      <w:pPr>
        <w:spacing w:after="0" w:line="233" w:lineRule="exact"/>
        <w:rPr>
          <w:sz w:val="24"/>
          <w:szCs w:val="24"/>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5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6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c>
          <w:tcPr>
            <w:tcW w:w="0" w:type="dxa"/>
            <w:vAlign w:val="bottom"/>
          </w:tcPr>
          <w:p>
            <w:pPr>
              <w:spacing w:after="0"/>
              <w:rPr>
                <w:sz w:val="1"/>
                <w:szCs w:val="1"/>
                <w:color w:val="auto"/>
              </w:rPr>
            </w:pPr>
          </w:p>
        </w:tc>
      </w:tr>
      <w:tr>
        <w:trPr>
          <w:trHeight w:val="238"/>
        </w:trPr>
        <w:tc>
          <w:tcPr>
            <w:tcW w:w="4560" w:type="dxa"/>
            <w:vAlign w:val="bottom"/>
            <w:gridSpan w:val="2"/>
            <w:vMerge w:val="continue"/>
          </w:tcPr>
          <w:p>
            <w:pPr>
              <w:spacing w:after="0"/>
              <w:rPr>
                <w:sz w:val="20"/>
                <w:szCs w:val="20"/>
                <w:color w:val="auto"/>
              </w:rPr>
            </w:pPr>
          </w:p>
        </w:tc>
        <w:tc>
          <w:tcPr>
            <w:tcW w:w="3260" w:type="dxa"/>
            <w:vAlign w:val="bottom"/>
            <w:gridSpan w:val="2"/>
            <w:vMerge w:val="continue"/>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$0.00001</w:t>
            </w:r>
          </w:p>
        </w:tc>
        <w:tc>
          <w:tcPr>
            <w:tcW w:w="420" w:type="dxa"/>
            <w:vAlign w:val="bottom"/>
          </w:tcPr>
          <w:p>
            <w:pPr>
              <w:spacing w:after="0"/>
              <w:rPr>
                <w:sz w:val="19"/>
                <w:szCs w:val="19"/>
                <w:color w:val="auto"/>
              </w:rPr>
            </w:pPr>
          </w:p>
        </w:tc>
        <w:tc>
          <w:tcPr>
            <w:tcW w:w="2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TW</w:t>
            </w:r>
          </w:p>
        </w:tc>
        <w:tc>
          <w:tcPr>
            <w:tcW w:w="4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On April 29, 2026, the Company issued a press release, a copy of which is furnished as Exhibit 99.1 hereto and incorporated herein by reference, announcing financial results for the quarter ended March 31, 2026.</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2.02 of this Current Report on Form 8-K, including Exhibit 99.1 attached hereto, shall not be deemed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a filing.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6"/>
                <w:szCs w:val="16"/>
                <w:color w:val="auto"/>
              </w:rPr>
            </w:pPr>
          </w:p>
        </w:tc>
        <w:tc>
          <w:tcPr>
            <w:tcW w:w="9380" w:type="dxa"/>
            <w:vAlign w:val="bottom"/>
            <w:gridSpan w:val="2"/>
            <w:vMerge w:val="restart"/>
          </w:tcPr>
          <w:p>
            <w:pPr>
              <w:ind w:left="400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0" w:type="dxa"/>
            <w:vAlign w:val="bottom"/>
          </w:tcPr>
          <w:p>
            <w:pPr>
              <w:spacing w:after="0"/>
              <w:rPr>
                <w:sz w:val="1"/>
                <w:szCs w:val="1"/>
                <w:color w:val="auto"/>
              </w:rPr>
            </w:pPr>
          </w:p>
        </w:tc>
      </w:tr>
      <w:tr>
        <w:trPr>
          <w:trHeight w:val="214"/>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93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1"/>
        </w:trPr>
        <w:tc>
          <w:tcPr>
            <w:tcW w:w="1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3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of Tradeweb Markets Inc., dated April 29, 2026, announcing First Quarter 2026 Financial Results.</w:t>
            </w:r>
          </w:p>
        </w:tc>
        <w:tc>
          <w:tcPr>
            <w:tcW w:w="0" w:type="dxa"/>
            <w:vAlign w:val="bottom"/>
          </w:tcPr>
          <w:p>
            <w:pPr>
              <w:spacing w:after="0"/>
              <w:rPr>
                <w:sz w:val="1"/>
                <w:szCs w:val="1"/>
                <w:color w:val="auto"/>
              </w:rPr>
            </w:pPr>
          </w:p>
        </w:tc>
      </w:tr>
      <w:tr>
        <w:trPr>
          <w:trHeight w:val="250"/>
        </w:trPr>
        <w:tc>
          <w:tcPr>
            <w:tcW w:w="1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10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2"/>
        </w:trPr>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320" w:firstLine="648"/>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68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TRADEWEB MARKETS INC.</w:t>
            </w:r>
          </w:p>
        </w:tc>
      </w:tr>
      <w:tr>
        <w:trPr>
          <w:trHeight w:val="50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Date: April 29, 2026</w:t>
            </w:r>
          </w:p>
        </w:tc>
        <w:tc>
          <w:tcPr>
            <w:tcW w:w="6840" w:type="dxa"/>
            <w:vAlign w:val="bottom"/>
            <w:gridSpan w:val="2"/>
          </w:tcPr>
          <w:p>
            <w:pPr>
              <w:ind w:left="2880"/>
              <w:spacing w:after="0"/>
              <w:rPr>
                <w:sz w:val="20"/>
                <w:szCs w:val="20"/>
                <w:color w:val="auto"/>
              </w:rPr>
            </w:pPr>
            <w:r>
              <w:rPr>
                <w:rFonts w:ascii="Times New Roman" w:cs="Times New Roman" w:eastAsia="Times New Roman" w:hAnsi="Times New Roman"/>
                <w:sz w:val="18"/>
                <w:szCs w:val="18"/>
                <w:color w:val="auto"/>
              </w:rPr>
              <w:t>By:   /s/ Douglas Friedman</w:t>
            </w:r>
          </w:p>
        </w:tc>
      </w:tr>
      <w:tr>
        <w:trPr>
          <w:trHeight w:val="218"/>
        </w:trPr>
        <w:tc>
          <w:tcPr>
            <w:tcW w:w="43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3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 Douglas Friedman</w:t>
            </w:r>
          </w:p>
        </w:tc>
      </w:tr>
      <w:tr>
        <w:trPr>
          <w:trHeight w:val="234"/>
        </w:trPr>
        <w:tc>
          <w:tcPr>
            <w:tcW w:w="43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Legal Officer</w:t>
            </w:r>
          </w:p>
        </w:tc>
      </w:tr>
    </w:tbl>
    <w:p>
      <w:pPr>
        <w:sectPr>
          <w:pgSz w:w="11900" w:h="16838" w:orient="portrait"/>
          <w:cols w:equalWidth="0" w:num="1">
            <w:col w:w="11240"/>
          </w:cols>
          <w:pgMar w:left="320" w:top="1130" w:right="339" w:bottom="1440" w:gutter="0" w:footer="0" w:header="0"/>
        </w:sectPr>
      </w:pPr>
    </w:p>
    <w:bookmarkStart w:id="3" w:name="page4"/>
    <w:bookmarkEnd w:id="3"/>
    <w:p>
      <w:pPr>
        <w:ind w:left="5540"/>
        <w:spacing w:after="0"/>
        <w:tabs>
          <w:tab w:leader="none" w:pos="8160" w:val="left"/>
        </w:tabs>
        <w:rPr>
          <w:sz w:val="20"/>
          <w:szCs w:val="20"/>
          <w:color w:val="auto"/>
        </w:rPr>
      </w:pPr>
      <w:r>
        <w:rPr>
          <w:rFonts w:ascii="Arial" w:cs="Arial" w:eastAsia="Arial" w:hAnsi="Arial"/>
          <w:sz w:val="16"/>
          <w:szCs w:val="16"/>
          <w:b w:val="1"/>
          <w:bCs w:val="1"/>
          <w:color w:val="083566"/>
        </w:rPr>
        <w:t>Investor Relations</w:t>
      </w:r>
      <w:r>
        <w:rPr>
          <w:sz w:val="20"/>
          <w:szCs w:val="20"/>
          <w:color w:val="auto"/>
        </w:rPr>
        <w:tab/>
      </w:r>
      <w:r>
        <w:rPr>
          <w:rFonts w:ascii="Arial" w:cs="Arial" w:eastAsia="Arial" w:hAnsi="Arial"/>
          <w:sz w:val="16"/>
          <w:szCs w:val="16"/>
          <w:b w:val="1"/>
          <w:bCs w:val="1"/>
          <w:color w:val="083566"/>
        </w:rPr>
        <w:t>Media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-38735</wp:posOffset>
            </wp:positionV>
            <wp:extent cx="2134235" cy="685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34235" cy="685800"/>
                    </a:xfrm>
                    <a:prstGeom prst="rect">
                      <a:avLst/>
                    </a:prstGeom>
                    <a:noFill/>
                  </pic:spPr>
                </pic:pic>
              </a:graphicData>
            </a:graphic>
          </wp:anchor>
        </w:drawing>
      </w:r>
    </w:p>
    <w:p>
      <w:pPr>
        <w:spacing w:after="0" w:line="1" w:lineRule="exact"/>
        <w:rPr>
          <w:sz w:val="20"/>
          <w:szCs w:val="20"/>
          <w:color w:val="auto"/>
        </w:rPr>
      </w:pPr>
    </w:p>
    <w:p>
      <w:pPr>
        <w:ind w:left="5540"/>
        <w:spacing w:after="0"/>
        <w:tabs>
          <w:tab w:leader="none" w:pos="8160" w:val="left"/>
        </w:tabs>
        <w:rPr>
          <w:sz w:val="20"/>
          <w:szCs w:val="20"/>
          <w:color w:val="auto"/>
        </w:rPr>
      </w:pPr>
      <w:r>
        <w:rPr>
          <w:rFonts w:ascii="Arial" w:cs="Arial" w:eastAsia="Arial" w:hAnsi="Arial"/>
          <w:sz w:val="16"/>
          <w:szCs w:val="16"/>
          <w:color w:val="auto"/>
        </w:rPr>
        <w:t>Ashley Serrao + 1 646 430 6027</w:t>
      </w:r>
      <w:r>
        <w:rPr>
          <w:sz w:val="20"/>
          <w:szCs w:val="20"/>
          <w:color w:val="auto"/>
        </w:rPr>
        <w:tab/>
      </w:r>
      <w:r>
        <w:rPr>
          <w:rFonts w:ascii="Arial" w:cs="Arial" w:eastAsia="Arial" w:hAnsi="Arial"/>
          <w:sz w:val="16"/>
          <w:szCs w:val="16"/>
          <w:color w:val="auto"/>
        </w:rPr>
        <w:t>Daniel Noonan + 1 646 767 4677</w:t>
      </w:r>
    </w:p>
    <w:p>
      <w:pPr>
        <w:spacing w:after="0" w:line="15" w:lineRule="exact"/>
        <w:rPr>
          <w:sz w:val="20"/>
          <w:szCs w:val="20"/>
          <w:color w:val="auto"/>
        </w:rPr>
      </w:pPr>
    </w:p>
    <w:p>
      <w:pPr>
        <w:ind w:left="5540"/>
        <w:spacing w:after="0"/>
        <w:tabs>
          <w:tab w:leader="none" w:pos="8160" w:val="left"/>
        </w:tabs>
        <w:rPr>
          <w:sz w:val="20"/>
          <w:szCs w:val="20"/>
          <w:color w:val="auto"/>
        </w:rPr>
      </w:pPr>
      <w:r>
        <w:rPr>
          <w:rFonts w:ascii="Arial" w:cs="Arial" w:eastAsia="Arial" w:hAnsi="Arial"/>
          <w:sz w:val="16"/>
          <w:szCs w:val="16"/>
          <w:color w:val="auto"/>
        </w:rPr>
        <w:t>Ashley.Serrao@Tradeweb.com</w:t>
      </w:r>
      <w:r>
        <w:rPr>
          <w:sz w:val="20"/>
          <w:szCs w:val="20"/>
          <w:color w:val="auto"/>
        </w:rPr>
        <w:tab/>
      </w:r>
      <w:r>
        <w:rPr>
          <w:rFonts w:ascii="Arial" w:cs="Arial" w:eastAsia="Arial" w:hAnsi="Arial"/>
          <w:sz w:val="16"/>
          <w:szCs w:val="16"/>
          <w:color w:val="auto"/>
        </w:rPr>
        <w:t>Daniel.Noonan@Tradeweb.com</w:t>
      </w:r>
    </w:p>
    <w:p>
      <w:pPr>
        <w:spacing w:after="0" w:line="236" w:lineRule="exact"/>
        <w:rPr>
          <w:sz w:val="20"/>
          <w:szCs w:val="20"/>
          <w:color w:val="auto"/>
        </w:rPr>
      </w:pPr>
    </w:p>
    <w:p>
      <w:pPr>
        <w:ind w:left="5540"/>
        <w:spacing w:after="0"/>
        <w:tabs>
          <w:tab w:leader="none" w:pos="8160" w:val="left"/>
        </w:tabs>
        <w:rPr>
          <w:sz w:val="20"/>
          <w:szCs w:val="20"/>
          <w:color w:val="auto"/>
        </w:rPr>
      </w:pPr>
      <w:r>
        <w:rPr>
          <w:rFonts w:ascii="Arial" w:cs="Arial" w:eastAsia="Arial" w:hAnsi="Arial"/>
          <w:sz w:val="16"/>
          <w:szCs w:val="16"/>
          <w:color w:val="auto"/>
        </w:rPr>
        <w:t>Sameer Murukutla + 1 646 767</w:t>
      </w:r>
      <w:r>
        <w:rPr>
          <w:sz w:val="20"/>
          <w:szCs w:val="20"/>
          <w:color w:val="auto"/>
        </w:rPr>
        <w:tab/>
      </w:r>
      <w:r>
        <w:rPr>
          <w:rFonts w:ascii="Arial" w:cs="Arial" w:eastAsia="Arial" w:hAnsi="Arial"/>
          <w:sz w:val="16"/>
          <w:szCs w:val="16"/>
          <w:color w:val="auto"/>
        </w:rPr>
        <w:t>Savannah Steele + 1 646 767</w:t>
      </w:r>
    </w:p>
    <w:p>
      <w:pPr>
        <w:spacing w:after="0" w:line="31" w:lineRule="exact"/>
        <w:rPr>
          <w:sz w:val="20"/>
          <w:szCs w:val="20"/>
          <w:color w:val="auto"/>
        </w:rPr>
      </w:pPr>
    </w:p>
    <w:p>
      <w:pPr>
        <w:ind w:left="5540"/>
        <w:spacing w:after="0"/>
        <w:tabs>
          <w:tab w:leader="none" w:pos="8160" w:val="left"/>
        </w:tabs>
        <w:rPr>
          <w:sz w:val="20"/>
          <w:szCs w:val="20"/>
          <w:color w:val="auto"/>
        </w:rPr>
      </w:pPr>
      <w:r>
        <w:rPr>
          <w:rFonts w:ascii="Arial" w:cs="Arial" w:eastAsia="Arial" w:hAnsi="Arial"/>
          <w:sz w:val="16"/>
          <w:szCs w:val="16"/>
          <w:color w:val="auto"/>
        </w:rPr>
        <w:t>4864</w:t>
      </w:r>
      <w:r>
        <w:rPr>
          <w:sz w:val="20"/>
          <w:szCs w:val="20"/>
          <w:color w:val="auto"/>
        </w:rPr>
        <w:tab/>
      </w:r>
      <w:r>
        <w:rPr>
          <w:rFonts w:ascii="Arial" w:cs="Arial" w:eastAsia="Arial" w:hAnsi="Arial"/>
          <w:sz w:val="16"/>
          <w:szCs w:val="16"/>
          <w:color w:val="auto"/>
        </w:rPr>
        <w:t>4941</w:t>
      </w:r>
    </w:p>
    <w:p>
      <w:pPr>
        <w:spacing w:after="0" w:line="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Sameer.Murukutla@Tradeweb.com Savannah.Steele@Tradeweb.com</w:t>
      </w:r>
    </w:p>
    <w:p>
      <w:pPr>
        <w:spacing w:after="0" w:line="200" w:lineRule="exact"/>
        <w:rPr>
          <w:sz w:val="20"/>
          <w:szCs w:val="20"/>
          <w:color w:val="auto"/>
        </w:rPr>
      </w:pPr>
    </w:p>
    <w:p>
      <w:pPr>
        <w:spacing w:after="0" w:line="35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0076A8"/>
        </w:rPr>
        <w:t>TRADEWEB REPORTS FIRST QUARTER 2026 FINANCIAL RESULTS</w:t>
      </w:r>
    </w:p>
    <w:p>
      <w:pPr>
        <w:spacing w:after="0" w:line="222" w:lineRule="exact"/>
        <w:rPr>
          <w:sz w:val="20"/>
          <w:szCs w:val="20"/>
          <w:color w:val="auto"/>
        </w:rPr>
      </w:pPr>
    </w:p>
    <w:p>
      <w:pPr>
        <w:ind w:left="20" w:right="160"/>
        <w:spacing w:after="0" w:line="286" w:lineRule="auto"/>
        <w:rPr>
          <w:sz w:val="20"/>
          <w:szCs w:val="20"/>
          <w:color w:val="auto"/>
        </w:rPr>
      </w:pPr>
      <w:r>
        <w:rPr>
          <w:rFonts w:ascii="Arial" w:cs="Arial" w:eastAsia="Arial" w:hAnsi="Arial"/>
          <w:sz w:val="16"/>
          <w:szCs w:val="16"/>
          <w:b w:val="1"/>
          <w:bCs w:val="1"/>
          <w:color w:val="auto"/>
        </w:rPr>
        <w:t xml:space="preserve">New York, April 29, 2026 </w:t>
      </w:r>
      <w:r>
        <w:rPr>
          <w:rFonts w:ascii="Arial" w:cs="Arial" w:eastAsia="Arial" w:hAnsi="Arial"/>
          <w:sz w:val="16"/>
          <w:szCs w:val="16"/>
          <w:color w:val="auto"/>
        </w:rPr>
        <w:t>– Tradeweb Markets Inc. (Nasdaq: TW), a global leader in electronic trading across asset classes, today reported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results for the quarter ended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64770</wp:posOffset>
            </wp:positionV>
            <wp:extent cx="3086100" cy="2871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86100" cy="2871470"/>
                    </a:xfrm>
                    <a:prstGeom prst="rect">
                      <a:avLst/>
                    </a:prstGeom>
                    <a:noFill/>
                  </pic:spPr>
                </pic:pic>
              </a:graphicData>
            </a:graphic>
          </wp:anchor>
        </w:drawing>
      </w:r>
    </w:p>
    <w:p>
      <w:pPr>
        <w:sectPr>
          <w:pgSz w:w="11900" w:h="16838" w:orient="portrait"/>
          <w:cols w:equalWidth="0" w:num="1">
            <w:col w:w="10840"/>
          </w:cols>
          <w:pgMar w:left="320" w:top="179" w:right="739" w:bottom="1440" w:gutter="0" w:footer="0" w:header="0"/>
        </w:sectPr>
      </w:pPr>
    </w:p>
    <w:p>
      <w:pPr>
        <w:spacing w:after="0" w:line="115" w:lineRule="exact"/>
        <w:rPr>
          <w:sz w:val="20"/>
          <w:szCs w:val="20"/>
          <w:color w:val="auto"/>
        </w:rPr>
      </w:pPr>
    </w:p>
    <w:p>
      <w:pPr>
        <w:ind w:left="20" w:right="220"/>
        <w:spacing w:after="0" w:line="286" w:lineRule="auto"/>
        <w:rPr>
          <w:sz w:val="20"/>
          <w:szCs w:val="20"/>
          <w:color w:val="auto"/>
        </w:rPr>
      </w:pPr>
      <w:r>
        <w:rPr>
          <w:rFonts w:ascii="Arial" w:cs="Arial" w:eastAsia="Arial" w:hAnsi="Arial"/>
          <w:sz w:val="16"/>
          <w:szCs w:val="16"/>
          <w:b w:val="1"/>
          <w:bCs w:val="1"/>
          <w:color w:val="auto"/>
        </w:rPr>
        <w:t xml:space="preserve">$617.8 million </w:t>
      </w:r>
      <w:r>
        <w:rPr>
          <w:rFonts w:ascii="Arial" w:cs="Arial" w:eastAsia="Arial" w:hAnsi="Arial"/>
          <w:sz w:val="16"/>
          <w:szCs w:val="16"/>
          <w:color w:val="auto"/>
        </w:rPr>
        <w:t>quarterly revenues, an increase of</w:t>
      </w:r>
      <w:r>
        <w:rPr>
          <w:rFonts w:ascii="Arial" w:cs="Arial" w:eastAsia="Arial" w:hAnsi="Arial"/>
          <w:sz w:val="16"/>
          <w:szCs w:val="16"/>
          <w:b w:val="1"/>
          <w:bCs w:val="1"/>
          <w:color w:val="auto"/>
        </w:rPr>
        <w:t xml:space="preserve"> 21.2% </w:t>
      </w:r>
      <w:r>
        <w:rPr>
          <w:rFonts w:ascii="Arial" w:cs="Arial" w:eastAsia="Arial" w:hAnsi="Arial"/>
          <w:sz w:val="16"/>
          <w:szCs w:val="16"/>
          <w:color w:val="auto"/>
        </w:rPr>
        <w:t>(</w:t>
      </w:r>
      <w:r>
        <w:rPr>
          <w:rFonts w:ascii="Arial" w:cs="Arial" w:eastAsia="Arial" w:hAnsi="Arial"/>
          <w:sz w:val="16"/>
          <w:szCs w:val="16"/>
          <w:b w:val="1"/>
          <w:bCs w:val="1"/>
          <w:color w:val="auto"/>
        </w:rPr>
        <w:t xml:space="preserve">17.5% </w:t>
      </w:r>
      <w:r>
        <w:rPr>
          <w:rFonts w:ascii="Arial" w:cs="Arial" w:eastAsia="Arial" w:hAnsi="Arial"/>
          <w:sz w:val="16"/>
          <w:szCs w:val="16"/>
          <w:color w:val="auto"/>
        </w:rPr>
        <w:t>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compared to prior year period</w:t>
      </w:r>
    </w:p>
    <w:p>
      <w:pPr>
        <w:spacing w:after="0" w:line="7" w:lineRule="exact"/>
        <w:rPr>
          <w:sz w:val="20"/>
          <w:szCs w:val="20"/>
          <w:color w:val="auto"/>
        </w:rPr>
      </w:pPr>
    </w:p>
    <w:p>
      <w:pPr>
        <w:ind w:left="20" w:right="80"/>
        <w:spacing w:after="0" w:line="286" w:lineRule="auto"/>
        <w:rPr>
          <w:sz w:val="20"/>
          <w:szCs w:val="20"/>
          <w:color w:val="auto"/>
        </w:rPr>
      </w:pPr>
      <w:r>
        <w:rPr>
          <w:rFonts w:ascii="Arial" w:cs="Arial" w:eastAsia="Arial" w:hAnsi="Arial"/>
          <w:sz w:val="16"/>
          <w:szCs w:val="16"/>
          <w:b w:val="1"/>
          <w:bCs w:val="1"/>
          <w:color w:val="auto"/>
        </w:rPr>
        <w:t xml:space="preserve">$274.1 million </w:t>
      </w:r>
      <w:r>
        <w:rPr>
          <w:rFonts w:ascii="Arial" w:cs="Arial" w:eastAsia="Arial" w:hAnsi="Arial"/>
          <w:sz w:val="16"/>
          <w:szCs w:val="16"/>
          <w:color w:val="auto"/>
        </w:rPr>
        <w:t>quarterly international revenues, an increase of</w:t>
      </w:r>
      <w:r>
        <w:rPr>
          <w:rFonts w:ascii="Arial" w:cs="Arial" w:eastAsia="Arial" w:hAnsi="Arial"/>
          <w:sz w:val="16"/>
          <w:szCs w:val="16"/>
          <w:b w:val="1"/>
          <w:bCs w:val="1"/>
          <w:color w:val="auto"/>
        </w:rPr>
        <w:t xml:space="preserve"> 29.4% </w:t>
      </w:r>
      <w:r>
        <w:rPr>
          <w:rFonts w:ascii="Arial" w:cs="Arial" w:eastAsia="Arial" w:hAnsi="Arial"/>
          <w:sz w:val="16"/>
          <w:szCs w:val="16"/>
          <w:color w:val="auto"/>
        </w:rPr>
        <w:t>(</w:t>
      </w:r>
      <w:r>
        <w:rPr>
          <w:rFonts w:ascii="Arial" w:cs="Arial" w:eastAsia="Arial" w:hAnsi="Arial"/>
          <w:sz w:val="16"/>
          <w:szCs w:val="16"/>
          <w:b w:val="1"/>
          <w:bCs w:val="1"/>
          <w:color w:val="auto"/>
        </w:rPr>
        <w:t xml:space="preserve">20.7% </w:t>
      </w:r>
      <w:r>
        <w:rPr>
          <w:rFonts w:ascii="Arial" w:cs="Arial" w:eastAsia="Arial" w:hAnsi="Arial"/>
          <w:sz w:val="16"/>
          <w:szCs w:val="16"/>
          <w:color w:val="auto"/>
        </w:rPr>
        <w:t>on</w:t>
      </w:r>
      <w:r>
        <w:rPr>
          <w:rFonts w:ascii="Arial" w:cs="Arial" w:eastAsia="Arial" w:hAnsi="Arial"/>
          <w:sz w:val="16"/>
          <w:szCs w:val="16"/>
          <w:b w:val="1"/>
          <w:bCs w:val="1"/>
          <w:color w:val="auto"/>
        </w:rPr>
        <w:t xml:space="preserve"> </w:t>
      </w:r>
      <w:r>
        <w:rPr>
          <w:rFonts w:ascii="Arial" w:cs="Arial" w:eastAsia="Arial" w:hAnsi="Arial"/>
          <w:sz w:val="16"/>
          <w:szCs w:val="16"/>
          <w:color w:val="auto"/>
        </w:rPr>
        <w:t>a constant current basis) compared to prior year period</w:t>
      </w:r>
    </w:p>
    <w:p>
      <w:pPr>
        <w:spacing w:after="0" w:line="7" w:lineRule="exact"/>
        <w:rPr>
          <w:sz w:val="20"/>
          <w:szCs w:val="20"/>
          <w:color w:val="auto"/>
        </w:rPr>
      </w:pPr>
    </w:p>
    <w:p>
      <w:pPr>
        <w:ind w:left="20"/>
        <w:spacing w:after="0" w:line="261" w:lineRule="auto"/>
        <w:rPr>
          <w:sz w:val="20"/>
          <w:szCs w:val="20"/>
          <w:color w:val="auto"/>
        </w:rPr>
      </w:pPr>
      <w:r>
        <w:rPr>
          <w:rFonts w:ascii="Arial" w:cs="Arial" w:eastAsia="Arial" w:hAnsi="Arial"/>
          <w:sz w:val="16"/>
          <w:szCs w:val="16"/>
          <w:b w:val="1"/>
          <w:bCs w:val="1"/>
          <w:color w:val="auto"/>
        </w:rPr>
        <w:t xml:space="preserve">$3.3 trillion </w:t>
      </w:r>
      <w:r>
        <w:rPr>
          <w:rFonts w:ascii="Arial" w:cs="Arial" w:eastAsia="Arial" w:hAnsi="Arial"/>
          <w:sz w:val="16"/>
          <w:szCs w:val="16"/>
          <w:color w:val="auto"/>
        </w:rPr>
        <w:t>average daily volume (“ADV”) for the quarter, an increase of</w:t>
      </w:r>
      <w:r>
        <w:rPr>
          <w:rFonts w:ascii="Arial" w:cs="Arial" w:eastAsia="Arial" w:hAnsi="Arial"/>
          <w:sz w:val="16"/>
          <w:szCs w:val="16"/>
          <w:b w:val="1"/>
          <w:bCs w:val="1"/>
          <w:color w:val="auto"/>
        </w:rPr>
        <w:t xml:space="preserve"> 31.4% </w:t>
      </w:r>
      <w:r>
        <w:rPr>
          <w:rFonts w:ascii="Arial" w:cs="Arial" w:eastAsia="Arial" w:hAnsi="Arial"/>
          <w:sz w:val="16"/>
          <w:szCs w:val="16"/>
          <w:color w:val="auto"/>
        </w:rPr>
        <w:t>compared to prior year period; quarterly ADV records in U.S. and European government bonds, mortgages, swaps/swaptions ≥ 1-year and &lt; 1-year, futures, fully electronic U.S. high grade and high yield credit, electronically processed U.S. high grade credit, European credit, credit derivatives, U.S. and international ETFs, repurchase agreements and other money markets</w:t>
      </w:r>
    </w:p>
    <w:p>
      <w:pPr>
        <w:spacing w:after="0" w:line="14" w:lineRule="exact"/>
        <w:rPr>
          <w:sz w:val="20"/>
          <w:szCs w:val="20"/>
          <w:color w:val="auto"/>
        </w:rPr>
      </w:pPr>
    </w:p>
    <w:p>
      <w:pPr>
        <w:ind w:left="20" w:right="500"/>
        <w:spacing w:after="0" w:line="290" w:lineRule="auto"/>
        <w:rPr>
          <w:sz w:val="20"/>
          <w:szCs w:val="20"/>
          <w:color w:val="auto"/>
        </w:rPr>
      </w:pPr>
      <w:r>
        <w:rPr>
          <w:rFonts w:ascii="Arial" w:cs="Arial" w:eastAsia="Arial" w:hAnsi="Arial"/>
          <w:sz w:val="16"/>
          <w:szCs w:val="16"/>
          <w:b w:val="1"/>
          <w:bCs w:val="1"/>
          <w:color w:val="auto"/>
        </w:rPr>
        <w:t xml:space="preserve">$233.2 million </w:t>
      </w:r>
      <w:r>
        <w:rPr>
          <w:rFonts w:ascii="Arial" w:cs="Arial" w:eastAsia="Arial" w:hAnsi="Arial"/>
          <w:sz w:val="16"/>
          <w:szCs w:val="16"/>
          <w:color w:val="auto"/>
        </w:rPr>
        <w:t>net income and</w:t>
      </w:r>
      <w:r>
        <w:rPr>
          <w:rFonts w:ascii="Arial" w:cs="Arial" w:eastAsia="Arial" w:hAnsi="Arial"/>
          <w:sz w:val="16"/>
          <w:szCs w:val="16"/>
          <w:b w:val="1"/>
          <w:bCs w:val="1"/>
          <w:color w:val="auto"/>
        </w:rPr>
        <w:t xml:space="preserve"> $255.1 million </w:t>
      </w:r>
      <w:r>
        <w:rPr>
          <w:rFonts w:ascii="Arial" w:cs="Arial" w:eastAsia="Arial" w:hAnsi="Arial"/>
          <w:sz w:val="16"/>
          <w:szCs w:val="16"/>
          <w:color w:val="auto"/>
        </w:rPr>
        <w:t>adjusted net income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quarter, increases of </w:t>
      </w:r>
      <w:r>
        <w:rPr>
          <w:rFonts w:ascii="Arial" w:cs="Arial" w:eastAsia="Arial" w:hAnsi="Arial"/>
          <w:sz w:val="16"/>
          <w:szCs w:val="16"/>
          <w:b w:val="1"/>
          <w:bCs w:val="1"/>
          <w:color w:val="auto"/>
        </w:rPr>
        <w:t>38.5%</w:t>
      </w:r>
      <w:r>
        <w:rPr>
          <w:rFonts w:ascii="Arial" w:cs="Arial" w:eastAsia="Arial" w:hAnsi="Arial"/>
          <w:sz w:val="16"/>
          <w:szCs w:val="16"/>
          <w:color w:val="auto"/>
        </w:rPr>
        <w:t xml:space="preserve"> and </w:t>
      </w:r>
      <w:r>
        <w:rPr>
          <w:rFonts w:ascii="Arial" w:cs="Arial" w:eastAsia="Arial" w:hAnsi="Arial"/>
          <w:sz w:val="16"/>
          <w:szCs w:val="16"/>
          <w:b w:val="1"/>
          <w:bCs w:val="1"/>
          <w:color w:val="auto"/>
        </w:rPr>
        <w:t>24.0%,</w:t>
      </w:r>
      <w:r>
        <w:rPr>
          <w:rFonts w:ascii="Arial" w:cs="Arial" w:eastAsia="Arial" w:hAnsi="Arial"/>
          <w:sz w:val="16"/>
          <w:szCs w:val="16"/>
          <w:color w:val="auto"/>
        </w:rPr>
        <w:t xml:space="preserve"> respectively, from prior year period</w:t>
      </w:r>
    </w:p>
    <w:p>
      <w:pPr>
        <w:spacing w:after="0" w:line="1" w:lineRule="exact"/>
        <w:rPr>
          <w:sz w:val="20"/>
          <w:szCs w:val="20"/>
          <w:color w:val="auto"/>
        </w:rPr>
      </w:pPr>
    </w:p>
    <w:p>
      <w:pPr>
        <w:ind w:left="20" w:right="140"/>
        <w:spacing w:after="0" w:line="281" w:lineRule="auto"/>
        <w:rPr>
          <w:sz w:val="20"/>
          <w:szCs w:val="20"/>
          <w:color w:val="auto"/>
        </w:rPr>
      </w:pPr>
      <w:r>
        <w:rPr>
          <w:rFonts w:ascii="Arial" w:cs="Arial" w:eastAsia="Arial" w:hAnsi="Arial"/>
          <w:sz w:val="16"/>
          <w:szCs w:val="16"/>
          <w:b w:val="1"/>
          <w:bCs w:val="1"/>
          <w:color w:val="auto"/>
        </w:rPr>
        <w:t xml:space="preserve">55.0% </w:t>
      </w:r>
      <w:r>
        <w:rPr>
          <w:rFonts w:ascii="Arial" w:cs="Arial" w:eastAsia="Arial" w:hAnsi="Arial"/>
          <w:sz w:val="16"/>
          <w:szCs w:val="16"/>
          <w:color w:val="auto"/>
        </w:rPr>
        <w:t>adjusted EBITDA margin and</w:t>
      </w:r>
      <w:r>
        <w:rPr>
          <w:rFonts w:ascii="Arial" w:cs="Arial" w:eastAsia="Arial" w:hAnsi="Arial"/>
          <w:sz w:val="16"/>
          <w:szCs w:val="16"/>
          <w:b w:val="1"/>
          <w:bCs w:val="1"/>
          <w:color w:val="auto"/>
        </w:rPr>
        <w:t xml:space="preserve"> $339.7 million </w:t>
      </w:r>
      <w:r>
        <w:rPr>
          <w:rFonts w:ascii="Arial" w:cs="Arial" w:eastAsia="Arial" w:hAnsi="Arial"/>
          <w:sz w:val="16"/>
          <w:szCs w:val="16"/>
          <w:color w:val="auto"/>
        </w:rPr>
        <w:t>adjusted EBITDA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quarter, compared to 54.6% and $278.2 million respectively for prior year period</w:t>
      </w:r>
    </w:p>
    <w:p>
      <w:pPr>
        <w:spacing w:after="0" w:line="1" w:lineRule="exact"/>
        <w:rPr>
          <w:sz w:val="20"/>
          <w:szCs w:val="20"/>
          <w:color w:val="auto"/>
        </w:rPr>
      </w:pPr>
    </w:p>
    <w:p>
      <w:pPr>
        <w:ind w:left="20" w:right="460"/>
        <w:spacing w:after="0" w:line="290" w:lineRule="auto"/>
        <w:rPr>
          <w:sz w:val="20"/>
          <w:szCs w:val="20"/>
          <w:color w:val="auto"/>
        </w:rPr>
      </w:pPr>
      <w:r>
        <w:rPr>
          <w:rFonts w:ascii="Arial" w:cs="Arial" w:eastAsia="Arial" w:hAnsi="Arial"/>
          <w:sz w:val="16"/>
          <w:szCs w:val="16"/>
          <w:b w:val="1"/>
          <w:bCs w:val="1"/>
          <w:color w:val="auto"/>
        </w:rPr>
        <w:t xml:space="preserve">$0.96 </w:t>
      </w:r>
      <w:r>
        <w:rPr>
          <w:rFonts w:ascii="Arial" w:cs="Arial" w:eastAsia="Arial" w:hAnsi="Arial"/>
          <w:sz w:val="16"/>
          <w:szCs w:val="16"/>
          <w:color w:val="auto"/>
        </w:rPr>
        <w:t>diluted earnings per share (“Diluted EPS”) and</w:t>
      </w:r>
      <w:r>
        <w:rPr>
          <w:rFonts w:ascii="Arial" w:cs="Arial" w:eastAsia="Arial" w:hAnsi="Arial"/>
          <w:sz w:val="16"/>
          <w:szCs w:val="16"/>
          <w:b w:val="1"/>
          <w:bCs w:val="1"/>
          <w:color w:val="auto"/>
        </w:rPr>
        <w:t xml:space="preserve"> $1.08 </w:t>
      </w:r>
      <w:r>
        <w:rPr>
          <w:rFonts w:ascii="Arial" w:cs="Arial" w:eastAsia="Arial" w:hAnsi="Arial"/>
          <w:sz w:val="16"/>
          <w:szCs w:val="16"/>
          <w:color w:val="auto"/>
        </w:rPr>
        <w:t>adjusted diluted</w:t>
      </w:r>
      <w:r>
        <w:rPr>
          <w:rFonts w:ascii="Arial" w:cs="Arial" w:eastAsia="Arial" w:hAnsi="Arial"/>
          <w:sz w:val="16"/>
          <w:szCs w:val="16"/>
          <w:b w:val="1"/>
          <w:bCs w:val="1"/>
          <w:color w:val="auto"/>
        </w:rPr>
        <w:t xml:space="preserve"> </w:t>
      </w:r>
      <w:r>
        <w:rPr>
          <w:rFonts w:ascii="Arial" w:cs="Arial" w:eastAsia="Arial" w:hAnsi="Arial"/>
          <w:sz w:val="16"/>
          <w:szCs w:val="16"/>
          <w:color w:val="auto"/>
        </w:rPr>
        <w:t>earnings per share for the quarter</w:t>
      </w:r>
    </w:p>
    <w:p>
      <w:pPr>
        <w:spacing w:after="0" w:line="1" w:lineRule="exact"/>
        <w:rPr>
          <w:sz w:val="20"/>
          <w:szCs w:val="20"/>
          <w:color w:val="auto"/>
        </w:rPr>
      </w:pPr>
    </w:p>
    <w:p>
      <w:pPr>
        <w:ind w:left="20" w:right="280"/>
        <w:spacing w:after="0" w:line="304" w:lineRule="auto"/>
        <w:rPr>
          <w:sz w:val="20"/>
          <w:szCs w:val="20"/>
          <w:color w:val="auto"/>
        </w:rPr>
      </w:pPr>
      <w:r>
        <w:rPr>
          <w:rFonts w:ascii="Arial" w:cs="Arial" w:eastAsia="Arial" w:hAnsi="Arial"/>
          <w:sz w:val="16"/>
          <w:szCs w:val="16"/>
          <w:b w:val="1"/>
          <w:bCs w:val="1"/>
          <w:color w:val="auto"/>
        </w:rPr>
        <w:t xml:space="preserve">$0.14 </w:t>
      </w:r>
      <w:r>
        <w:rPr>
          <w:rFonts w:ascii="Arial" w:cs="Arial" w:eastAsia="Arial" w:hAnsi="Arial"/>
          <w:sz w:val="16"/>
          <w:szCs w:val="16"/>
          <w:color w:val="auto"/>
        </w:rPr>
        <w:t>per share quarterly cash dividend declared, a</w:t>
      </w:r>
      <w:r>
        <w:rPr>
          <w:rFonts w:ascii="Arial" w:cs="Arial" w:eastAsia="Arial" w:hAnsi="Arial"/>
          <w:sz w:val="16"/>
          <w:szCs w:val="16"/>
          <w:b w:val="1"/>
          <w:bCs w:val="1"/>
          <w:color w:val="auto"/>
        </w:rPr>
        <w:t xml:space="preserve"> 16.7% </w:t>
      </w:r>
      <w:r>
        <w:rPr>
          <w:rFonts w:ascii="Arial" w:cs="Arial" w:eastAsia="Arial" w:hAnsi="Arial"/>
          <w:sz w:val="16"/>
          <w:szCs w:val="16"/>
          <w:color w:val="auto"/>
        </w:rPr>
        <w:t>per share increase</w:t>
      </w:r>
      <w:r>
        <w:rPr>
          <w:rFonts w:ascii="Arial" w:cs="Arial" w:eastAsia="Arial" w:hAnsi="Arial"/>
          <w:sz w:val="16"/>
          <w:szCs w:val="16"/>
          <w:b w:val="1"/>
          <w:bCs w:val="1"/>
          <w:color w:val="auto"/>
        </w:rPr>
        <w:t xml:space="preserve"> </w:t>
      </w:r>
      <w:r>
        <w:rPr>
          <w:rFonts w:ascii="Arial" w:cs="Arial" w:eastAsia="Arial" w:hAnsi="Arial"/>
          <w:sz w:val="16"/>
          <w:szCs w:val="16"/>
          <w:color w:val="auto"/>
        </w:rPr>
        <w:t>from prior year period</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color w:val="00497F"/>
        </w:rPr>
        <w:t>Billy Hult, CEO of Tradeweb:</w:t>
      </w:r>
    </w:p>
    <w:p>
      <w:pPr>
        <w:spacing w:after="0" w:line="37" w:lineRule="exact"/>
        <w:rPr>
          <w:sz w:val="20"/>
          <w:szCs w:val="20"/>
          <w:color w:val="auto"/>
        </w:rPr>
      </w:pPr>
    </w:p>
    <w:p>
      <w:pPr>
        <w:ind w:right="120"/>
        <w:spacing w:after="0" w:line="245" w:lineRule="auto"/>
        <w:rPr>
          <w:sz w:val="20"/>
          <w:szCs w:val="20"/>
          <w:color w:val="auto"/>
        </w:rPr>
      </w:pPr>
      <w:r>
        <w:rPr>
          <w:rFonts w:ascii="Arial" w:cs="Arial" w:eastAsia="Arial" w:hAnsi="Arial"/>
          <w:sz w:val="12"/>
          <w:szCs w:val="12"/>
          <w:color w:val="auto"/>
        </w:rPr>
        <w:t>“The record quarterly revenue and volumes we delivered underscore the strength of our global, multi-asset platform and the continued structural shift toward electronic trading.</w:t>
      </w:r>
    </w:p>
    <w:p>
      <w:pPr>
        <w:ind w:right="220"/>
        <w:spacing w:after="0" w:line="223" w:lineRule="auto"/>
        <w:rPr>
          <w:sz w:val="20"/>
          <w:szCs w:val="20"/>
          <w:color w:val="auto"/>
        </w:rPr>
      </w:pPr>
      <w:r>
        <w:rPr>
          <w:rFonts w:ascii="Arial" w:cs="Arial" w:eastAsia="Arial" w:hAnsi="Arial"/>
          <w:sz w:val="12"/>
          <w:szCs w:val="12"/>
          <w:color w:val="auto"/>
        </w:rPr>
        <w:t>We saw strong momentum in international client engagement and adoption, alongside accelerating use of automated trading workflows, as clients increasingly turned to</w:t>
      </w:r>
    </w:p>
    <w:p>
      <w:pPr>
        <w:spacing w:after="0"/>
        <w:rPr>
          <w:sz w:val="20"/>
          <w:szCs w:val="20"/>
          <w:color w:val="auto"/>
        </w:rPr>
      </w:pPr>
      <w:r>
        <w:rPr>
          <w:rFonts w:ascii="Arial" w:cs="Arial" w:eastAsia="Arial" w:hAnsi="Arial"/>
          <w:sz w:val="12"/>
          <w:szCs w:val="12"/>
          <w:color w:val="auto"/>
        </w:rPr>
        <w:t>electronic solutions — particularly amid heightened global volatility in March.</w:t>
      </w:r>
    </w:p>
    <w:p>
      <w:pPr>
        <w:spacing w:after="0" w:line="228" w:lineRule="exact"/>
        <w:rPr>
          <w:sz w:val="20"/>
          <w:szCs w:val="20"/>
          <w:color w:val="auto"/>
        </w:rPr>
      </w:pPr>
    </w:p>
    <w:p>
      <w:pPr>
        <w:ind w:right="40"/>
        <w:spacing w:after="0" w:line="233" w:lineRule="auto"/>
        <w:rPr>
          <w:sz w:val="20"/>
          <w:szCs w:val="20"/>
          <w:color w:val="auto"/>
        </w:rPr>
      </w:pPr>
      <w:r>
        <w:rPr>
          <w:rFonts w:ascii="Arial" w:cs="Arial" w:eastAsia="Arial" w:hAnsi="Arial"/>
          <w:sz w:val="12"/>
          <w:szCs w:val="12"/>
          <w:color w:val="auto"/>
        </w:rPr>
        <w:t>In our core markets, we continued to enhance our rates offering by advancing dealer algo execution for U.S. Treasuries, completing the first fully electronic swaption termination</w:t>
      </w:r>
    </w:p>
    <w:p>
      <w:pPr>
        <w:spacing w:after="0" w:line="1" w:lineRule="exact"/>
        <w:rPr>
          <w:sz w:val="20"/>
          <w:szCs w:val="20"/>
          <w:color w:val="auto"/>
        </w:rPr>
      </w:pPr>
    </w:p>
    <w:p>
      <w:pPr>
        <w:ind w:right="40"/>
        <w:spacing w:after="0" w:line="223" w:lineRule="auto"/>
        <w:rPr>
          <w:sz w:val="20"/>
          <w:szCs w:val="20"/>
          <w:color w:val="auto"/>
        </w:rPr>
      </w:pPr>
      <w:r>
        <w:rPr>
          <w:rFonts w:ascii="Arial" w:cs="Arial" w:eastAsia="Arial" w:hAnsi="Arial"/>
          <w:sz w:val="12"/>
          <w:szCs w:val="12"/>
          <w:color w:val="auto"/>
        </w:rPr>
        <w:t>and launching multi-asset package trading for USD swaps. We also partnered with MAXEX to broaden institutional access to U.S. residential mortgages. In credit, increased</w:t>
      </w:r>
    </w:p>
    <w:p>
      <w:pPr>
        <w:spacing w:after="0" w:line="234" w:lineRule="auto"/>
        <w:rPr>
          <w:sz w:val="20"/>
          <w:szCs w:val="20"/>
          <w:color w:val="auto"/>
        </w:rPr>
      </w:pPr>
      <w:r>
        <w:rPr>
          <w:rFonts w:ascii="Arial" w:cs="Arial" w:eastAsia="Arial" w:hAnsi="Arial"/>
          <w:sz w:val="12"/>
          <w:szCs w:val="12"/>
          <w:color w:val="auto"/>
        </w:rPr>
        <w:t>adoption of electronic block trading continued to underscore the ongoing structural shift</w:t>
      </w:r>
    </w:p>
    <w:p>
      <w:pPr>
        <w:spacing w:after="0" w:line="1" w:lineRule="exact"/>
        <w:rPr>
          <w:sz w:val="20"/>
          <w:szCs w:val="20"/>
          <w:color w:val="auto"/>
        </w:rPr>
      </w:pPr>
    </w:p>
    <w:p>
      <w:pPr>
        <w:ind w:right="400"/>
        <w:spacing w:after="0" w:line="234" w:lineRule="auto"/>
        <w:rPr>
          <w:sz w:val="20"/>
          <w:szCs w:val="20"/>
          <w:color w:val="auto"/>
        </w:rPr>
      </w:pPr>
      <w:r>
        <w:rPr>
          <w:rFonts w:ascii="Arial" w:cs="Arial" w:eastAsia="Arial" w:hAnsi="Arial"/>
          <w:sz w:val="12"/>
          <w:szCs w:val="12"/>
          <w:color w:val="auto"/>
        </w:rPr>
        <w:t>toward electronification, while ETFs remained an important and growing part of the ecosystem.</w:t>
      </w:r>
    </w:p>
    <w:p>
      <w:pPr>
        <w:spacing w:after="0" w:line="218" w:lineRule="exact"/>
        <w:rPr>
          <w:sz w:val="20"/>
          <w:szCs w:val="20"/>
          <w:color w:val="auto"/>
        </w:rPr>
      </w:pPr>
    </w:p>
    <w:p>
      <w:pPr>
        <w:spacing w:after="0"/>
        <w:rPr>
          <w:sz w:val="20"/>
          <w:szCs w:val="20"/>
          <w:color w:val="auto"/>
        </w:rPr>
      </w:pPr>
      <w:r>
        <w:rPr>
          <w:rFonts w:ascii="Arial" w:cs="Arial" w:eastAsia="Arial" w:hAnsi="Arial"/>
          <w:sz w:val="12"/>
          <w:szCs w:val="12"/>
          <w:color w:val="auto"/>
        </w:rPr>
        <w:t>At the same time, we are investing in frontier areas that are shaping the future of</w:t>
      </w:r>
    </w:p>
    <w:p>
      <w:pPr>
        <w:spacing w:after="0" w:line="9" w:lineRule="exact"/>
        <w:rPr>
          <w:sz w:val="20"/>
          <w:szCs w:val="20"/>
          <w:color w:val="auto"/>
        </w:rPr>
      </w:pPr>
    </w:p>
    <w:p>
      <w:pPr>
        <w:ind w:right="320"/>
        <w:spacing w:after="0" w:line="223" w:lineRule="auto"/>
        <w:rPr>
          <w:sz w:val="20"/>
          <w:szCs w:val="20"/>
          <w:color w:val="auto"/>
        </w:rPr>
      </w:pPr>
      <w:r>
        <w:rPr>
          <w:rFonts w:ascii="Arial" w:cs="Arial" w:eastAsia="Arial" w:hAnsi="Arial"/>
          <w:sz w:val="12"/>
          <w:szCs w:val="12"/>
          <w:color w:val="auto"/>
        </w:rPr>
        <w:t>electronic trading. Our investment in and partnership with Kalshi marks an important milestone in bringing institutional access to prediction markets into sharper focus. In</w:t>
      </w:r>
    </w:p>
    <w:p>
      <w:pPr>
        <w:ind w:right="20"/>
        <w:spacing w:after="0" w:line="223" w:lineRule="auto"/>
        <w:rPr>
          <w:sz w:val="20"/>
          <w:szCs w:val="20"/>
          <w:color w:val="auto"/>
        </w:rPr>
      </w:pPr>
      <w:r>
        <w:rPr>
          <w:rFonts w:ascii="Arial" w:cs="Arial" w:eastAsia="Arial" w:hAnsi="Arial"/>
          <w:sz w:val="12"/>
          <w:szCs w:val="12"/>
          <w:color w:val="auto"/>
        </w:rPr>
        <w:t>digital assets, our initiatives, including on-chain repo activity on the Canton Network, build directly on our core strengths and support the evolution toward more continuous, 24/7</w:t>
      </w:r>
    </w:p>
    <w:p>
      <w:pPr>
        <w:spacing w:after="0" w:line="234" w:lineRule="auto"/>
        <w:rPr>
          <w:sz w:val="20"/>
          <w:szCs w:val="20"/>
          <w:color w:val="auto"/>
        </w:rPr>
      </w:pPr>
      <w:r>
        <w:rPr>
          <w:rFonts w:ascii="Arial" w:cs="Arial" w:eastAsia="Arial" w:hAnsi="Arial"/>
          <w:sz w:val="12"/>
          <w:szCs w:val="12"/>
          <w:color w:val="auto"/>
        </w:rPr>
        <w:t>trading. We also led a $31 million Series B financing round of Crossover Markets and</w:t>
      </w:r>
    </w:p>
    <w:p>
      <w:pPr>
        <w:spacing w:after="0" w:line="1" w:lineRule="exact"/>
        <w:rPr>
          <w:sz w:val="20"/>
          <w:szCs w:val="20"/>
          <w:color w:val="auto"/>
        </w:rPr>
      </w:pPr>
    </w:p>
    <w:p>
      <w:pPr>
        <w:ind w:right="40"/>
        <w:spacing w:after="0" w:line="223" w:lineRule="auto"/>
        <w:rPr>
          <w:sz w:val="20"/>
          <w:szCs w:val="20"/>
          <w:color w:val="auto"/>
        </w:rPr>
      </w:pPr>
      <w:r>
        <w:rPr>
          <w:rFonts w:ascii="Arial" w:cs="Arial" w:eastAsia="Arial" w:hAnsi="Arial"/>
          <w:sz w:val="12"/>
          <w:szCs w:val="12"/>
          <w:color w:val="auto"/>
        </w:rPr>
        <w:t>established a strategic partnership with the goal to deliver institutional spot crypto liquidity to clients globally. In parallel, we are continuing to advance our AI capabilities, ensuring</w:t>
      </w:r>
    </w:p>
    <w:p>
      <w:pPr>
        <w:spacing w:after="0"/>
        <w:rPr>
          <w:sz w:val="20"/>
          <w:szCs w:val="20"/>
          <w:color w:val="auto"/>
        </w:rPr>
      </w:pPr>
      <w:r>
        <w:rPr>
          <w:rFonts w:ascii="Arial" w:cs="Arial" w:eastAsia="Arial" w:hAnsi="Arial"/>
          <w:sz w:val="12"/>
          <w:szCs w:val="12"/>
          <w:color w:val="auto"/>
        </w:rPr>
        <w:t>we remain well positioned as these markets continue to evolve.</w:t>
      </w:r>
    </w:p>
    <w:p>
      <w:pPr>
        <w:spacing w:after="0" w:line="228" w:lineRule="exact"/>
        <w:rPr>
          <w:sz w:val="20"/>
          <w:szCs w:val="20"/>
          <w:color w:val="auto"/>
        </w:rPr>
      </w:pPr>
    </w:p>
    <w:p>
      <w:pPr>
        <w:ind w:right="100"/>
        <w:spacing w:after="0" w:line="233" w:lineRule="auto"/>
        <w:rPr>
          <w:sz w:val="20"/>
          <w:szCs w:val="20"/>
          <w:color w:val="auto"/>
        </w:rPr>
      </w:pPr>
      <w:r>
        <w:rPr>
          <w:rFonts w:ascii="Arial" w:cs="Arial" w:eastAsia="Arial" w:hAnsi="Arial"/>
          <w:sz w:val="12"/>
          <w:szCs w:val="12"/>
          <w:color w:val="auto"/>
        </w:rPr>
        <w:t>Taken together, we believe these efforts enable us to play a leading role in the convergence of traditional finance and digital markets. With a strong foundation in place,</w:t>
      </w:r>
    </w:p>
    <w:p>
      <w:pPr>
        <w:spacing w:after="0" w:line="1" w:lineRule="exact"/>
        <w:rPr>
          <w:sz w:val="20"/>
          <w:szCs w:val="20"/>
          <w:color w:val="auto"/>
        </w:rPr>
      </w:pPr>
    </w:p>
    <w:p>
      <w:pPr>
        <w:ind w:right="320"/>
        <w:spacing w:after="0" w:line="234" w:lineRule="auto"/>
        <w:rPr>
          <w:sz w:val="20"/>
          <w:szCs w:val="20"/>
          <w:color w:val="auto"/>
        </w:rPr>
      </w:pPr>
      <w:r>
        <w:rPr>
          <w:rFonts w:ascii="Arial" w:cs="Arial" w:eastAsia="Arial" w:hAnsi="Arial"/>
          <w:sz w:val="12"/>
          <w:szCs w:val="12"/>
          <w:color w:val="auto"/>
        </w:rPr>
        <w:t>we remain focused on delivering for clients, investing in our platform and building on momentum across both our core business and emerging growth areas.”</w:t>
      </w:r>
    </w:p>
    <w:p>
      <w:pPr>
        <w:spacing w:after="0" w:line="200" w:lineRule="exact"/>
        <w:rPr>
          <w:sz w:val="20"/>
          <w:szCs w:val="20"/>
          <w:color w:val="auto"/>
        </w:rPr>
      </w:pPr>
    </w:p>
    <w:p>
      <w:pPr>
        <w:sectPr>
          <w:pgSz w:w="11900" w:h="16838" w:orient="portrait"/>
          <w:cols w:equalWidth="0" w:num="2">
            <w:col w:w="5880" w:space="120"/>
            <w:col w:w="4840"/>
          </w:cols>
          <w:pgMar w:left="320" w:top="179" w:right="739" w:bottom="1440" w:gutter="0" w:footer="0" w:header="0"/>
          <w:type w:val="continuous"/>
        </w:sect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760" w:type="dxa"/>
            <w:vAlign w:val="bottom"/>
            <w:shd w:val="clear" w:color="auto" w:fill="083566"/>
          </w:tcPr>
          <w:p>
            <w:pPr>
              <w:spacing w:after="0"/>
              <w:rPr>
                <w:sz w:val="17"/>
                <w:szCs w:val="17"/>
                <w:color w:val="auto"/>
              </w:rPr>
            </w:pPr>
          </w:p>
        </w:tc>
        <w:tc>
          <w:tcPr>
            <w:tcW w:w="24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200" w:type="dxa"/>
            <w:vAlign w:val="bottom"/>
            <w:shd w:val="clear" w:color="auto" w:fill="083566"/>
          </w:tcPr>
          <w:p>
            <w:pPr>
              <w:spacing w:after="0"/>
              <w:rPr>
                <w:sz w:val="17"/>
                <w:szCs w:val="17"/>
                <w:color w:val="auto"/>
              </w:rPr>
            </w:pPr>
          </w:p>
        </w:tc>
        <w:tc>
          <w:tcPr>
            <w:tcW w:w="980" w:type="dxa"/>
            <w:vAlign w:val="bottom"/>
            <w:shd w:val="clear" w:color="auto" w:fill="083566"/>
          </w:tcPr>
          <w:p>
            <w:pPr>
              <w:spacing w:after="0"/>
              <w:rPr>
                <w:sz w:val="17"/>
                <w:szCs w:val="17"/>
                <w:color w:val="auto"/>
              </w:rPr>
            </w:pPr>
          </w:p>
        </w:tc>
        <w:tc>
          <w:tcPr>
            <w:tcW w:w="900" w:type="dxa"/>
            <w:vAlign w:val="bottom"/>
            <w:shd w:val="clear" w:color="auto" w:fill="083566"/>
          </w:tcPr>
          <w:p>
            <w:pPr>
              <w:spacing w:after="0"/>
              <w:rPr>
                <w:sz w:val="17"/>
                <w:szCs w:val="17"/>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Constant</w:t>
            </w:r>
          </w:p>
        </w:tc>
        <w:tc>
          <w:tcPr>
            <w:tcW w:w="80" w:type="dxa"/>
            <w:vAlign w:val="bottom"/>
          </w:tcPr>
          <w:p>
            <w:pPr>
              <w:spacing w:after="0"/>
              <w:rPr>
                <w:sz w:val="17"/>
                <w:szCs w:val="17"/>
                <w:color w:val="auto"/>
              </w:rPr>
            </w:pPr>
          </w:p>
        </w:tc>
        <w:tc>
          <w:tcPr>
            <w:tcW w:w="1180" w:type="dxa"/>
            <w:vAlign w:val="bottom"/>
            <w:shd w:val="clear" w:color="auto" w:fill="083566"/>
          </w:tcPr>
          <w:p>
            <w:pPr>
              <w:spacing w:after="0"/>
              <w:rPr>
                <w:sz w:val="17"/>
                <w:szCs w:val="17"/>
                <w:color w:val="auto"/>
              </w:rPr>
            </w:pPr>
          </w:p>
        </w:tc>
        <w:tc>
          <w:tcPr>
            <w:tcW w:w="1000" w:type="dxa"/>
            <w:vAlign w:val="bottom"/>
            <w:shd w:val="clear" w:color="auto" w:fill="083566"/>
          </w:tcPr>
          <w:p>
            <w:pPr>
              <w:spacing w:after="0"/>
              <w:rPr>
                <w:sz w:val="17"/>
                <w:szCs w:val="17"/>
                <w:color w:val="auto"/>
              </w:rPr>
            </w:pPr>
          </w:p>
        </w:tc>
        <w:tc>
          <w:tcPr>
            <w:tcW w:w="160" w:type="dxa"/>
            <w:vAlign w:val="bottom"/>
            <w:shd w:val="clear" w:color="auto" w:fill="083566"/>
          </w:tcPr>
          <w:p>
            <w:pPr>
              <w:spacing w:after="0"/>
              <w:rPr>
                <w:sz w:val="17"/>
                <w:szCs w:val="17"/>
                <w:color w:val="auto"/>
              </w:rPr>
            </w:pPr>
          </w:p>
        </w:tc>
        <w:tc>
          <w:tcPr>
            <w:tcW w:w="660" w:type="dxa"/>
            <w:vAlign w:val="bottom"/>
            <w:shd w:val="clear" w:color="auto" w:fill="083566"/>
          </w:tcPr>
          <w:p>
            <w:pPr>
              <w:spacing w:after="0"/>
              <w:rPr>
                <w:sz w:val="17"/>
                <w:szCs w:val="17"/>
                <w:color w:val="auto"/>
              </w:rPr>
            </w:pPr>
          </w:p>
        </w:tc>
        <w:tc>
          <w:tcPr>
            <w:tcW w:w="140" w:type="dxa"/>
            <w:vAlign w:val="bottom"/>
            <w:shd w:val="clear" w:color="auto" w:fill="083566"/>
          </w:tcPr>
          <w:p>
            <w:pPr>
              <w:spacing w:after="0"/>
              <w:rPr>
                <w:sz w:val="17"/>
                <w:szCs w:val="17"/>
                <w:color w:val="auto"/>
              </w:rPr>
            </w:pPr>
          </w:p>
        </w:tc>
        <w:tc>
          <w:tcPr>
            <w:tcW w:w="840" w:type="dxa"/>
            <w:vAlign w:val="bottom"/>
            <w:shd w:val="clear" w:color="auto" w:fill="083566"/>
          </w:tcPr>
          <w:p>
            <w:pPr>
              <w:spacing w:after="0"/>
              <w:rPr>
                <w:sz w:val="17"/>
                <w:szCs w:val="17"/>
                <w:color w:val="auto"/>
              </w:rPr>
            </w:pPr>
          </w:p>
        </w:tc>
        <w:tc>
          <w:tcPr>
            <w:tcW w:w="880" w:type="dxa"/>
            <w:vAlign w:val="bottom"/>
            <w:shd w:val="clear" w:color="auto" w:fill="083566"/>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SELECT FINANCIAL</w:t>
            </w:r>
          </w:p>
        </w:tc>
        <w:tc>
          <w:tcPr>
            <w:tcW w:w="24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200" w:type="dxa"/>
            <w:vAlign w:val="bottom"/>
            <w:shd w:val="clear" w:color="auto" w:fill="083566"/>
          </w:tcPr>
          <w:p>
            <w:pPr>
              <w:spacing w:after="0"/>
              <w:rPr>
                <w:sz w:val="16"/>
                <w:szCs w:val="16"/>
                <w:color w:val="auto"/>
              </w:rPr>
            </w:pPr>
          </w:p>
        </w:tc>
        <w:tc>
          <w:tcPr>
            <w:tcW w:w="980" w:type="dxa"/>
            <w:vAlign w:val="bottom"/>
            <w:shd w:val="clear" w:color="auto" w:fill="083566"/>
          </w:tcPr>
          <w:p>
            <w:pPr>
              <w:spacing w:after="0"/>
              <w:rPr>
                <w:sz w:val="16"/>
                <w:szCs w:val="16"/>
                <w:color w:val="auto"/>
              </w:rPr>
            </w:pPr>
          </w:p>
        </w:tc>
        <w:tc>
          <w:tcPr>
            <w:tcW w:w="900" w:type="dxa"/>
            <w:vAlign w:val="bottom"/>
            <w:shd w:val="clear" w:color="auto" w:fill="083566"/>
          </w:tcPr>
          <w:p>
            <w:pPr>
              <w:spacing w:after="0"/>
              <w:rPr>
                <w:sz w:val="16"/>
                <w:szCs w:val="16"/>
                <w:color w:val="auto"/>
              </w:rPr>
            </w:pP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Currency</w:t>
            </w:r>
          </w:p>
        </w:tc>
        <w:tc>
          <w:tcPr>
            <w:tcW w:w="80" w:type="dxa"/>
            <w:vAlign w:val="bottom"/>
          </w:tcPr>
          <w:p>
            <w:pPr>
              <w:spacing w:after="0"/>
              <w:rPr>
                <w:sz w:val="16"/>
                <w:szCs w:val="16"/>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 xml:space="preserve">ADV </w:t>
            </w:r>
            <w:r>
              <w:rPr>
                <w:rFonts w:ascii="Arial" w:cs="Arial" w:eastAsia="Arial" w:hAnsi="Arial"/>
                <w:sz w:val="16"/>
                <w:szCs w:val="16"/>
                <w:color w:val="FFFFFF"/>
              </w:rPr>
              <w:t>(US $bn)</w:t>
            </w:r>
          </w:p>
        </w:tc>
        <w:tc>
          <w:tcPr>
            <w:tcW w:w="1000" w:type="dxa"/>
            <w:vAlign w:val="bottom"/>
            <w:shd w:val="clear" w:color="auto" w:fill="083566"/>
          </w:tcPr>
          <w:p>
            <w:pPr>
              <w:spacing w:after="0"/>
              <w:rPr>
                <w:sz w:val="16"/>
                <w:szCs w:val="16"/>
                <w:color w:val="auto"/>
              </w:rPr>
            </w:pPr>
          </w:p>
        </w:tc>
        <w:tc>
          <w:tcPr>
            <w:tcW w:w="160" w:type="dxa"/>
            <w:vAlign w:val="bottom"/>
            <w:shd w:val="clear" w:color="auto" w:fill="083566"/>
          </w:tcPr>
          <w:p>
            <w:pPr>
              <w:spacing w:after="0"/>
              <w:rPr>
                <w:sz w:val="16"/>
                <w:szCs w:val="16"/>
                <w:color w:val="auto"/>
              </w:rPr>
            </w:pPr>
          </w:p>
        </w:tc>
        <w:tc>
          <w:tcPr>
            <w:tcW w:w="660" w:type="dxa"/>
            <w:vAlign w:val="bottom"/>
            <w:shd w:val="clear" w:color="auto" w:fill="083566"/>
          </w:tcPr>
          <w:p>
            <w:pPr>
              <w:spacing w:after="0"/>
              <w:rPr>
                <w:sz w:val="16"/>
                <w:szCs w:val="16"/>
                <w:color w:val="auto"/>
              </w:rPr>
            </w:pPr>
          </w:p>
        </w:tc>
        <w:tc>
          <w:tcPr>
            <w:tcW w:w="140" w:type="dxa"/>
            <w:vAlign w:val="bottom"/>
            <w:shd w:val="clear" w:color="auto" w:fill="083566"/>
          </w:tcPr>
          <w:p>
            <w:pPr>
              <w:spacing w:after="0"/>
              <w:rPr>
                <w:sz w:val="16"/>
                <w:szCs w:val="16"/>
                <w:color w:val="auto"/>
              </w:rPr>
            </w:pPr>
          </w:p>
        </w:tc>
        <w:tc>
          <w:tcPr>
            <w:tcW w:w="840" w:type="dxa"/>
            <w:vAlign w:val="bottom"/>
            <w:shd w:val="clear" w:color="auto" w:fill="083566"/>
          </w:tcPr>
          <w:p>
            <w:pPr>
              <w:spacing w:after="0"/>
              <w:rPr>
                <w:sz w:val="16"/>
                <w:szCs w:val="16"/>
                <w:color w:val="auto"/>
              </w:rPr>
            </w:pPr>
          </w:p>
        </w:tc>
        <w:tc>
          <w:tcPr>
            <w:tcW w:w="880" w:type="dxa"/>
            <w:vAlign w:val="bottom"/>
            <w:shd w:val="clear" w:color="auto" w:fill="083566"/>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176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RESULTS</w:t>
            </w:r>
          </w:p>
        </w:tc>
        <w:tc>
          <w:tcPr>
            <w:tcW w:w="240" w:type="dxa"/>
            <w:vAlign w:val="bottom"/>
            <w:shd w:val="clear" w:color="auto" w:fill="083566"/>
          </w:tcPr>
          <w:p>
            <w:pPr>
              <w:spacing w:after="0"/>
              <w:rPr>
                <w:sz w:val="22"/>
                <w:szCs w:val="22"/>
                <w:color w:val="auto"/>
              </w:rPr>
            </w:pPr>
          </w:p>
        </w:tc>
        <w:tc>
          <w:tcPr>
            <w:tcW w:w="880" w:type="dxa"/>
            <w:vAlign w:val="bottom"/>
            <w:shd w:val="clear" w:color="auto" w:fill="083566"/>
          </w:tcPr>
          <w:p>
            <w:pPr>
              <w:jc w:val="right"/>
              <w:ind w:right="259"/>
              <w:spacing w:after="0"/>
              <w:rPr>
                <w:sz w:val="20"/>
                <w:szCs w:val="20"/>
                <w:color w:val="auto"/>
              </w:rPr>
            </w:pPr>
            <w:r>
              <w:rPr>
                <w:rFonts w:ascii="Arial" w:cs="Arial" w:eastAsia="Arial" w:hAnsi="Arial"/>
                <w:sz w:val="16"/>
                <w:szCs w:val="16"/>
                <w:b w:val="1"/>
                <w:bCs w:val="1"/>
                <w:color w:val="FFFFFF"/>
              </w:rPr>
              <w:t>1Q26</w:t>
            </w:r>
          </w:p>
        </w:tc>
        <w:tc>
          <w:tcPr>
            <w:tcW w:w="200" w:type="dxa"/>
            <w:vAlign w:val="bottom"/>
            <w:shd w:val="clear" w:color="auto" w:fill="083566"/>
          </w:tcPr>
          <w:p>
            <w:pPr>
              <w:spacing w:after="0"/>
              <w:rPr>
                <w:sz w:val="22"/>
                <w:szCs w:val="22"/>
                <w:color w:val="auto"/>
              </w:rPr>
            </w:pPr>
          </w:p>
        </w:tc>
        <w:tc>
          <w:tcPr>
            <w:tcW w:w="980" w:type="dxa"/>
            <w:vAlign w:val="bottom"/>
            <w:shd w:val="clear" w:color="auto" w:fill="083566"/>
          </w:tcPr>
          <w:p>
            <w:pPr>
              <w:jc w:val="right"/>
              <w:ind w:right="359"/>
              <w:spacing w:after="0"/>
              <w:rPr>
                <w:sz w:val="20"/>
                <w:szCs w:val="20"/>
                <w:color w:val="auto"/>
              </w:rPr>
            </w:pPr>
            <w:r>
              <w:rPr>
                <w:rFonts w:ascii="Arial" w:cs="Arial" w:eastAsia="Arial" w:hAnsi="Arial"/>
                <w:sz w:val="16"/>
                <w:szCs w:val="16"/>
                <w:b w:val="1"/>
                <w:bCs w:val="1"/>
                <w:color w:val="FFFFFF"/>
              </w:rPr>
              <w:t>1Q25</w:t>
            </w:r>
          </w:p>
        </w:tc>
        <w:tc>
          <w:tcPr>
            <w:tcW w:w="900" w:type="dxa"/>
            <w:vAlign w:val="bottom"/>
            <w:shd w:val="clear" w:color="auto" w:fill="083566"/>
          </w:tcPr>
          <w:p>
            <w:pPr>
              <w:jc w:val="right"/>
              <w:ind w:right="119"/>
              <w:spacing w:after="0"/>
              <w:rPr>
                <w:sz w:val="20"/>
                <w:szCs w:val="20"/>
                <w:color w:val="auto"/>
              </w:rPr>
            </w:pPr>
            <w:r>
              <w:rPr>
                <w:rFonts w:ascii="Arial" w:cs="Arial" w:eastAsia="Arial" w:hAnsi="Arial"/>
                <w:sz w:val="16"/>
                <w:szCs w:val="16"/>
                <w:b w:val="1"/>
                <w:bCs w:val="1"/>
                <w:color w:val="FFFFFF"/>
              </w:rPr>
              <w:t>Change</w:t>
            </w:r>
          </w:p>
        </w:tc>
        <w:tc>
          <w:tcPr>
            <w:tcW w:w="940" w:type="dxa"/>
            <w:vAlign w:val="bottom"/>
            <w:gridSpan w:val="2"/>
            <w:shd w:val="clear" w:color="auto" w:fill="083566"/>
          </w:tcPr>
          <w:p>
            <w:pPr>
              <w:jc w:val="right"/>
              <w:ind w:right="39"/>
              <w:spacing w:after="0"/>
              <w:rPr>
                <w:sz w:val="20"/>
                <w:szCs w:val="20"/>
                <w:color w:val="auto"/>
              </w:rPr>
            </w:pPr>
            <w:r>
              <w:rPr>
                <w:rFonts w:ascii="Arial" w:cs="Arial" w:eastAsia="Arial" w:hAnsi="Arial"/>
                <w:sz w:val="16"/>
                <w:szCs w:val="16"/>
                <w:b w:val="1"/>
                <w:bCs w:val="1"/>
                <w:color w:val="FFFFFF"/>
              </w:rPr>
              <w:t>Change</w:t>
            </w:r>
            <w:r>
              <w:rPr>
                <w:rFonts w:ascii="Arial" w:cs="Arial" w:eastAsia="Arial" w:hAnsi="Arial"/>
                <w:sz w:val="21"/>
                <w:szCs w:val="21"/>
                <w:b w:val="1"/>
                <w:bCs w:val="1"/>
                <w:color w:val="FFFFFF"/>
                <w:vertAlign w:val="superscript"/>
              </w:rPr>
              <w:t>(1)</w:t>
            </w:r>
          </w:p>
        </w:tc>
        <w:tc>
          <w:tcPr>
            <w:tcW w:w="80" w:type="dxa"/>
            <w:vAlign w:val="bottom"/>
          </w:tcPr>
          <w:p>
            <w:pPr>
              <w:spacing w:after="0"/>
              <w:rPr>
                <w:sz w:val="22"/>
                <w:szCs w:val="22"/>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color w:val="FFFFFF"/>
              </w:rPr>
              <w:t>(Unaudited)</w:t>
            </w:r>
          </w:p>
        </w:tc>
        <w:tc>
          <w:tcPr>
            <w:tcW w:w="1000" w:type="dxa"/>
            <w:vAlign w:val="bottom"/>
            <w:shd w:val="clear" w:color="auto" w:fill="083566"/>
          </w:tcPr>
          <w:p>
            <w:pPr>
              <w:spacing w:after="0"/>
              <w:rPr>
                <w:sz w:val="22"/>
                <w:szCs w:val="22"/>
                <w:color w:val="auto"/>
              </w:rPr>
            </w:pPr>
          </w:p>
        </w:tc>
        <w:tc>
          <w:tcPr>
            <w:tcW w:w="160" w:type="dxa"/>
            <w:vAlign w:val="bottom"/>
            <w:shd w:val="clear" w:color="auto" w:fill="083566"/>
          </w:tcPr>
          <w:p>
            <w:pPr>
              <w:spacing w:after="0"/>
              <w:rPr>
                <w:sz w:val="22"/>
                <w:szCs w:val="22"/>
                <w:color w:val="auto"/>
              </w:rPr>
            </w:pPr>
          </w:p>
        </w:tc>
        <w:tc>
          <w:tcPr>
            <w:tcW w:w="660" w:type="dxa"/>
            <w:vAlign w:val="bottom"/>
            <w:shd w:val="clear" w:color="auto" w:fill="083566"/>
          </w:tcPr>
          <w:p>
            <w:pPr>
              <w:spacing w:after="0"/>
              <w:rPr>
                <w:sz w:val="22"/>
                <w:szCs w:val="22"/>
                <w:color w:val="auto"/>
              </w:rPr>
            </w:pPr>
          </w:p>
        </w:tc>
        <w:tc>
          <w:tcPr>
            <w:tcW w:w="140" w:type="dxa"/>
            <w:vAlign w:val="bottom"/>
            <w:shd w:val="clear" w:color="auto" w:fill="083566"/>
          </w:tcPr>
          <w:p>
            <w:pPr>
              <w:spacing w:after="0"/>
              <w:rPr>
                <w:sz w:val="22"/>
                <w:szCs w:val="22"/>
                <w:color w:val="auto"/>
              </w:rPr>
            </w:pPr>
          </w:p>
        </w:tc>
        <w:tc>
          <w:tcPr>
            <w:tcW w:w="840" w:type="dxa"/>
            <w:vAlign w:val="bottom"/>
            <w:shd w:val="clear" w:color="auto" w:fill="083566"/>
          </w:tcPr>
          <w:p>
            <w:pPr>
              <w:spacing w:after="0"/>
              <w:rPr>
                <w:sz w:val="22"/>
                <w:szCs w:val="22"/>
                <w:color w:val="auto"/>
              </w:rPr>
            </w:pPr>
          </w:p>
        </w:tc>
        <w:tc>
          <w:tcPr>
            <w:tcW w:w="880" w:type="dxa"/>
            <w:vAlign w:val="bottom"/>
            <w:shd w:val="clear" w:color="auto" w:fill="083566"/>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60" w:type="dxa"/>
            <w:vAlign w:val="bottom"/>
            <w:gridSpan w:val="6"/>
            <w:shd w:val="clear" w:color="auto" w:fill="083566"/>
          </w:tcPr>
          <w:p>
            <w:pPr>
              <w:ind w:left="20"/>
              <w:spacing w:after="0"/>
              <w:rPr>
                <w:sz w:val="20"/>
                <w:szCs w:val="20"/>
                <w:color w:val="auto"/>
              </w:rPr>
            </w:pPr>
            <w:r>
              <w:rPr>
                <w:rFonts w:ascii="Arial" w:cs="Arial" w:eastAsia="Arial" w:hAnsi="Arial"/>
                <w:sz w:val="16"/>
                <w:szCs w:val="16"/>
                <w:color w:val="FFFFFF"/>
              </w:rPr>
              <w:t>(dollars in thousands, except per share amounts)(Unaudited)</w:t>
            </w:r>
          </w:p>
        </w:tc>
        <w:tc>
          <w:tcPr>
            <w:tcW w:w="560" w:type="dxa"/>
            <w:vAlign w:val="bottom"/>
            <w:shd w:val="clear" w:color="auto" w:fill="083566"/>
          </w:tcPr>
          <w:p>
            <w:pPr>
              <w:spacing w:after="0"/>
              <w:rPr>
                <w:sz w:val="20"/>
                <w:szCs w:val="20"/>
                <w:color w:val="auto"/>
              </w:rPr>
            </w:pPr>
          </w:p>
        </w:tc>
        <w:tc>
          <w:tcPr>
            <w:tcW w:w="380" w:type="dxa"/>
            <w:vAlign w:val="bottom"/>
            <w:shd w:val="clear" w:color="auto" w:fill="083566"/>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Asset Class</w:t>
            </w:r>
          </w:p>
        </w:tc>
        <w:tc>
          <w:tcPr>
            <w:tcW w:w="1000" w:type="dxa"/>
            <w:vAlign w:val="bottom"/>
            <w:shd w:val="clear" w:color="auto" w:fill="083566"/>
          </w:tcPr>
          <w:p>
            <w:pPr>
              <w:ind w:left="20"/>
              <w:spacing w:after="0"/>
              <w:rPr>
                <w:sz w:val="20"/>
                <w:szCs w:val="20"/>
                <w:color w:val="auto"/>
              </w:rPr>
            </w:pPr>
            <w:r>
              <w:rPr>
                <w:rFonts w:ascii="Arial" w:cs="Arial" w:eastAsia="Arial" w:hAnsi="Arial"/>
                <w:sz w:val="16"/>
                <w:szCs w:val="16"/>
                <w:b w:val="1"/>
                <w:bCs w:val="1"/>
                <w:color w:val="FFFFFF"/>
              </w:rPr>
              <w:t>Product</w:t>
            </w:r>
          </w:p>
        </w:tc>
        <w:tc>
          <w:tcPr>
            <w:tcW w:w="160" w:type="dxa"/>
            <w:vAlign w:val="bottom"/>
            <w:shd w:val="clear" w:color="auto" w:fill="083566"/>
          </w:tcPr>
          <w:p>
            <w:pPr>
              <w:spacing w:after="0"/>
              <w:rPr>
                <w:sz w:val="20"/>
                <w:szCs w:val="20"/>
                <w:color w:val="auto"/>
              </w:rPr>
            </w:pPr>
          </w:p>
        </w:tc>
        <w:tc>
          <w:tcPr>
            <w:tcW w:w="660" w:type="dxa"/>
            <w:vAlign w:val="bottom"/>
            <w:shd w:val="clear" w:color="auto" w:fill="083566"/>
          </w:tcPr>
          <w:p>
            <w:pPr>
              <w:jc w:val="right"/>
              <w:ind w:right="139"/>
              <w:spacing w:after="0"/>
              <w:rPr>
                <w:sz w:val="20"/>
                <w:szCs w:val="20"/>
                <w:color w:val="auto"/>
              </w:rPr>
            </w:pPr>
            <w:r>
              <w:rPr>
                <w:rFonts w:ascii="Arial" w:cs="Arial" w:eastAsia="Arial" w:hAnsi="Arial"/>
                <w:sz w:val="16"/>
                <w:szCs w:val="16"/>
                <w:b w:val="1"/>
                <w:bCs w:val="1"/>
                <w:color w:val="FFFFFF"/>
              </w:rPr>
              <w:t>1Q26</w:t>
            </w:r>
          </w:p>
        </w:tc>
        <w:tc>
          <w:tcPr>
            <w:tcW w:w="140" w:type="dxa"/>
            <w:vAlign w:val="bottom"/>
            <w:shd w:val="clear" w:color="auto" w:fill="083566"/>
          </w:tcPr>
          <w:p>
            <w:pPr>
              <w:spacing w:after="0"/>
              <w:rPr>
                <w:sz w:val="20"/>
                <w:szCs w:val="20"/>
                <w:color w:val="auto"/>
              </w:rPr>
            </w:pPr>
          </w:p>
        </w:tc>
        <w:tc>
          <w:tcPr>
            <w:tcW w:w="84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1Q25</w:t>
            </w:r>
          </w:p>
        </w:tc>
        <w:tc>
          <w:tcPr>
            <w:tcW w:w="880" w:type="dxa"/>
            <w:vAlign w:val="bottom"/>
            <w:shd w:val="clear" w:color="auto" w:fill="083566"/>
          </w:tcPr>
          <w:p>
            <w:pPr>
              <w:jc w:val="right"/>
              <w:ind w:right="299"/>
              <w:spacing w:after="0"/>
              <w:rPr>
                <w:sz w:val="20"/>
                <w:szCs w:val="20"/>
                <w:color w:val="auto"/>
              </w:rPr>
            </w:pPr>
            <w:r>
              <w:rPr>
                <w:rFonts w:ascii="Arial" w:cs="Arial" w:eastAsia="Arial" w:hAnsi="Arial"/>
                <w:sz w:val="16"/>
                <w:szCs w:val="16"/>
                <w:b w:val="1"/>
                <w:bCs w:val="1"/>
                <w:color w:val="FFFFFF"/>
              </w:rPr>
              <w:t>YoY</w:t>
            </w:r>
          </w:p>
        </w:tc>
        <w:tc>
          <w:tcPr>
            <w:tcW w:w="0" w:type="dxa"/>
            <w:vAlign w:val="bottom"/>
          </w:tcPr>
          <w:p>
            <w:pPr>
              <w:spacing w:after="0"/>
              <w:rPr>
                <w:sz w:val="1"/>
                <w:szCs w:val="1"/>
                <w:color w:val="auto"/>
              </w:rPr>
            </w:pPr>
          </w:p>
        </w:tc>
      </w:tr>
      <w:tr>
        <w:trPr>
          <w:trHeight w:val="243"/>
        </w:trPr>
        <w:tc>
          <w:tcPr>
            <w:tcW w:w="20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GAAP Financial Measures</w:t>
            </w:r>
          </w:p>
        </w:tc>
        <w:tc>
          <w:tcPr>
            <w:tcW w:w="8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980" w:type="dxa"/>
            <w:vAlign w:val="bottom"/>
            <w:shd w:val="clear" w:color="auto" w:fill="D5DCE4"/>
          </w:tcPr>
          <w:p>
            <w:pPr>
              <w:spacing w:after="0"/>
              <w:rPr>
                <w:sz w:val="21"/>
                <w:szCs w:val="21"/>
                <w:color w:val="auto"/>
              </w:rPr>
            </w:pPr>
          </w:p>
        </w:tc>
        <w:tc>
          <w:tcPr>
            <w:tcW w:w="900" w:type="dxa"/>
            <w:vAlign w:val="bottom"/>
            <w:shd w:val="clear" w:color="auto" w:fill="D5DCE4"/>
          </w:tcPr>
          <w:p>
            <w:pPr>
              <w:spacing w:after="0"/>
              <w:rPr>
                <w:sz w:val="21"/>
                <w:szCs w:val="21"/>
                <w:color w:val="auto"/>
              </w:rPr>
            </w:pPr>
          </w:p>
        </w:tc>
        <w:tc>
          <w:tcPr>
            <w:tcW w:w="560" w:type="dxa"/>
            <w:vAlign w:val="bottom"/>
            <w:shd w:val="clear" w:color="auto" w:fill="D5DCE4"/>
          </w:tcPr>
          <w:p>
            <w:pPr>
              <w:spacing w:after="0"/>
              <w:rPr>
                <w:sz w:val="21"/>
                <w:szCs w:val="21"/>
                <w:color w:val="auto"/>
              </w:rPr>
            </w:pPr>
          </w:p>
        </w:tc>
        <w:tc>
          <w:tcPr>
            <w:tcW w:w="380" w:type="dxa"/>
            <w:vAlign w:val="bottom"/>
            <w:shd w:val="clear" w:color="auto" w:fill="D5DCE4"/>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Rates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670</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559</w:t>
            </w:r>
          </w:p>
        </w:tc>
        <w:tc>
          <w:tcPr>
            <w:tcW w:w="880" w:type="dxa"/>
            <w:vAlign w:val="bottom"/>
          </w:tcPr>
          <w:p>
            <w:pPr>
              <w:jc w:val="right"/>
              <w:spacing w:after="0"/>
              <w:rPr>
                <w:sz w:val="20"/>
                <w:szCs w:val="20"/>
                <w:color w:val="auto"/>
              </w:rPr>
            </w:pPr>
            <w:r>
              <w:rPr>
                <w:rFonts w:ascii="Arial" w:cs="Arial" w:eastAsia="Arial" w:hAnsi="Arial"/>
                <w:sz w:val="16"/>
                <w:szCs w:val="16"/>
                <w:color w:val="auto"/>
              </w:rPr>
              <w:t>19.9 %</w:t>
            </w:r>
          </w:p>
        </w:tc>
        <w:tc>
          <w:tcPr>
            <w:tcW w:w="0" w:type="dxa"/>
            <w:vAlign w:val="bottom"/>
          </w:tcPr>
          <w:p>
            <w:pPr>
              <w:spacing w:after="0"/>
              <w:rPr>
                <w:sz w:val="1"/>
                <w:szCs w:val="1"/>
                <w:color w:val="auto"/>
              </w:rPr>
            </w:pPr>
          </w:p>
        </w:tc>
      </w:tr>
      <w:tr>
        <w:trPr>
          <w:trHeight w:val="235"/>
        </w:trPr>
        <w:tc>
          <w:tcPr>
            <w:tcW w:w="176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617,764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509,677</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21.2 %</w:t>
            </w:r>
          </w:p>
        </w:tc>
        <w:tc>
          <w:tcPr>
            <w:tcW w:w="560" w:type="dxa"/>
            <w:vAlign w:val="bottom"/>
          </w:tcPr>
          <w:p>
            <w:pPr>
              <w:jc w:val="right"/>
              <w:spacing w:after="0"/>
              <w:rPr>
                <w:sz w:val="20"/>
                <w:szCs w:val="20"/>
                <w:color w:val="auto"/>
              </w:rPr>
            </w:pPr>
            <w:r>
              <w:rPr>
                <w:rFonts w:ascii="Arial" w:cs="Arial" w:eastAsia="Arial" w:hAnsi="Arial"/>
                <w:sz w:val="16"/>
                <w:szCs w:val="16"/>
                <w:color w:val="auto"/>
              </w:rPr>
              <w:t>17.5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1,411</w:t>
            </w:r>
          </w:p>
        </w:tc>
        <w:tc>
          <w:tcPr>
            <w:tcW w:w="140" w:type="dxa"/>
            <w:vAlign w:val="bottom"/>
          </w:tcPr>
          <w:p>
            <w:pPr>
              <w:spacing w:after="0"/>
              <w:rPr>
                <w:sz w:val="20"/>
                <w:szCs w:val="20"/>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884</w:t>
            </w:r>
          </w:p>
        </w:tc>
        <w:tc>
          <w:tcPr>
            <w:tcW w:w="880" w:type="dxa"/>
            <w:vAlign w:val="bottom"/>
          </w:tcPr>
          <w:p>
            <w:pPr>
              <w:jc w:val="right"/>
              <w:spacing w:after="0"/>
              <w:rPr>
                <w:sz w:val="20"/>
                <w:szCs w:val="20"/>
                <w:color w:val="auto"/>
              </w:rPr>
            </w:pPr>
            <w:r>
              <w:rPr>
                <w:rFonts w:ascii="Arial" w:cs="Arial" w:eastAsia="Arial" w:hAnsi="Arial"/>
                <w:sz w:val="16"/>
                <w:szCs w:val="16"/>
                <w:color w:val="auto"/>
              </w:rPr>
              <w:t>59.6 %</w:t>
            </w:r>
          </w:p>
        </w:tc>
        <w:tc>
          <w:tcPr>
            <w:tcW w:w="0" w:type="dxa"/>
            <w:vAlign w:val="bottom"/>
          </w:tcPr>
          <w:p>
            <w:pPr>
              <w:spacing w:after="0"/>
              <w:rPr>
                <w:sz w:val="1"/>
                <w:szCs w:val="1"/>
                <w:color w:val="auto"/>
              </w:rPr>
            </w:pPr>
          </w:p>
        </w:tc>
      </w:tr>
      <w:tr>
        <w:trPr>
          <w:trHeight w:val="244"/>
        </w:trPr>
        <w:tc>
          <w:tcPr>
            <w:tcW w:w="1760" w:type="dxa"/>
            <w:vAlign w:val="bottom"/>
          </w:tcPr>
          <w:p>
            <w:pPr>
              <w:ind w:left="140"/>
              <w:spacing w:after="0"/>
              <w:rPr>
                <w:sz w:val="20"/>
                <w:szCs w:val="20"/>
                <w:color w:val="auto"/>
              </w:rPr>
            </w:pPr>
            <w:r>
              <w:rPr>
                <w:rFonts w:ascii="Arial" w:cs="Arial" w:eastAsia="Arial" w:hAnsi="Arial"/>
                <w:sz w:val="16"/>
                <w:szCs w:val="16"/>
                <w:color w:val="auto"/>
              </w:rPr>
              <w:t>Rates</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344,172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265,432</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29.7 %</w:t>
            </w:r>
          </w:p>
        </w:tc>
        <w:tc>
          <w:tcPr>
            <w:tcW w:w="560" w:type="dxa"/>
            <w:vAlign w:val="bottom"/>
          </w:tcPr>
          <w:p>
            <w:pPr>
              <w:jc w:val="right"/>
              <w:spacing w:after="0"/>
              <w:rPr>
                <w:sz w:val="20"/>
                <w:szCs w:val="20"/>
                <w:color w:val="auto"/>
              </w:rPr>
            </w:pPr>
            <w:r>
              <w:rPr>
                <w:rFonts w:ascii="Arial" w:cs="Arial" w:eastAsia="Arial" w:hAnsi="Arial"/>
                <w:sz w:val="16"/>
                <w:szCs w:val="16"/>
                <w:color w:val="auto"/>
              </w:rPr>
              <w:t>24.9</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2,081</w:t>
            </w:r>
          </w:p>
        </w:tc>
        <w:tc>
          <w:tcPr>
            <w:tcW w:w="140" w:type="dxa"/>
            <w:vAlign w:val="bottom"/>
            <w:tcBorders>
              <w:bottom w:val="single" w:sz="8" w:color="083566"/>
            </w:tcBorders>
            <w:shd w:val="clear" w:color="auto" w:fill="D5DCE4"/>
          </w:tcPr>
          <w:p>
            <w:pPr>
              <w:spacing w:after="0"/>
              <w:rPr>
                <w:sz w:val="21"/>
                <w:szCs w:val="21"/>
                <w:color w:val="auto"/>
              </w:rPr>
            </w:pPr>
          </w:p>
        </w:tc>
        <w:tc>
          <w:tcPr>
            <w:tcW w:w="84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1,443</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44.2 %</w:t>
            </w:r>
          </w:p>
        </w:tc>
        <w:tc>
          <w:tcPr>
            <w:tcW w:w="0" w:type="dxa"/>
            <w:vAlign w:val="bottom"/>
          </w:tcPr>
          <w:p>
            <w:pPr>
              <w:spacing w:after="0"/>
              <w:rPr>
                <w:sz w:val="1"/>
                <w:szCs w:val="1"/>
                <w:color w:val="auto"/>
              </w:rPr>
            </w:pPr>
          </w:p>
        </w:tc>
      </w:tr>
      <w:tr>
        <w:trPr>
          <w:trHeight w:val="228"/>
        </w:trPr>
        <w:tc>
          <w:tcPr>
            <w:tcW w:w="1760" w:type="dxa"/>
            <w:vAlign w:val="bottom"/>
          </w:tcPr>
          <w:p>
            <w:pPr>
              <w:ind w:left="140"/>
              <w:spacing w:after="0"/>
              <w:rPr>
                <w:sz w:val="20"/>
                <w:szCs w:val="20"/>
                <w:color w:val="auto"/>
              </w:rPr>
            </w:pPr>
            <w:r>
              <w:rPr>
                <w:rFonts w:ascii="Arial" w:cs="Arial" w:eastAsia="Arial" w:hAnsi="Arial"/>
                <w:sz w:val="16"/>
                <w:szCs w:val="16"/>
                <w:color w:val="auto"/>
              </w:rPr>
              <w:t>Credit</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138,226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124,000</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11.5 %</w:t>
            </w:r>
          </w:p>
        </w:tc>
        <w:tc>
          <w:tcPr>
            <w:tcW w:w="560" w:type="dxa"/>
            <w:vAlign w:val="bottom"/>
          </w:tcPr>
          <w:p>
            <w:pPr>
              <w:jc w:val="right"/>
              <w:spacing w:after="0"/>
              <w:rPr>
                <w:sz w:val="20"/>
                <w:szCs w:val="20"/>
                <w:color w:val="auto"/>
              </w:rPr>
            </w:pPr>
            <w:r>
              <w:rPr>
                <w:rFonts w:ascii="Arial" w:cs="Arial" w:eastAsia="Arial" w:hAnsi="Arial"/>
                <w:sz w:val="16"/>
                <w:szCs w:val="16"/>
                <w:color w:val="auto"/>
              </w:rPr>
              <w:t>8.7</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Credit</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w:t>
            </w:r>
          </w:p>
        </w:tc>
        <w:tc>
          <w:tcPr>
            <w:tcW w:w="14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18</w:t>
            </w:r>
          </w:p>
        </w:tc>
        <w:tc>
          <w:tcPr>
            <w:tcW w:w="880" w:type="dxa"/>
            <w:vAlign w:val="bottom"/>
          </w:tcPr>
          <w:p>
            <w:pPr>
              <w:jc w:val="right"/>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251"/>
        </w:trPr>
        <w:tc>
          <w:tcPr>
            <w:tcW w:w="1760" w:type="dxa"/>
            <w:vAlign w:val="bottom"/>
          </w:tcPr>
          <w:p>
            <w:pPr>
              <w:ind w:left="140"/>
              <w:spacing w:after="0"/>
              <w:rPr>
                <w:sz w:val="20"/>
                <w:szCs w:val="20"/>
                <w:color w:val="auto"/>
              </w:rPr>
            </w:pPr>
            <w:r>
              <w:rPr>
                <w:rFonts w:ascii="Arial" w:cs="Arial" w:eastAsia="Arial" w:hAnsi="Arial"/>
                <w:sz w:val="16"/>
                <w:szCs w:val="16"/>
                <w:color w:val="auto"/>
              </w:rPr>
              <w:t>Equities</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41,309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31,410</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31.5 %</w:t>
            </w:r>
          </w:p>
        </w:tc>
        <w:tc>
          <w:tcPr>
            <w:tcW w:w="560" w:type="dxa"/>
            <w:vAlign w:val="bottom"/>
          </w:tcPr>
          <w:p>
            <w:pPr>
              <w:jc w:val="right"/>
              <w:spacing w:after="0"/>
              <w:rPr>
                <w:sz w:val="20"/>
                <w:szCs w:val="20"/>
                <w:color w:val="auto"/>
              </w:rPr>
            </w:pPr>
            <w:r>
              <w:rPr>
                <w:rFonts w:ascii="Arial" w:cs="Arial" w:eastAsia="Arial" w:hAnsi="Arial"/>
                <w:sz w:val="16"/>
                <w:szCs w:val="16"/>
                <w:color w:val="auto"/>
              </w:rPr>
              <w:t>25.2</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21"/>
                <w:szCs w:val="21"/>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30</w:t>
            </w:r>
          </w:p>
        </w:tc>
        <w:tc>
          <w:tcPr>
            <w:tcW w:w="880" w:type="dxa"/>
            <w:vAlign w:val="bottom"/>
          </w:tcPr>
          <w:p>
            <w:pPr>
              <w:jc w:val="right"/>
              <w:spacing w:after="0"/>
              <w:rPr>
                <w:sz w:val="20"/>
                <w:szCs w:val="20"/>
                <w:color w:val="auto"/>
              </w:rPr>
            </w:pPr>
            <w:r>
              <w:rPr>
                <w:rFonts w:ascii="Arial" w:cs="Arial" w:eastAsia="Arial" w:hAnsi="Arial"/>
                <w:sz w:val="16"/>
                <w:szCs w:val="16"/>
                <w:color w:val="auto"/>
              </w:rPr>
              <w:t>59.5 %</w:t>
            </w:r>
          </w:p>
        </w:tc>
        <w:tc>
          <w:tcPr>
            <w:tcW w:w="0" w:type="dxa"/>
            <w:vAlign w:val="bottom"/>
          </w:tcPr>
          <w:p>
            <w:pPr>
              <w:spacing w:after="0"/>
              <w:rPr>
                <w:sz w:val="1"/>
                <w:szCs w:val="1"/>
                <w:color w:val="auto"/>
              </w:rPr>
            </w:pPr>
          </w:p>
        </w:tc>
      </w:tr>
      <w:tr>
        <w:trPr>
          <w:trHeight w:val="244"/>
        </w:trPr>
        <w:tc>
          <w:tcPr>
            <w:tcW w:w="1760" w:type="dxa"/>
            <w:vAlign w:val="bottom"/>
          </w:tcPr>
          <w:p>
            <w:pPr>
              <w:ind w:left="140"/>
              <w:spacing w:after="0"/>
              <w:rPr>
                <w:sz w:val="20"/>
                <w:szCs w:val="20"/>
                <w:color w:val="auto"/>
              </w:rPr>
            </w:pPr>
            <w:r>
              <w:rPr>
                <w:rFonts w:ascii="Arial" w:cs="Arial" w:eastAsia="Arial" w:hAnsi="Arial"/>
                <w:sz w:val="16"/>
                <w:szCs w:val="16"/>
                <w:color w:val="auto"/>
              </w:rPr>
              <w:t>Money Markets</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47,107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43,712</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7.8 %</w:t>
            </w:r>
          </w:p>
        </w:tc>
        <w:tc>
          <w:tcPr>
            <w:tcW w:w="560" w:type="dxa"/>
            <w:vAlign w:val="bottom"/>
          </w:tcPr>
          <w:p>
            <w:pPr>
              <w:jc w:val="right"/>
              <w:spacing w:after="0"/>
              <w:rPr>
                <w:sz w:val="20"/>
                <w:szCs w:val="20"/>
                <w:color w:val="auto"/>
              </w:rPr>
            </w:pPr>
            <w:r>
              <w:rPr>
                <w:rFonts w:ascii="Arial" w:cs="Arial" w:eastAsia="Arial" w:hAnsi="Arial"/>
                <w:sz w:val="16"/>
                <w:szCs w:val="16"/>
                <w:color w:val="auto"/>
              </w:rPr>
              <w:t>6.0</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69</w:t>
            </w:r>
          </w:p>
        </w:tc>
        <w:tc>
          <w:tcPr>
            <w:tcW w:w="140" w:type="dxa"/>
            <w:vAlign w:val="bottom"/>
            <w:tcBorders>
              <w:bottom w:val="single" w:sz="8" w:color="083566"/>
            </w:tcBorders>
            <w:shd w:val="clear" w:color="auto" w:fill="D5DCE4"/>
          </w:tcPr>
          <w:p>
            <w:pPr>
              <w:spacing w:after="0"/>
              <w:rPr>
                <w:sz w:val="21"/>
                <w:szCs w:val="21"/>
                <w:color w:val="auto"/>
              </w:rPr>
            </w:pPr>
          </w:p>
        </w:tc>
        <w:tc>
          <w:tcPr>
            <w:tcW w:w="84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49</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41.6 %</w:t>
            </w:r>
          </w:p>
        </w:tc>
        <w:tc>
          <w:tcPr>
            <w:tcW w:w="0" w:type="dxa"/>
            <w:vAlign w:val="bottom"/>
          </w:tcPr>
          <w:p>
            <w:pPr>
              <w:spacing w:after="0"/>
              <w:rPr>
                <w:sz w:val="1"/>
                <w:szCs w:val="1"/>
                <w:color w:val="auto"/>
              </w:rPr>
            </w:pPr>
          </w:p>
        </w:tc>
      </w:tr>
      <w:tr>
        <w:trPr>
          <w:trHeight w:val="228"/>
        </w:trPr>
        <w:tc>
          <w:tcPr>
            <w:tcW w:w="1760" w:type="dxa"/>
            <w:vAlign w:val="bottom"/>
          </w:tcPr>
          <w:p>
            <w:pPr>
              <w:ind w:left="140"/>
              <w:spacing w:after="0"/>
              <w:rPr>
                <w:sz w:val="20"/>
                <w:szCs w:val="20"/>
                <w:color w:val="auto"/>
              </w:rPr>
            </w:pPr>
            <w:r>
              <w:rPr>
                <w:rFonts w:ascii="Arial" w:cs="Arial" w:eastAsia="Arial" w:hAnsi="Arial"/>
                <w:sz w:val="16"/>
                <w:szCs w:val="16"/>
                <w:color w:val="auto"/>
              </w:rPr>
              <w:t>Market Data</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36,927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38,707</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(4.6) %</w:t>
            </w:r>
          </w:p>
        </w:tc>
        <w:tc>
          <w:tcPr>
            <w:tcW w:w="940" w:type="dxa"/>
            <w:vAlign w:val="bottom"/>
            <w:gridSpan w:val="2"/>
          </w:tcPr>
          <w:p>
            <w:pPr>
              <w:jc w:val="right"/>
              <w:ind w:right="119"/>
              <w:spacing w:after="0"/>
              <w:rPr>
                <w:sz w:val="20"/>
                <w:szCs w:val="20"/>
                <w:color w:val="auto"/>
              </w:rPr>
            </w:pPr>
            <w:r>
              <w:rPr>
                <w:rFonts w:ascii="Arial" w:cs="Arial" w:eastAsia="Arial" w:hAnsi="Arial"/>
                <w:sz w:val="16"/>
                <w:szCs w:val="16"/>
                <w:color w:val="auto"/>
              </w:rPr>
              <w:t>(5.5) %</w:t>
            </w:r>
          </w:p>
        </w:tc>
        <w:tc>
          <w:tcPr>
            <w:tcW w:w="8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Arial" w:cs="Arial" w:eastAsia="Arial" w:hAnsi="Arial"/>
                <w:sz w:val="16"/>
                <w:szCs w:val="16"/>
                <w:color w:val="auto"/>
              </w:rPr>
              <w:t>Equities</w:t>
            </w:r>
          </w:p>
        </w:tc>
        <w:tc>
          <w:tcPr>
            <w:tcW w:w="1000" w:type="dxa"/>
            <w:vAlign w:val="bottom"/>
          </w:tcPr>
          <w:p>
            <w:pPr>
              <w:ind w:left="20"/>
              <w:spacing w:after="0"/>
              <w:rPr>
                <w:sz w:val="20"/>
                <w:szCs w:val="20"/>
                <w:color w:val="auto"/>
              </w:rPr>
            </w:pPr>
            <w:r>
              <w:rPr>
                <w:rFonts w:ascii="Arial" w:cs="Arial" w:eastAsia="Arial" w:hAnsi="Arial"/>
                <w:sz w:val="16"/>
                <w:szCs w:val="16"/>
                <w:color w:val="auto"/>
              </w:rPr>
              <w:t>Cash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12</w:t>
            </w:r>
          </w:p>
        </w:tc>
        <w:tc>
          <w:tcPr>
            <w:tcW w:w="880" w:type="dxa"/>
            <w:vAlign w:val="bottom"/>
          </w:tcPr>
          <w:p>
            <w:pPr>
              <w:jc w:val="right"/>
              <w:spacing w:after="0"/>
              <w:rPr>
                <w:sz w:val="20"/>
                <w:szCs w:val="20"/>
                <w:color w:val="auto"/>
              </w:rPr>
            </w:pPr>
            <w:r>
              <w:rPr>
                <w:rFonts w:ascii="Arial" w:cs="Arial" w:eastAsia="Arial" w:hAnsi="Arial"/>
                <w:sz w:val="16"/>
                <w:szCs w:val="16"/>
                <w:color w:val="auto"/>
              </w:rPr>
              <w:t>38.2 %</w:t>
            </w:r>
          </w:p>
        </w:tc>
        <w:tc>
          <w:tcPr>
            <w:tcW w:w="0" w:type="dxa"/>
            <w:vAlign w:val="bottom"/>
          </w:tcPr>
          <w:p>
            <w:pPr>
              <w:spacing w:after="0"/>
              <w:rPr>
                <w:sz w:val="1"/>
                <w:szCs w:val="1"/>
                <w:color w:val="auto"/>
              </w:rPr>
            </w:pPr>
          </w:p>
        </w:tc>
      </w:tr>
      <w:tr>
        <w:trPr>
          <w:trHeight w:val="251"/>
        </w:trPr>
        <w:tc>
          <w:tcPr>
            <w:tcW w:w="1760" w:type="dxa"/>
            <w:vAlign w:val="bottom"/>
          </w:tcPr>
          <w:p>
            <w:pPr>
              <w:ind w:left="140"/>
              <w:spacing w:after="0"/>
              <w:rPr>
                <w:sz w:val="20"/>
                <w:szCs w:val="20"/>
                <w:color w:val="auto"/>
              </w:rPr>
            </w:pPr>
            <w:r>
              <w:rPr>
                <w:rFonts w:ascii="Arial" w:cs="Arial" w:eastAsia="Arial" w:hAnsi="Arial"/>
                <w:sz w:val="16"/>
                <w:szCs w:val="16"/>
                <w:color w:val="auto"/>
              </w:rPr>
              <w:t>Other</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10,023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6,416</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56.2 %</w:t>
            </w:r>
          </w:p>
        </w:tc>
        <w:tc>
          <w:tcPr>
            <w:tcW w:w="560" w:type="dxa"/>
            <w:vAlign w:val="bottom"/>
          </w:tcPr>
          <w:p>
            <w:pPr>
              <w:jc w:val="right"/>
              <w:spacing w:after="0"/>
              <w:rPr>
                <w:sz w:val="20"/>
                <w:szCs w:val="20"/>
                <w:color w:val="auto"/>
              </w:rPr>
            </w:pPr>
            <w:r>
              <w:rPr>
                <w:rFonts w:ascii="Arial" w:cs="Arial" w:eastAsia="Arial" w:hAnsi="Arial"/>
                <w:sz w:val="16"/>
                <w:szCs w:val="16"/>
                <w:color w:val="auto"/>
              </w:rPr>
              <w:t>56.1</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Derivatives</w:t>
            </w: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21"/>
                <w:szCs w:val="21"/>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14</w:t>
            </w:r>
          </w:p>
        </w:tc>
        <w:tc>
          <w:tcPr>
            <w:tcW w:w="880" w:type="dxa"/>
            <w:vAlign w:val="bottom"/>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44"/>
        </w:trPr>
        <w:tc>
          <w:tcPr>
            <w:tcW w:w="17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287,253</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204,101</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40.7 %</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Borders>
              <w:bottom w:val="single" w:sz="8" w:color="083566"/>
            </w:tcBorders>
          </w:tcPr>
          <w:p>
            <w:pPr>
              <w:spacing w:after="0"/>
              <w:rPr>
                <w:sz w:val="21"/>
                <w:szCs w:val="21"/>
                <w:color w:val="auto"/>
              </w:rPr>
            </w:pPr>
          </w:p>
        </w:tc>
        <w:tc>
          <w:tcPr>
            <w:tcW w:w="1000" w:type="dxa"/>
            <w:vAlign w:val="bottom"/>
            <w:tcBorders>
              <w:bottom w:val="single" w:sz="8" w:color="083566"/>
            </w:tcBorders>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083566"/>
            </w:tcBorders>
            <w:shd w:val="clear" w:color="auto" w:fill="D5DCE4"/>
          </w:tcPr>
          <w:p>
            <w:pPr>
              <w:spacing w:after="0"/>
              <w:rPr>
                <w:sz w:val="21"/>
                <w:szCs w:val="21"/>
                <w:color w:val="auto"/>
              </w:rPr>
            </w:pPr>
          </w:p>
        </w:tc>
        <w:tc>
          <w:tcPr>
            <w:tcW w:w="66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083566"/>
            </w:tcBorders>
            <w:shd w:val="clear" w:color="auto" w:fill="D5DCE4"/>
          </w:tcPr>
          <w:p>
            <w:pPr>
              <w:spacing w:after="0"/>
              <w:rPr>
                <w:sz w:val="21"/>
                <w:szCs w:val="21"/>
                <w:color w:val="auto"/>
              </w:rPr>
            </w:pPr>
          </w:p>
        </w:tc>
        <w:tc>
          <w:tcPr>
            <w:tcW w:w="840" w:type="dxa"/>
            <w:vAlign w:val="bottom"/>
            <w:tcBorders>
              <w:bottom w:val="single" w:sz="8" w:color="083566"/>
            </w:tcBorders>
            <w:shd w:val="clear" w:color="auto" w:fill="D5DCE4"/>
          </w:tcPr>
          <w:p>
            <w:pPr>
              <w:jc w:val="right"/>
              <w:ind w:right="159"/>
              <w:spacing w:after="0"/>
              <w:rPr>
                <w:sz w:val="20"/>
                <w:szCs w:val="20"/>
                <w:color w:val="auto"/>
              </w:rPr>
            </w:pPr>
            <w:r>
              <w:rPr>
                <w:rFonts w:ascii="Arial" w:cs="Arial" w:eastAsia="Arial" w:hAnsi="Arial"/>
                <w:sz w:val="16"/>
                <w:szCs w:val="16"/>
                <w:color w:val="auto"/>
              </w:rPr>
              <w:t>27</w:t>
            </w:r>
          </w:p>
        </w:tc>
        <w:tc>
          <w:tcPr>
            <w:tcW w:w="880" w:type="dxa"/>
            <w:vAlign w:val="bottom"/>
            <w:tcBorders>
              <w:bottom w:val="single" w:sz="8" w:color="083566"/>
            </w:tcBorders>
            <w:shd w:val="clear" w:color="auto" w:fill="D5DCE4"/>
          </w:tcPr>
          <w:p>
            <w:pPr>
              <w:jc w:val="right"/>
              <w:spacing w:after="0"/>
              <w:rPr>
                <w:sz w:val="20"/>
                <w:szCs w:val="20"/>
                <w:color w:val="auto"/>
              </w:rPr>
            </w:pPr>
            <w:r>
              <w:rPr>
                <w:rFonts w:ascii="Arial" w:cs="Arial" w:eastAsia="Arial" w:hAnsi="Arial"/>
                <w:sz w:val="16"/>
                <w:szCs w:val="16"/>
                <w:color w:val="auto"/>
              </w:rPr>
              <w:t>22.6 %</w:t>
            </w:r>
          </w:p>
        </w:tc>
        <w:tc>
          <w:tcPr>
            <w:tcW w:w="0" w:type="dxa"/>
            <w:vAlign w:val="bottom"/>
          </w:tcPr>
          <w:p>
            <w:pPr>
              <w:spacing w:after="0"/>
              <w:rPr>
                <w:sz w:val="1"/>
                <w:szCs w:val="1"/>
                <w:color w:val="auto"/>
              </w:rPr>
            </w:pPr>
          </w:p>
        </w:tc>
      </w:tr>
      <w:tr>
        <w:trPr>
          <w:trHeight w:val="228"/>
        </w:trPr>
        <w:tc>
          <w:tcPr>
            <w:tcW w:w="17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233,167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168,305</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38.5 %</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80" w:type="dxa"/>
            <w:vAlign w:val="bottom"/>
            <w:gridSpan w:val="2"/>
          </w:tcPr>
          <w:p>
            <w:pPr>
              <w:ind w:left="20"/>
              <w:spacing w:after="0"/>
              <w:rPr>
                <w:sz w:val="20"/>
                <w:szCs w:val="20"/>
                <w:color w:val="auto"/>
              </w:rPr>
            </w:pPr>
            <w:r>
              <w:rPr>
                <w:rFonts w:ascii="Arial" w:cs="Arial" w:eastAsia="Arial" w:hAnsi="Arial"/>
                <w:sz w:val="16"/>
                <w:szCs w:val="16"/>
                <w:color w:val="auto"/>
              </w:rPr>
              <w:t>Money Markets Cash</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1,165</w:t>
            </w:r>
          </w:p>
        </w:tc>
        <w:tc>
          <w:tcPr>
            <w:tcW w:w="140" w:type="dxa"/>
            <w:vAlign w:val="bottom"/>
          </w:tcPr>
          <w:p>
            <w:pPr>
              <w:spacing w:after="0"/>
              <w:rPr>
                <w:sz w:val="19"/>
                <w:szCs w:val="19"/>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1,029</w:t>
            </w:r>
          </w:p>
        </w:tc>
        <w:tc>
          <w:tcPr>
            <w:tcW w:w="880" w:type="dxa"/>
            <w:vAlign w:val="bottom"/>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217"/>
        </w:trPr>
        <w:tc>
          <w:tcPr>
            <w:tcW w:w="1760" w:type="dxa"/>
            <w:vAlign w:val="bottom"/>
          </w:tcPr>
          <w:p>
            <w:pPr>
              <w:ind w:left="20"/>
              <w:spacing w:after="0"/>
              <w:rPr>
                <w:sz w:val="20"/>
                <w:szCs w:val="20"/>
                <w:color w:val="auto"/>
              </w:rPr>
            </w:pPr>
            <w:r>
              <w:rPr>
                <w:rFonts w:ascii="Arial" w:cs="Arial" w:eastAsia="Arial" w:hAnsi="Arial"/>
                <w:sz w:val="16"/>
                <w:szCs w:val="16"/>
                <w:color w:val="auto"/>
              </w:rPr>
              <w:t>Net income attributable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vMerge w:val="restart"/>
            <w:shd w:val="clear" w:color="auto" w:fill="D5DCE4"/>
          </w:tcPr>
          <w:p>
            <w:pPr>
              <w:ind w:left="2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D5DCE4"/>
          </w:tcPr>
          <w:p>
            <w:pPr>
              <w:spacing w:after="0"/>
              <w:rPr>
                <w:sz w:val="18"/>
                <w:szCs w:val="18"/>
                <w:color w:val="auto"/>
              </w:rPr>
            </w:pPr>
          </w:p>
        </w:tc>
        <w:tc>
          <w:tcPr>
            <w:tcW w:w="66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1,165</w:t>
            </w:r>
          </w:p>
        </w:tc>
        <w:tc>
          <w:tcPr>
            <w:tcW w:w="140" w:type="dxa"/>
            <w:vAlign w:val="bottom"/>
            <w:shd w:val="clear" w:color="auto" w:fill="D5DCE4"/>
          </w:tcPr>
          <w:p>
            <w:pPr>
              <w:spacing w:after="0"/>
              <w:rPr>
                <w:sz w:val="18"/>
                <w:szCs w:val="18"/>
                <w:color w:val="auto"/>
              </w:rPr>
            </w:pPr>
          </w:p>
        </w:tc>
        <w:tc>
          <w:tcPr>
            <w:tcW w:w="840" w:type="dxa"/>
            <w:vAlign w:val="bottom"/>
            <w:vMerge w:val="restart"/>
            <w:shd w:val="clear" w:color="auto" w:fill="D5DCE4"/>
          </w:tcPr>
          <w:p>
            <w:pPr>
              <w:jc w:val="right"/>
              <w:ind w:right="159"/>
              <w:spacing w:after="0"/>
              <w:rPr>
                <w:sz w:val="20"/>
                <w:szCs w:val="20"/>
                <w:color w:val="auto"/>
              </w:rPr>
            </w:pPr>
            <w:r>
              <w:rPr>
                <w:rFonts w:ascii="Arial" w:cs="Arial" w:eastAsia="Arial" w:hAnsi="Arial"/>
                <w:sz w:val="16"/>
                <w:szCs w:val="16"/>
                <w:color w:val="auto"/>
              </w:rPr>
              <w:t>1,029</w:t>
            </w:r>
          </w:p>
        </w:tc>
        <w:tc>
          <w:tcPr>
            <w:tcW w:w="880" w:type="dxa"/>
            <w:vAlign w:val="bottom"/>
            <w:vMerge w:val="restart"/>
            <w:shd w:val="clear" w:color="auto" w:fill="D5DCE4"/>
          </w:tcPr>
          <w:p>
            <w:pPr>
              <w:jc w:val="right"/>
              <w:spacing w:after="0"/>
              <w:rPr>
                <w:sz w:val="20"/>
                <w:szCs w:val="20"/>
                <w:color w:val="auto"/>
              </w:rPr>
            </w:pPr>
            <w:r>
              <w:rPr>
                <w:rFonts w:ascii="Arial" w:cs="Arial" w:eastAsia="Arial" w:hAnsi="Arial"/>
                <w:sz w:val="16"/>
                <w:szCs w:val="16"/>
                <w:color w:val="auto"/>
              </w:rPr>
              <w:t>13.2 %</w:t>
            </w:r>
          </w:p>
        </w:tc>
        <w:tc>
          <w:tcPr>
            <w:tcW w:w="0" w:type="dxa"/>
            <w:vAlign w:val="bottom"/>
          </w:tcPr>
          <w:p>
            <w:pPr>
              <w:spacing w:after="0"/>
              <w:rPr>
                <w:sz w:val="1"/>
                <w:szCs w:val="1"/>
                <w:color w:val="auto"/>
              </w:rPr>
            </w:pPr>
          </w:p>
        </w:tc>
      </w:tr>
      <w:tr>
        <w:trPr>
          <w:trHeight w:val="89"/>
        </w:trPr>
        <w:tc>
          <w:tcPr>
            <w:tcW w:w="1760" w:type="dxa"/>
            <w:vAlign w:val="bottom"/>
            <w:vMerge w:val="restart"/>
          </w:tcPr>
          <w:p>
            <w:pPr>
              <w:ind w:left="20"/>
              <w:spacing w:after="0"/>
              <w:rPr>
                <w:sz w:val="20"/>
                <w:szCs w:val="20"/>
                <w:color w:val="auto"/>
              </w:rPr>
            </w:pPr>
            <w:r>
              <w:rPr>
                <w:rFonts w:ascii="Arial" w:cs="Arial" w:eastAsia="Arial" w:hAnsi="Arial"/>
                <w:sz w:val="16"/>
                <w:szCs w:val="16"/>
                <w:color w:val="auto"/>
              </w:rPr>
              <w:t>to Tradeweb Markets</w:t>
            </w: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9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tcBorders>
              <w:bottom w:val="single" w:sz="8" w:color="083566"/>
            </w:tcBorders>
          </w:tcPr>
          <w:p>
            <w:pPr>
              <w:spacing w:after="0"/>
              <w:rPr>
                <w:sz w:val="7"/>
                <w:szCs w:val="7"/>
                <w:color w:val="auto"/>
              </w:rPr>
            </w:pPr>
          </w:p>
        </w:tc>
        <w:tc>
          <w:tcPr>
            <w:tcW w:w="1000" w:type="dxa"/>
            <w:vAlign w:val="bottom"/>
            <w:tcBorders>
              <w:bottom w:val="single" w:sz="8" w:color="083566"/>
            </w:tcBorders>
            <w:vMerge w:val="continue"/>
            <w:shd w:val="clear" w:color="auto" w:fill="D5DCE4"/>
          </w:tcPr>
          <w:p>
            <w:pPr>
              <w:spacing w:after="0"/>
              <w:rPr>
                <w:sz w:val="7"/>
                <w:szCs w:val="7"/>
                <w:color w:val="auto"/>
              </w:rPr>
            </w:pPr>
          </w:p>
        </w:tc>
        <w:tc>
          <w:tcPr>
            <w:tcW w:w="160" w:type="dxa"/>
            <w:vAlign w:val="bottom"/>
            <w:tcBorders>
              <w:bottom w:val="single" w:sz="8" w:color="083566"/>
            </w:tcBorders>
            <w:shd w:val="clear" w:color="auto" w:fill="D5DCE4"/>
          </w:tcPr>
          <w:p>
            <w:pPr>
              <w:spacing w:after="0"/>
              <w:rPr>
                <w:sz w:val="7"/>
                <w:szCs w:val="7"/>
                <w:color w:val="auto"/>
              </w:rPr>
            </w:pPr>
          </w:p>
        </w:tc>
        <w:tc>
          <w:tcPr>
            <w:tcW w:w="660" w:type="dxa"/>
            <w:vAlign w:val="bottom"/>
            <w:tcBorders>
              <w:bottom w:val="single" w:sz="8" w:color="083566"/>
            </w:tcBorders>
            <w:vMerge w:val="continue"/>
            <w:shd w:val="clear" w:color="auto" w:fill="D5DCE4"/>
          </w:tcPr>
          <w:p>
            <w:pPr>
              <w:spacing w:after="0"/>
              <w:rPr>
                <w:sz w:val="7"/>
                <w:szCs w:val="7"/>
                <w:color w:val="auto"/>
              </w:rPr>
            </w:pPr>
          </w:p>
        </w:tc>
        <w:tc>
          <w:tcPr>
            <w:tcW w:w="140" w:type="dxa"/>
            <w:vAlign w:val="bottom"/>
            <w:tcBorders>
              <w:bottom w:val="single" w:sz="8" w:color="083566"/>
            </w:tcBorders>
            <w:shd w:val="clear" w:color="auto" w:fill="D5DCE4"/>
          </w:tcPr>
          <w:p>
            <w:pPr>
              <w:spacing w:after="0"/>
              <w:rPr>
                <w:sz w:val="7"/>
                <w:szCs w:val="7"/>
                <w:color w:val="auto"/>
              </w:rPr>
            </w:pPr>
          </w:p>
        </w:tc>
        <w:tc>
          <w:tcPr>
            <w:tcW w:w="840" w:type="dxa"/>
            <w:vAlign w:val="bottom"/>
            <w:tcBorders>
              <w:bottom w:val="single" w:sz="8" w:color="083566"/>
            </w:tcBorders>
            <w:vMerge w:val="continue"/>
            <w:shd w:val="clear" w:color="auto" w:fill="D5DCE4"/>
          </w:tcPr>
          <w:p>
            <w:pPr>
              <w:spacing w:after="0"/>
              <w:rPr>
                <w:sz w:val="7"/>
                <w:szCs w:val="7"/>
                <w:color w:val="auto"/>
              </w:rPr>
            </w:pPr>
          </w:p>
        </w:tc>
        <w:tc>
          <w:tcPr>
            <w:tcW w:w="880" w:type="dxa"/>
            <w:vAlign w:val="bottom"/>
            <w:tcBorders>
              <w:bottom w:val="single" w:sz="8" w:color="083566"/>
            </w:tcBorders>
            <w:vMerge w:val="continue"/>
            <w:shd w:val="clear" w:color="auto" w:fill="D5DCE4"/>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7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0" w:type="dxa"/>
            <w:vAlign w:val="bottom"/>
            <w:shd w:val="clear" w:color="auto" w:fill="D5DCE4"/>
          </w:tcPr>
          <w:p>
            <w:pPr>
              <w:spacing w:after="0"/>
              <w:rPr>
                <w:sz w:val="8"/>
                <w:szCs w:val="8"/>
                <w:color w:val="auto"/>
              </w:rPr>
            </w:pPr>
          </w:p>
        </w:tc>
        <w:tc>
          <w:tcPr>
            <w:tcW w:w="160" w:type="dxa"/>
            <w:vAlign w:val="bottom"/>
            <w:shd w:val="clear" w:color="auto" w:fill="D5DCE4"/>
          </w:tcPr>
          <w:p>
            <w:pPr>
              <w:spacing w:after="0"/>
              <w:rPr>
                <w:sz w:val="8"/>
                <w:szCs w:val="8"/>
                <w:color w:val="auto"/>
              </w:rPr>
            </w:pPr>
          </w:p>
        </w:tc>
        <w:tc>
          <w:tcPr>
            <w:tcW w:w="660" w:type="dxa"/>
            <w:vAlign w:val="bottom"/>
            <w:shd w:val="clear" w:color="auto" w:fill="D5DCE4"/>
          </w:tcPr>
          <w:p>
            <w:pPr>
              <w:spacing w:after="0"/>
              <w:rPr>
                <w:sz w:val="8"/>
                <w:szCs w:val="8"/>
                <w:color w:val="auto"/>
              </w:rPr>
            </w:pPr>
          </w:p>
        </w:tc>
        <w:tc>
          <w:tcPr>
            <w:tcW w:w="140" w:type="dxa"/>
            <w:vAlign w:val="bottom"/>
            <w:shd w:val="clear" w:color="auto" w:fill="D5DCE4"/>
          </w:tcPr>
          <w:p>
            <w:pPr>
              <w:spacing w:after="0"/>
              <w:rPr>
                <w:sz w:val="8"/>
                <w:szCs w:val="8"/>
                <w:color w:val="auto"/>
              </w:rPr>
            </w:pPr>
          </w:p>
        </w:tc>
        <w:tc>
          <w:tcPr>
            <w:tcW w:w="840" w:type="dxa"/>
            <w:vAlign w:val="bottom"/>
            <w:shd w:val="clear" w:color="auto" w:fill="D5DCE4"/>
          </w:tcPr>
          <w:p>
            <w:pPr>
              <w:spacing w:after="0"/>
              <w:rPr>
                <w:sz w:val="8"/>
                <w:szCs w:val="8"/>
                <w:color w:val="auto"/>
              </w:rPr>
            </w:pPr>
          </w:p>
        </w:tc>
        <w:tc>
          <w:tcPr>
            <w:tcW w:w="880" w:type="dxa"/>
            <w:vAlign w:val="bottom"/>
            <w:shd w:val="clear" w:color="auto" w:fill="D5DCE4"/>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760" w:type="dxa"/>
            <w:vAlign w:val="bottom"/>
          </w:tcPr>
          <w:p>
            <w:pPr>
              <w:ind w:left="20"/>
              <w:spacing w:after="0" w:line="230" w:lineRule="exact"/>
              <w:rPr>
                <w:sz w:val="20"/>
                <w:szCs w:val="20"/>
                <w:color w:val="auto"/>
              </w:rPr>
            </w:pPr>
            <w:r>
              <w:rPr>
                <w:rFonts w:ascii="Arial" w:cs="Arial" w:eastAsia="Arial" w:hAnsi="Arial"/>
                <w:sz w:val="16"/>
                <w:szCs w:val="16"/>
                <w:color w:val="auto"/>
              </w:rPr>
              <w:t xml:space="preserve">Inc. </w:t>
            </w:r>
            <w:r>
              <w:rPr>
                <w:rFonts w:ascii="Arial" w:cs="Arial" w:eastAsia="Arial" w:hAnsi="Arial"/>
                <w:sz w:val="21"/>
                <w:szCs w:val="21"/>
                <w:color w:val="auto"/>
                <w:vertAlign w:val="superscript"/>
              </w:rPr>
              <w:t>(2)</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205,284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148,382</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38.3 %</w:t>
            </w:r>
          </w:p>
        </w:tc>
        <w:tc>
          <w:tcPr>
            <w:tcW w:w="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3,348</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rPr>
              <w:t>2,547</w:t>
            </w:r>
          </w:p>
        </w:tc>
        <w:tc>
          <w:tcPr>
            <w:tcW w:w="88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31.4 %</w:t>
            </w:r>
          </w:p>
        </w:tc>
        <w:tc>
          <w:tcPr>
            <w:tcW w:w="0" w:type="dxa"/>
            <w:vAlign w:val="bottom"/>
          </w:tcPr>
          <w:p>
            <w:pPr>
              <w:spacing w:after="0"/>
              <w:rPr>
                <w:sz w:val="1"/>
                <w:szCs w:val="1"/>
                <w:color w:val="auto"/>
              </w:rPr>
            </w:pPr>
          </w:p>
        </w:tc>
      </w:tr>
      <w:tr>
        <w:trPr>
          <w:trHeight w:val="228"/>
        </w:trPr>
        <w:tc>
          <w:tcPr>
            <w:tcW w:w="176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0.96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0.69</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39.1 %</w:t>
            </w: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1760" w:type="dxa"/>
            <w:vAlign w:val="bottom"/>
          </w:tcPr>
          <w:p>
            <w:pPr>
              <w:ind w:left="20"/>
              <w:spacing w:after="0"/>
              <w:rPr>
                <w:sz w:val="20"/>
                <w:szCs w:val="20"/>
                <w:color w:val="auto"/>
              </w:rPr>
            </w:pPr>
            <w:r>
              <w:rPr>
                <w:rFonts w:ascii="Arial" w:cs="Arial" w:eastAsia="Arial" w:hAnsi="Arial"/>
                <w:sz w:val="16"/>
                <w:szCs w:val="16"/>
                <w:color w:val="auto"/>
              </w:rPr>
              <w:t>Net income margin</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37.7 %</w:t>
            </w:r>
          </w:p>
        </w:tc>
        <w:tc>
          <w:tcPr>
            <w:tcW w:w="20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33.0 %</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+472 bps</w:t>
            </w:r>
          </w:p>
        </w:tc>
        <w:tc>
          <w:tcPr>
            <w:tcW w:w="5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880" w:type="dxa"/>
            <w:vAlign w:val="bottom"/>
            <w:gridSpan w:val="3"/>
            <w:shd w:val="clear" w:color="auto" w:fill="D5DCE4"/>
          </w:tcPr>
          <w:p>
            <w:pPr>
              <w:ind w:left="20"/>
              <w:spacing w:after="0"/>
              <w:rPr>
                <w:sz w:val="20"/>
                <w:szCs w:val="20"/>
                <w:color w:val="auto"/>
              </w:rPr>
            </w:pPr>
            <w:r>
              <w:rPr>
                <w:rFonts w:ascii="Arial" w:cs="Arial" w:eastAsia="Arial" w:hAnsi="Arial"/>
                <w:sz w:val="16"/>
                <w:szCs w:val="16"/>
                <w:color w:val="auto"/>
              </w:rPr>
              <w:t>Non-GAAP Financial Measures</w:t>
            </w:r>
          </w:p>
        </w:tc>
        <w:tc>
          <w:tcPr>
            <w:tcW w:w="200" w:type="dxa"/>
            <w:vAlign w:val="bottom"/>
            <w:shd w:val="clear" w:color="auto" w:fill="D5DCE4"/>
          </w:tcPr>
          <w:p>
            <w:pPr>
              <w:spacing w:after="0"/>
              <w:rPr>
                <w:sz w:val="15"/>
                <w:szCs w:val="15"/>
                <w:color w:val="auto"/>
              </w:rPr>
            </w:pPr>
          </w:p>
        </w:tc>
        <w:tc>
          <w:tcPr>
            <w:tcW w:w="980" w:type="dxa"/>
            <w:vAlign w:val="bottom"/>
            <w:shd w:val="clear" w:color="auto" w:fill="D5DCE4"/>
          </w:tcPr>
          <w:p>
            <w:pPr>
              <w:spacing w:after="0"/>
              <w:rPr>
                <w:sz w:val="15"/>
                <w:szCs w:val="15"/>
                <w:color w:val="auto"/>
              </w:rPr>
            </w:pPr>
          </w:p>
        </w:tc>
        <w:tc>
          <w:tcPr>
            <w:tcW w:w="900" w:type="dxa"/>
            <w:vAlign w:val="bottom"/>
            <w:shd w:val="clear" w:color="auto" w:fill="D5DCE4"/>
          </w:tcPr>
          <w:p>
            <w:pPr>
              <w:spacing w:after="0"/>
              <w:rPr>
                <w:sz w:val="15"/>
                <w:szCs w:val="15"/>
                <w:color w:val="auto"/>
              </w:rPr>
            </w:pPr>
          </w:p>
        </w:tc>
        <w:tc>
          <w:tcPr>
            <w:tcW w:w="560" w:type="dxa"/>
            <w:vAlign w:val="bottom"/>
            <w:shd w:val="clear" w:color="auto" w:fill="D5DCE4"/>
          </w:tcPr>
          <w:p>
            <w:pPr>
              <w:spacing w:after="0"/>
              <w:rPr>
                <w:sz w:val="15"/>
                <w:szCs w:val="15"/>
                <w:color w:val="auto"/>
              </w:rPr>
            </w:pPr>
          </w:p>
        </w:tc>
        <w:tc>
          <w:tcPr>
            <w:tcW w:w="380" w:type="dxa"/>
            <w:vAlign w:val="bottom"/>
            <w:shd w:val="clear" w:color="auto" w:fill="D5DCE4"/>
          </w:tcPr>
          <w:p>
            <w:pPr>
              <w:spacing w:after="0"/>
              <w:rPr>
                <w:sz w:val="15"/>
                <w:szCs w:val="15"/>
                <w:color w:val="auto"/>
              </w:rPr>
            </w:pPr>
          </w:p>
        </w:tc>
        <w:tc>
          <w:tcPr>
            <w:tcW w:w="80" w:type="dxa"/>
            <w:vAlign w:val="bottom"/>
          </w:tcPr>
          <w:p>
            <w:pPr>
              <w:spacing w:after="0"/>
              <w:rPr>
                <w:sz w:val="15"/>
                <w:szCs w:val="15"/>
                <w:color w:val="auto"/>
              </w:rPr>
            </w:pPr>
          </w:p>
        </w:tc>
        <w:tc>
          <w:tcPr>
            <w:tcW w:w="4860" w:type="dxa"/>
            <w:vAlign w:val="bottom"/>
            <w:gridSpan w:val="7"/>
          </w:tcPr>
          <w:p>
            <w:pPr>
              <w:ind w:left="20"/>
              <w:spacing w:after="0"/>
              <w:rPr>
                <w:sz w:val="20"/>
                <w:szCs w:val="20"/>
                <w:color w:val="auto"/>
              </w:rPr>
            </w:pPr>
            <w:r>
              <w:rPr>
                <w:rFonts w:ascii="Arial" w:cs="Arial" w:eastAsia="Arial" w:hAnsi="Arial"/>
                <w:sz w:val="12"/>
                <w:szCs w:val="12"/>
                <w:color w:val="auto"/>
              </w:rPr>
              <w:t>(1) Adjusted EBITDA, Adjusted EBITDA margin, Adjusted EBIT, Adjusted EBIT margin,</w:t>
            </w:r>
          </w:p>
        </w:tc>
        <w:tc>
          <w:tcPr>
            <w:tcW w:w="0" w:type="dxa"/>
            <w:vAlign w:val="bottom"/>
          </w:tcPr>
          <w:p>
            <w:pPr>
              <w:spacing w:after="0"/>
              <w:rPr>
                <w:sz w:val="1"/>
                <w:szCs w:val="1"/>
                <w:color w:val="auto"/>
              </w:rPr>
            </w:pPr>
          </w:p>
        </w:tc>
      </w:tr>
      <w:tr>
        <w:trPr>
          <w:trHeight w:val="68"/>
        </w:trPr>
        <w:tc>
          <w:tcPr>
            <w:tcW w:w="1760" w:type="dxa"/>
            <w:vAlign w:val="bottom"/>
            <w:shd w:val="clear" w:color="auto" w:fill="D5DCE4"/>
          </w:tcPr>
          <w:p>
            <w:pPr>
              <w:spacing w:after="0"/>
              <w:rPr>
                <w:sz w:val="5"/>
                <w:szCs w:val="5"/>
                <w:color w:val="auto"/>
              </w:rPr>
            </w:pPr>
          </w:p>
        </w:tc>
        <w:tc>
          <w:tcPr>
            <w:tcW w:w="240" w:type="dxa"/>
            <w:vAlign w:val="bottom"/>
            <w:shd w:val="clear" w:color="auto" w:fill="D5DCE4"/>
          </w:tcPr>
          <w:p>
            <w:pPr>
              <w:spacing w:after="0"/>
              <w:rPr>
                <w:sz w:val="5"/>
                <w:szCs w:val="5"/>
                <w:color w:val="auto"/>
              </w:rPr>
            </w:pPr>
          </w:p>
        </w:tc>
        <w:tc>
          <w:tcPr>
            <w:tcW w:w="880" w:type="dxa"/>
            <w:vAlign w:val="bottom"/>
            <w:shd w:val="clear" w:color="auto" w:fill="D5DCE4"/>
          </w:tcPr>
          <w:p>
            <w:pPr>
              <w:spacing w:after="0"/>
              <w:rPr>
                <w:sz w:val="5"/>
                <w:szCs w:val="5"/>
                <w:color w:val="auto"/>
              </w:rPr>
            </w:pPr>
          </w:p>
        </w:tc>
        <w:tc>
          <w:tcPr>
            <w:tcW w:w="200" w:type="dxa"/>
            <w:vAlign w:val="bottom"/>
            <w:shd w:val="clear" w:color="auto" w:fill="D5DCE4"/>
          </w:tcPr>
          <w:p>
            <w:pPr>
              <w:spacing w:after="0"/>
              <w:rPr>
                <w:sz w:val="5"/>
                <w:szCs w:val="5"/>
                <w:color w:val="auto"/>
              </w:rPr>
            </w:pPr>
          </w:p>
        </w:tc>
        <w:tc>
          <w:tcPr>
            <w:tcW w:w="980" w:type="dxa"/>
            <w:vAlign w:val="bottom"/>
            <w:shd w:val="clear" w:color="auto" w:fill="D5DCE4"/>
          </w:tcPr>
          <w:p>
            <w:pPr>
              <w:spacing w:after="0"/>
              <w:rPr>
                <w:sz w:val="5"/>
                <w:szCs w:val="5"/>
                <w:color w:val="auto"/>
              </w:rPr>
            </w:pPr>
          </w:p>
        </w:tc>
        <w:tc>
          <w:tcPr>
            <w:tcW w:w="900" w:type="dxa"/>
            <w:vAlign w:val="bottom"/>
            <w:shd w:val="clear" w:color="auto" w:fill="D5DCE4"/>
          </w:tcPr>
          <w:p>
            <w:pPr>
              <w:spacing w:after="0"/>
              <w:rPr>
                <w:sz w:val="5"/>
                <w:szCs w:val="5"/>
                <w:color w:val="auto"/>
              </w:rPr>
            </w:pPr>
          </w:p>
        </w:tc>
        <w:tc>
          <w:tcPr>
            <w:tcW w:w="560" w:type="dxa"/>
            <w:vAlign w:val="bottom"/>
            <w:shd w:val="clear" w:color="auto" w:fill="D5DCE4"/>
          </w:tcPr>
          <w:p>
            <w:pPr>
              <w:spacing w:after="0"/>
              <w:rPr>
                <w:sz w:val="5"/>
                <w:szCs w:val="5"/>
                <w:color w:val="auto"/>
              </w:rPr>
            </w:pPr>
          </w:p>
        </w:tc>
        <w:tc>
          <w:tcPr>
            <w:tcW w:w="380" w:type="dxa"/>
            <w:vAlign w:val="bottom"/>
            <w:shd w:val="clear" w:color="auto" w:fill="D5DCE4"/>
          </w:tcPr>
          <w:p>
            <w:pPr>
              <w:spacing w:after="0"/>
              <w:rPr>
                <w:sz w:val="5"/>
                <w:szCs w:val="5"/>
                <w:color w:val="auto"/>
              </w:rPr>
            </w:pPr>
          </w:p>
        </w:tc>
        <w:tc>
          <w:tcPr>
            <w:tcW w:w="80" w:type="dxa"/>
            <w:vAlign w:val="bottom"/>
          </w:tcPr>
          <w:p>
            <w:pPr>
              <w:spacing w:after="0"/>
              <w:rPr>
                <w:sz w:val="5"/>
                <w:szCs w:val="5"/>
                <w:color w:val="auto"/>
              </w:rPr>
            </w:pPr>
          </w:p>
        </w:tc>
        <w:tc>
          <w:tcPr>
            <w:tcW w:w="4860" w:type="dxa"/>
            <w:vAlign w:val="bottom"/>
            <w:gridSpan w:val="7"/>
            <w:vMerge w:val="restart"/>
          </w:tcPr>
          <w:p>
            <w:pPr>
              <w:ind w:left="260"/>
              <w:spacing w:after="0" w:line="122" w:lineRule="exact"/>
              <w:rPr>
                <w:sz w:val="20"/>
                <w:szCs w:val="20"/>
                <w:color w:val="auto"/>
              </w:rPr>
            </w:pPr>
            <w:r>
              <w:rPr>
                <w:rFonts w:ascii="Arial" w:cs="Arial" w:eastAsia="Arial" w:hAnsi="Arial"/>
                <w:sz w:val="12"/>
                <w:szCs w:val="12"/>
                <w:color w:val="auto"/>
              </w:rPr>
              <w:t>Adjusted Net Income, Adjusted Diluted EPS and constant currency change are non-</w:t>
            </w:r>
          </w:p>
        </w:tc>
        <w:tc>
          <w:tcPr>
            <w:tcW w:w="0" w:type="dxa"/>
            <w:vAlign w:val="bottom"/>
          </w:tcPr>
          <w:p>
            <w:pPr>
              <w:spacing w:after="0"/>
              <w:rPr>
                <w:sz w:val="1"/>
                <w:szCs w:val="1"/>
                <w:color w:val="auto"/>
              </w:rPr>
            </w:pPr>
          </w:p>
        </w:tc>
      </w:tr>
      <w:tr>
        <w:trPr>
          <w:trHeight w:val="54"/>
        </w:trPr>
        <w:tc>
          <w:tcPr>
            <w:tcW w:w="1760" w:type="dxa"/>
            <w:vAlign w:val="bottom"/>
            <w:vMerge w:val="restart"/>
          </w:tcPr>
          <w:p>
            <w:pPr>
              <w:ind w:left="20"/>
              <w:spacing w:after="0" w:line="203" w:lineRule="exact"/>
              <w:rPr>
                <w:sz w:val="20"/>
                <w:szCs w:val="20"/>
                <w:color w:val="auto"/>
              </w:rPr>
            </w:pPr>
            <w:r>
              <w:rPr>
                <w:rFonts w:ascii="Arial" w:cs="Arial" w:eastAsia="Arial" w:hAnsi="Arial"/>
                <w:sz w:val="16"/>
                <w:szCs w:val="16"/>
                <w:color w:val="auto"/>
              </w:rPr>
              <w:t xml:space="preserve">Adjusted EBITDA </w:t>
            </w:r>
            <w:r>
              <w:rPr>
                <w:rFonts w:ascii="Arial" w:cs="Arial" w:eastAsia="Arial" w:hAnsi="Arial"/>
                <w:sz w:val="21"/>
                <w:szCs w:val="21"/>
                <w:color w:val="auto"/>
                <w:vertAlign w:val="superscript"/>
              </w:rPr>
              <w:t>(1)</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339,683</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99"/>
              <w:spacing w:after="0"/>
              <w:rPr>
                <w:sz w:val="20"/>
                <w:szCs w:val="20"/>
                <w:color w:val="auto"/>
              </w:rPr>
            </w:pPr>
            <w:r>
              <w:rPr>
                <w:rFonts w:ascii="Arial" w:cs="Arial" w:eastAsia="Arial" w:hAnsi="Arial"/>
                <w:sz w:val="16"/>
                <w:szCs w:val="16"/>
                <w:color w:val="auto"/>
              </w:rPr>
              <w:t>278,219</w:t>
            </w: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22.1 %</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19.7</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4"/>
                <w:szCs w:val="4"/>
                <w:color w:val="auto"/>
              </w:rPr>
            </w:pPr>
          </w:p>
        </w:tc>
        <w:tc>
          <w:tcPr>
            <w:tcW w:w="486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76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860" w:type="dxa"/>
            <w:vAlign w:val="bottom"/>
            <w:gridSpan w:val="7"/>
          </w:tcPr>
          <w:p>
            <w:pPr>
              <w:ind w:left="260"/>
              <w:spacing w:after="0"/>
              <w:rPr>
                <w:sz w:val="20"/>
                <w:szCs w:val="20"/>
                <w:color w:val="auto"/>
              </w:rPr>
            </w:pPr>
            <w:r>
              <w:rPr>
                <w:rFonts w:ascii="Arial" w:cs="Arial" w:eastAsia="Arial" w:hAnsi="Arial"/>
                <w:sz w:val="12"/>
                <w:szCs w:val="12"/>
                <w:color w:val="auto"/>
              </w:rPr>
              <w:t>GAAP financial measures. See "Non-GAAP Financial Measures" below and the</w:t>
            </w:r>
          </w:p>
        </w:tc>
        <w:tc>
          <w:tcPr>
            <w:tcW w:w="0" w:type="dxa"/>
            <w:vAlign w:val="bottom"/>
          </w:tcPr>
          <w:p>
            <w:pPr>
              <w:spacing w:after="0"/>
              <w:rPr>
                <w:sz w:val="1"/>
                <w:szCs w:val="1"/>
                <w:color w:val="auto"/>
              </w:rPr>
            </w:pPr>
          </w:p>
        </w:tc>
      </w:tr>
      <w:tr>
        <w:trPr>
          <w:trHeight w:val="149"/>
        </w:trPr>
        <w:tc>
          <w:tcPr>
            <w:tcW w:w="1760" w:type="dxa"/>
            <w:vAlign w:val="bottom"/>
            <w:vMerge w:val="restart"/>
          </w:tcPr>
          <w:p>
            <w:pPr>
              <w:ind w:left="20"/>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60" w:type="dxa"/>
            <w:vAlign w:val="bottom"/>
            <w:gridSpan w:val="7"/>
          </w:tcPr>
          <w:p>
            <w:pPr>
              <w:ind w:left="260"/>
              <w:spacing w:after="0"/>
              <w:rPr>
                <w:sz w:val="20"/>
                <w:szCs w:val="20"/>
                <w:color w:val="auto"/>
              </w:rPr>
            </w:pPr>
            <w:r>
              <w:rPr>
                <w:rFonts w:ascii="Arial" w:cs="Arial" w:eastAsia="Arial" w:hAnsi="Arial"/>
                <w:sz w:val="12"/>
                <w:szCs w:val="12"/>
                <w:color w:val="auto"/>
              </w:rPr>
              <w:t>attached schedules for additional information and reconciliations of such non-GAAP</w:t>
            </w:r>
          </w:p>
        </w:tc>
        <w:tc>
          <w:tcPr>
            <w:tcW w:w="0" w:type="dxa"/>
            <w:vAlign w:val="bottom"/>
          </w:tcPr>
          <w:p>
            <w:pPr>
              <w:spacing w:after="0"/>
              <w:rPr>
                <w:sz w:val="1"/>
                <w:szCs w:val="1"/>
                <w:color w:val="auto"/>
              </w:rPr>
            </w:pPr>
          </w:p>
        </w:tc>
      </w:tr>
      <w:tr>
        <w:trPr>
          <w:trHeight w:val="93"/>
        </w:trPr>
        <w:tc>
          <w:tcPr>
            <w:tcW w:w="17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80" w:type="dxa"/>
            <w:vAlign w:val="bottom"/>
            <w:gridSpan w:val="2"/>
            <w:vMerge w:val="restart"/>
          </w:tcPr>
          <w:p>
            <w:pPr>
              <w:ind w:left="260"/>
              <w:spacing w:after="0"/>
              <w:rPr>
                <w:sz w:val="20"/>
                <w:szCs w:val="20"/>
                <w:color w:val="auto"/>
              </w:rPr>
            </w:pPr>
            <w:r>
              <w:rPr>
                <w:rFonts w:ascii="Arial" w:cs="Arial" w:eastAsia="Arial" w:hAnsi="Arial"/>
                <w:sz w:val="12"/>
                <w:szCs w:val="12"/>
                <w:color w:val="auto"/>
              </w:rPr>
              <w:t>financial measures.</w:t>
            </w: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760" w:type="dxa"/>
            <w:vAlign w:val="bottom"/>
            <w:vMerge w:val="restart"/>
          </w:tcPr>
          <w:p>
            <w:pPr>
              <w:ind w:left="20"/>
              <w:spacing w:after="0"/>
              <w:rPr>
                <w:sz w:val="20"/>
                <w:szCs w:val="20"/>
                <w:color w:val="auto"/>
              </w:rPr>
            </w:pPr>
            <w:r>
              <w:rPr>
                <w:rFonts w:ascii="Arial" w:cs="Arial" w:eastAsia="Arial" w:hAnsi="Arial"/>
                <w:sz w:val="16"/>
                <w:szCs w:val="16"/>
                <w:color w:val="auto"/>
              </w:rPr>
              <w:t xml:space="preserve">margin </w:t>
            </w:r>
            <w:r>
              <w:rPr>
                <w:rFonts w:ascii="Arial" w:cs="Arial" w:eastAsia="Arial" w:hAnsi="Arial"/>
                <w:sz w:val="21"/>
                <w:szCs w:val="21"/>
                <w:color w:val="auto"/>
                <w:vertAlign w:val="superscript"/>
              </w:rPr>
              <w:t>(1)</w:t>
            </w:r>
          </w:p>
        </w:tc>
        <w:tc>
          <w:tcPr>
            <w:tcW w:w="24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55.0 %</w:t>
            </w:r>
          </w:p>
        </w:tc>
        <w:tc>
          <w:tcPr>
            <w:tcW w:w="200" w:type="dxa"/>
            <w:vAlign w:val="bottom"/>
          </w:tcPr>
          <w:p>
            <w:pPr>
              <w:spacing w:after="0"/>
              <w:rPr>
                <w:sz w:val="5"/>
                <w:szCs w:val="5"/>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54.6 %</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+40 bps</w:t>
            </w:r>
          </w:p>
        </w:tc>
        <w:tc>
          <w:tcPr>
            <w:tcW w:w="1020" w:type="dxa"/>
            <w:vAlign w:val="bottom"/>
            <w:gridSpan w:val="3"/>
            <w:vMerge w:val="restart"/>
          </w:tcPr>
          <w:p>
            <w:pPr>
              <w:ind w:left="300"/>
              <w:spacing w:after="0"/>
              <w:rPr>
                <w:sz w:val="20"/>
                <w:szCs w:val="20"/>
                <w:color w:val="auto"/>
              </w:rPr>
            </w:pPr>
            <w:r>
              <w:rPr>
                <w:rFonts w:ascii="Arial" w:cs="Arial" w:eastAsia="Arial" w:hAnsi="Arial"/>
                <w:sz w:val="16"/>
                <w:szCs w:val="16"/>
                <w:color w:val="auto"/>
              </w:rPr>
              <w:t>+99 bps</w:t>
            </w:r>
          </w:p>
        </w:tc>
        <w:tc>
          <w:tcPr>
            <w:tcW w:w="2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1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4860" w:type="dxa"/>
            <w:vAlign w:val="bottom"/>
            <w:gridSpan w:val="7"/>
          </w:tcPr>
          <w:p>
            <w:pPr>
              <w:ind w:left="20"/>
              <w:spacing w:after="0"/>
              <w:rPr>
                <w:sz w:val="20"/>
                <w:szCs w:val="20"/>
                <w:color w:val="auto"/>
              </w:rPr>
            </w:pPr>
            <w:r>
              <w:rPr>
                <w:rFonts w:ascii="Arial" w:cs="Arial" w:eastAsia="Arial" w:hAnsi="Arial"/>
                <w:sz w:val="12"/>
                <w:szCs w:val="12"/>
                <w:color w:val="auto"/>
              </w:rPr>
              <w:t>(2) Represents net income less net income attributable to non-controlling interests.</w:t>
            </w:r>
          </w:p>
        </w:tc>
        <w:tc>
          <w:tcPr>
            <w:tcW w:w="0" w:type="dxa"/>
            <w:vAlign w:val="bottom"/>
          </w:tcPr>
          <w:p>
            <w:pPr>
              <w:spacing w:after="0"/>
              <w:rPr>
                <w:sz w:val="1"/>
                <w:szCs w:val="1"/>
                <w:color w:val="auto"/>
              </w:rPr>
            </w:pPr>
          </w:p>
        </w:tc>
      </w:tr>
      <w:tr>
        <w:trPr>
          <w:trHeight w:val="243"/>
        </w:trPr>
        <w:tc>
          <w:tcPr>
            <w:tcW w:w="1760" w:type="dxa"/>
            <w:vAlign w:val="bottom"/>
          </w:tcPr>
          <w:p>
            <w:pPr>
              <w:ind w:left="20"/>
              <w:spacing w:after="0"/>
              <w:rPr>
                <w:sz w:val="20"/>
                <w:szCs w:val="20"/>
                <w:color w:val="auto"/>
              </w:rPr>
            </w:pPr>
            <w:r>
              <w:rPr>
                <w:rFonts w:ascii="Arial" w:cs="Arial" w:eastAsia="Arial" w:hAnsi="Arial"/>
                <w:sz w:val="16"/>
                <w:szCs w:val="16"/>
                <w:color w:val="auto"/>
              </w:rPr>
              <w:t xml:space="preserve">Adjusted EBIT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318,876</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260,993</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22.2 %</w:t>
            </w:r>
          </w:p>
        </w:tc>
        <w:tc>
          <w:tcPr>
            <w:tcW w:w="560" w:type="dxa"/>
            <w:vAlign w:val="bottom"/>
          </w:tcPr>
          <w:p>
            <w:pPr>
              <w:jc w:val="right"/>
              <w:spacing w:after="0"/>
              <w:rPr>
                <w:sz w:val="20"/>
                <w:szCs w:val="20"/>
                <w:color w:val="auto"/>
              </w:rPr>
            </w:pPr>
            <w:r>
              <w:rPr>
                <w:rFonts w:ascii="Arial" w:cs="Arial" w:eastAsia="Arial" w:hAnsi="Arial"/>
                <w:sz w:val="16"/>
                <w:szCs w:val="16"/>
                <w:color w:val="auto"/>
              </w:rPr>
              <w:t>19.6</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760" w:type="dxa"/>
            <w:vAlign w:val="bottom"/>
          </w:tcPr>
          <w:p>
            <w:pPr>
              <w:ind w:left="20"/>
              <w:spacing w:after="0" w:line="163" w:lineRule="exact"/>
              <w:rPr>
                <w:sz w:val="20"/>
                <w:szCs w:val="20"/>
                <w:color w:val="auto"/>
              </w:rPr>
            </w:pPr>
            <w:r>
              <w:rPr>
                <w:rFonts w:ascii="Arial" w:cs="Arial" w:eastAsia="Arial" w:hAnsi="Arial"/>
                <w:sz w:val="16"/>
                <w:szCs w:val="16"/>
                <w:color w:val="auto"/>
              </w:rPr>
              <w:t>Adjusted EBIT margin</w:t>
            </w:r>
          </w:p>
        </w:tc>
        <w:tc>
          <w:tcPr>
            <w:tcW w:w="24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51.6 %</w:t>
            </w:r>
          </w:p>
        </w:tc>
        <w:tc>
          <w:tcPr>
            <w:tcW w:w="200" w:type="dxa"/>
            <w:vAlign w:val="bottom"/>
          </w:tcPr>
          <w:p>
            <w:pPr>
              <w:spacing w:after="0"/>
              <w:rPr>
                <w:sz w:val="14"/>
                <w:szCs w:val="14"/>
                <w:color w:val="auto"/>
              </w:rPr>
            </w:pPr>
          </w:p>
        </w:tc>
        <w:tc>
          <w:tcPr>
            <w:tcW w:w="980" w:type="dxa"/>
            <w:vAlign w:val="bottom"/>
            <w:vMerge w:val="restart"/>
          </w:tcPr>
          <w:p>
            <w:pPr>
              <w:jc w:val="right"/>
              <w:ind w:right="19"/>
              <w:spacing w:after="0"/>
              <w:rPr>
                <w:sz w:val="20"/>
                <w:szCs w:val="20"/>
                <w:color w:val="auto"/>
              </w:rPr>
            </w:pPr>
            <w:r>
              <w:rPr>
                <w:rFonts w:ascii="Arial" w:cs="Arial" w:eastAsia="Arial" w:hAnsi="Arial"/>
                <w:sz w:val="16"/>
                <w:szCs w:val="16"/>
                <w:color w:val="auto"/>
              </w:rPr>
              <w:t>51.2 %</w:t>
            </w:r>
          </w:p>
        </w:tc>
        <w:tc>
          <w:tcPr>
            <w:tcW w:w="900" w:type="dxa"/>
            <w:vAlign w:val="bottom"/>
            <w:vMerge w:val="restart"/>
          </w:tcPr>
          <w:p>
            <w:pPr>
              <w:jc w:val="right"/>
              <w:ind w:right="19"/>
              <w:spacing w:after="0"/>
              <w:rPr>
                <w:sz w:val="20"/>
                <w:szCs w:val="20"/>
                <w:color w:val="auto"/>
              </w:rPr>
            </w:pPr>
            <w:r>
              <w:rPr>
                <w:rFonts w:ascii="Arial" w:cs="Arial" w:eastAsia="Arial" w:hAnsi="Arial"/>
                <w:sz w:val="16"/>
                <w:szCs w:val="16"/>
                <w:color w:val="auto"/>
              </w:rPr>
              <w:t>+41 bps</w:t>
            </w:r>
          </w:p>
        </w:tc>
        <w:tc>
          <w:tcPr>
            <w:tcW w:w="1020" w:type="dxa"/>
            <w:vAlign w:val="bottom"/>
            <w:gridSpan w:val="3"/>
            <w:vMerge w:val="restart"/>
          </w:tcPr>
          <w:p>
            <w:pPr>
              <w:ind w:left="300"/>
              <w:spacing w:after="0"/>
              <w:rPr>
                <w:sz w:val="20"/>
                <w:szCs w:val="20"/>
                <w:color w:val="auto"/>
              </w:rPr>
            </w:pPr>
            <w:r>
              <w:rPr>
                <w:rFonts w:ascii="Arial" w:cs="Arial" w:eastAsia="Arial" w:hAnsi="Arial"/>
                <w:sz w:val="16"/>
                <w:szCs w:val="16"/>
                <w:color w:val="auto"/>
              </w:rPr>
              <w:t>+91 bps</w:t>
            </w: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rPr>
                <w:sz w:val="20"/>
                <w:szCs w:val="20"/>
                <w:color w:val="auto"/>
              </w:rPr>
            </w:pPr>
            <w:r>
              <w:rPr>
                <w:rFonts w:ascii="Arial" w:cs="Arial" w:eastAsia="Arial" w:hAnsi="Arial"/>
                <w:sz w:val="11"/>
                <w:szCs w:val="11"/>
                <w:color w:val="auto"/>
              </w:rPr>
              <w:t>(1)</w:t>
            </w:r>
          </w:p>
        </w:tc>
        <w:tc>
          <w:tcPr>
            <w:tcW w:w="2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1760" w:type="dxa"/>
            <w:vAlign w:val="bottom"/>
          </w:tcPr>
          <w:p>
            <w:pPr>
              <w:ind w:left="20"/>
              <w:spacing w:after="0"/>
              <w:rPr>
                <w:sz w:val="20"/>
                <w:szCs w:val="20"/>
                <w:color w:val="auto"/>
              </w:rPr>
            </w:pPr>
            <w:r>
              <w:rPr>
                <w:rFonts w:ascii="Arial" w:cs="Arial" w:eastAsia="Arial" w:hAnsi="Arial"/>
                <w:sz w:val="16"/>
                <w:szCs w:val="16"/>
                <w:color w:val="auto"/>
              </w:rPr>
              <w:t xml:space="preserve">Adjusted Net Income </w:t>
            </w:r>
            <w:r>
              <w:rPr>
                <w:rFonts w:ascii="Arial" w:cs="Arial" w:eastAsia="Arial" w:hAnsi="Arial"/>
                <w:sz w:val="21"/>
                <w:szCs w:val="21"/>
                <w:color w:val="auto"/>
                <w:vertAlign w:val="superscript"/>
              </w:rPr>
              <w:t>(1)</w:t>
            </w:r>
          </w:p>
        </w:tc>
        <w:tc>
          <w:tcPr>
            <w:tcW w:w="2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255,134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9"/>
              <w:spacing w:after="0"/>
              <w:rPr>
                <w:sz w:val="20"/>
                <w:szCs w:val="20"/>
                <w:color w:val="auto"/>
              </w:rPr>
            </w:pPr>
            <w:r>
              <w:rPr>
                <w:rFonts w:ascii="Arial" w:cs="Arial" w:eastAsia="Arial" w:hAnsi="Arial"/>
                <w:sz w:val="16"/>
                <w:szCs w:val="16"/>
                <w:color w:val="auto"/>
              </w:rPr>
              <w:t>205,691</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24.0 %</w:t>
            </w:r>
          </w:p>
        </w:tc>
        <w:tc>
          <w:tcPr>
            <w:tcW w:w="560" w:type="dxa"/>
            <w:vAlign w:val="bottom"/>
          </w:tcPr>
          <w:p>
            <w:pPr>
              <w:jc w:val="right"/>
              <w:spacing w:after="0"/>
              <w:rPr>
                <w:sz w:val="20"/>
                <w:szCs w:val="20"/>
                <w:color w:val="auto"/>
              </w:rPr>
            </w:pPr>
            <w:r>
              <w:rPr>
                <w:rFonts w:ascii="Arial" w:cs="Arial" w:eastAsia="Arial" w:hAnsi="Arial"/>
                <w:sz w:val="16"/>
                <w:szCs w:val="16"/>
                <w:color w:val="auto"/>
              </w:rPr>
              <w:t>21.5</w:t>
            </w:r>
          </w:p>
        </w:tc>
        <w:tc>
          <w:tcPr>
            <w:tcW w:w="3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1760" w:type="dxa"/>
            <w:vAlign w:val="bottom"/>
          </w:tcPr>
          <w:p>
            <w:pPr>
              <w:ind w:left="20"/>
              <w:spacing w:after="0" w:line="163" w:lineRule="exact"/>
              <w:rPr>
                <w:sz w:val="20"/>
                <w:szCs w:val="20"/>
                <w:color w:val="auto"/>
              </w:rPr>
            </w:pPr>
            <w:r>
              <w:rPr>
                <w:rFonts w:ascii="Arial" w:cs="Arial" w:eastAsia="Arial" w:hAnsi="Arial"/>
                <w:sz w:val="16"/>
                <w:szCs w:val="16"/>
                <w:color w:val="auto"/>
              </w:rPr>
              <w:t>Adjusted Diluted EPS</w:t>
            </w:r>
          </w:p>
        </w:tc>
        <w:tc>
          <w:tcPr>
            <w:tcW w:w="24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ind w:right="119"/>
              <w:spacing w:after="0"/>
              <w:rPr>
                <w:sz w:val="20"/>
                <w:szCs w:val="20"/>
                <w:color w:val="auto"/>
              </w:rPr>
            </w:pPr>
            <w:r>
              <w:rPr>
                <w:rFonts w:ascii="Arial" w:cs="Arial" w:eastAsia="Arial" w:hAnsi="Arial"/>
                <w:sz w:val="16"/>
                <w:szCs w:val="16"/>
                <w:color w:val="auto"/>
              </w:rPr>
              <w:t>1.08</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ind w:right="199"/>
              <w:spacing w:after="0"/>
              <w:rPr>
                <w:sz w:val="20"/>
                <w:szCs w:val="20"/>
                <w:color w:val="auto"/>
              </w:rPr>
            </w:pPr>
            <w:r>
              <w:rPr>
                <w:rFonts w:ascii="Arial" w:cs="Arial" w:eastAsia="Arial" w:hAnsi="Arial"/>
                <w:sz w:val="16"/>
                <w:szCs w:val="16"/>
                <w:color w:val="auto"/>
              </w:rPr>
              <w:t>0.86</w:t>
            </w:r>
          </w:p>
        </w:tc>
        <w:tc>
          <w:tcPr>
            <w:tcW w:w="900" w:type="dxa"/>
            <w:vAlign w:val="bottom"/>
            <w:vMerge w:val="restart"/>
          </w:tcPr>
          <w:p>
            <w:pPr>
              <w:jc w:val="right"/>
              <w:ind w:right="139"/>
              <w:spacing w:after="0"/>
              <w:rPr>
                <w:sz w:val="20"/>
                <w:szCs w:val="20"/>
                <w:color w:val="auto"/>
              </w:rPr>
            </w:pPr>
            <w:r>
              <w:rPr>
                <w:rFonts w:ascii="Arial" w:cs="Arial" w:eastAsia="Arial" w:hAnsi="Arial"/>
                <w:sz w:val="16"/>
                <w:szCs w:val="16"/>
                <w:color w:val="auto"/>
              </w:rPr>
              <w:t>25.6 %</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22.7</w:t>
            </w:r>
          </w:p>
        </w:tc>
        <w:tc>
          <w:tcPr>
            <w:tcW w:w="380" w:type="dxa"/>
            <w:vAlign w:val="bottom"/>
            <w:vMerge w:val="restart"/>
          </w:tcPr>
          <w:p>
            <w:pPr>
              <w:jc w:val="right"/>
              <w:ind w:right="11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60" w:type="dxa"/>
            <w:vAlign w:val="bottom"/>
          </w:tcPr>
          <w:p>
            <w:pPr>
              <w:ind w:left="20"/>
              <w:spacing w:after="0"/>
              <w:rPr>
                <w:sz w:val="20"/>
                <w:szCs w:val="20"/>
                <w:color w:val="auto"/>
              </w:rPr>
            </w:pPr>
            <w:r>
              <w:rPr>
                <w:rFonts w:ascii="Arial" w:cs="Arial" w:eastAsia="Arial" w:hAnsi="Arial"/>
                <w:sz w:val="11"/>
                <w:szCs w:val="11"/>
                <w:color w:val="auto"/>
              </w:rPr>
              <w:t>(1)</w:t>
            </w:r>
          </w:p>
        </w:tc>
        <w:tc>
          <w:tcPr>
            <w:tcW w:w="2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76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2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560" w:type="dxa"/>
            <w:vAlign w:val="bottom"/>
            <w:vMerge w:val="continue"/>
          </w:tcPr>
          <w:p>
            <w:pPr>
              <w:spacing w:after="0"/>
              <w:rPr>
                <w:sz w:val="4"/>
                <w:szCs w:val="4"/>
                <w:color w:val="auto"/>
              </w:rPr>
            </w:pPr>
          </w:p>
        </w:tc>
        <w:tc>
          <w:tcPr>
            <w:tcW w:w="3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840"/>
          </w:cols>
          <w:pgMar w:left="320" w:top="179" w:right="7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b w:val="1"/>
          <w:bCs w:val="1"/>
          <w:color w:val="083566"/>
        </w:rPr>
        <w:t>DISCUSSION OF RESULTS</w:t>
      </w:r>
    </w:p>
    <w:p>
      <w:pPr>
        <w:spacing w:after="0" w:line="100"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b w:val="1"/>
          <w:bCs w:val="1"/>
          <w:color w:val="auto"/>
        </w:rPr>
        <w:t xml:space="preserve">Rates </w:t>
      </w:r>
      <w:r>
        <w:rPr>
          <w:rFonts w:ascii="Arial" w:cs="Arial" w:eastAsia="Arial" w:hAnsi="Arial"/>
          <w:sz w:val="16"/>
          <w:szCs w:val="16"/>
          <w:color w:val="auto"/>
        </w:rPr>
        <w:t>– Revenues of $344.2 million in the first quarter of 2026 increased 29.7% compared to prior year period (increased 24.9%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basis). Rates ADV was up 44.2% from prior year period, driven by record ADV in U.S. government bonds, swaps/swaptions ≥ and &lt; 1-year, mortgages and European government bonds. U.S. government bond ADV was up 15.9% </w:t>
      </w:r>
      <w:r>
        <w:rPr>
          <w:rFonts w:ascii="Arial" w:cs="Arial" w:eastAsia="Arial" w:hAnsi="Arial"/>
          <w:sz w:val="17"/>
          <w:szCs w:val="17"/>
          <w:color w:val="auto"/>
        </w:rPr>
        <w:t>from prior year period,</w:t>
      </w:r>
      <w:r>
        <w:rPr>
          <w:rFonts w:ascii="Arial" w:cs="Arial" w:eastAsia="Arial" w:hAnsi="Arial"/>
          <w:sz w:val="16"/>
          <w:szCs w:val="16"/>
          <w:color w:val="auto"/>
        </w:rPr>
        <w:t xml:space="preserve"> driven by record institutional activity. Swaps/swaptions ≥ 1-year ADV was up 38.2% from prior year period, driven by a strong increase in risk trading activity due to overall inflationary and central bank policy concerns and global market sensitivity to geopolitical developments. European government bonds ADV was up 32.6% from prior year period, led by strong volumes across our institutional client channel. Mortgages ADV was up 20.5% from prior year period, reflecting elevated rate volatility amid macro uncertainty, alongside continued client adoption of electronic trading and sustained institutional engagement across mortgage products, including To-Be-Announced ("TBA") activity. Tradeweb's specified pool platform saw higher trading activity year-over-year ("YoY"), reflecting continued growth in client adoption.</w:t>
      </w:r>
    </w:p>
    <w:p>
      <w:pPr>
        <w:spacing w:after="0" w:line="200" w:lineRule="exact"/>
        <w:rPr>
          <w:sz w:val="20"/>
          <w:szCs w:val="20"/>
          <w:color w:val="auto"/>
        </w:rPr>
      </w:pPr>
    </w:p>
    <w:p>
      <w:pPr>
        <w:spacing w:after="0" w:line="206" w:lineRule="exact"/>
        <w:rPr>
          <w:sz w:val="20"/>
          <w:szCs w:val="20"/>
          <w:color w:val="auto"/>
        </w:rPr>
      </w:pPr>
    </w:p>
    <w:p>
      <w:pPr>
        <w:ind w:right="300"/>
        <w:spacing w:after="0" w:line="230" w:lineRule="auto"/>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 Revenues of $138.2 million in the first quarter of 2026 increased 11.5% compared to prior year period (increased 8.7%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Credit derivatives ADV was up 59.5% from prior year period, driven by increased hedge fund and systematic account activity YoY and heightened</w:t>
      </w:r>
    </w:p>
    <w:p>
      <w:pPr>
        <w:spacing w:after="0" w:line="1" w:lineRule="exact"/>
        <w:rPr>
          <w:sz w:val="20"/>
          <w:szCs w:val="20"/>
          <w:color w:val="auto"/>
        </w:rPr>
      </w:pPr>
    </w:p>
    <w:p>
      <w:pPr>
        <w:ind w:right="200"/>
        <w:spacing w:after="0" w:line="228" w:lineRule="auto"/>
        <w:rPr>
          <w:sz w:val="20"/>
          <w:szCs w:val="20"/>
          <w:color w:val="auto"/>
        </w:rPr>
      </w:pPr>
      <w:r>
        <w:rPr>
          <w:rFonts w:ascii="Arial" w:cs="Arial" w:eastAsia="Arial" w:hAnsi="Arial"/>
          <w:sz w:val="16"/>
          <w:szCs w:val="16"/>
          <w:color w:val="auto"/>
        </w:rPr>
        <w:t>credit volatility which led to increased swap execution facility ("SEF") and multilateral trading facility ("MTF") credit default swaps activity. U.S. credit ADV was up 14.0% from prior year period, driven by record ADV in fully electronic U.S. high grade credit, fully electronic U.S. high yield credit and electronically processed U.S. high grade credit, as well as strong client adoption across Tradeweb protocols, including in Portfolio Trading ("PT"), request-for-quote ("RFQ") and Tradeweb AllTrade®. Record European credit ADV was up 21.2% from prior year period, driven by strong activity across a wide range of</w:t>
      </w:r>
    </w:p>
    <w:p>
      <w:pPr>
        <w:spacing w:after="0" w:line="3" w:lineRule="exact"/>
        <w:rPr>
          <w:sz w:val="20"/>
          <w:szCs w:val="20"/>
          <w:color w:val="auto"/>
        </w:rPr>
      </w:pPr>
    </w:p>
    <w:p>
      <w:pPr>
        <w:ind w:right="120"/>
        <w:spacing w:after="0" w:line="220" w:lineRule="auto"/>
        <w:rPr>
          <w:sz w:val="20"/>
          <w:szCs w:val="20"/>
          <w:color w:val="auto"/>
        </w:rPr>
      </w:pPr>
      <w:r>
        <w:rPr>
          <w:rFonts w:ascii="Arial" w:cs="Arial" w:eastAsia="Arial" w:hAnsi="Arial"/>
          <w:sz w:val="16"/>
          <w:szCs w:val="16"/>
          <w:color w:val="auto"/>
        </w:rPr>
        <w:t>protocols, including record traded volume in Tradeweb's Automated Intelligent Execution ("AiEX") tool. Municipal bond ADV was up 5.0% from prior year period, outperforming the market which was down 1% from prior year period (based on MSRB), led by strong growth across the retail and institutional client</w:t>
      </w:r>
    </w:p>
    <w:p>
      <w:pPr>
        <w:ind w:right="40"/>
        <w:spacing w:after="0" w:line="228" w:lineRule="auto"/>
        <w:rPr>
          <w:sz w:val="20"/>
          <w:szCs w:val="20"/>
          <w:color w:val="auto"/>
        </w:rPr>
      </w:pPr>
      <w:r>
        <w:rPr>
          <w:rFonts w:ascii="Arial" w:cs="Arial" w:eastAsia="Arial" w:hAnsi="Arial"/>
          <w:sz w:val="16"/>
          <w:szCs w:val="16"/>
          <w:color w:val="auto"/>
        </w:rPr>
        <w:t>sectors. We reported 17.7% share of fully electronic U.S. high grade TRACE, down 33 basis points (bps) from prior year period and 7.4% share of fully electronic U.S. high yield TRACE, down 16 bps from prior year period. We also reported 25.0% total share of U.S. high grade TRACE, down 92 bps from prior year period and 9.8% total share of U.S. high yield TRACE, down 36 bps from prior year period. The 14.7% decline in cash credit average variable fees per million in the first quarter of 2026 compared to prior year period was primarily driven by the 2025 introduction of minimum fee floors and the migration of</w:t>
      </w:r>
    </w:p>
    <w:p>
      <w:pPr>
        <w:spacing w:after="0" w:line="3" w:lineRule="exact"/>
        <w:rPr>
          <w:sz w:val="20"/>
          <w:szCs w:val="20"/>
          <w:color w:val="auto"/>
        </w:rPr>
      </w:pPr>
    </w:p>
    <w:p>
      <w:pPr>
        <w:ind w:right="40"/>
        <w:spacing w:after="0" w:line="220" w:lineRule="auto"/>
        <w:rPr>
          <w:sz w:val="20"/>
          <w:szCs w:val="20"/>
          <w:color w:val="auto"/>
        </w:rPr>
      </w:pPr>
      <w:r>
        <w:rPr>
          <w:rFonts w:ascii="Arial" w:cs="Arial" w:eastAsia="Arial" w:hAnsi="Arial"/>
          <w:sz w:val="16"/>
          <w:szCs w:val="16"/>
          <w:color w:val="auto"/>
        </w:rPr>
        <w:t>certain dealers from fully variable plans to fixed fee plans and a mix shift away from municipal bonds and retail U.S. credit, which carry a relatively higher fee per million, as well as a mix shift towards non-competition portfolio trading which carries a relatively lower fee per million. Excluding the impact of our</w:t>
      </w:r>
    </w:p>
    <w:p>
      <w:pPr>
        <w:ind w:right="180"/>
        <w:spacing w:after="0" w:line="248" w:lineRule="auto"/>
        <w:rPr>
          <w:sz w:val="20"/>
          <w:szCs w:val="20"/>
          <w:color w:val="auto"/>
        </w:rPr>
      </w:pPr>
      <w:r>
        <w:rPr>
          <w:rFonts w:ascii="Arial" w:cs="Arial" w:eastAsia="Arial" w:hAnsi="Arial"/>
          <w:sz w:val="16"/>
          <w:szCs w:val="16"/>
          <w:color w:val="auto"/>
        </w:rPr>
        <w:t>previously disclosed minimum fee floors and dealer migration plans and this quarter's impact of product/protocol mix shirt, cash credit fee per million would be down approximately 1%.</w:t>
      </w:r>
    </w:p>
    <w:p>
      <w:pPr>
        <w:spacing w:after="0" w:line="21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b w:val="1"/>
          <w:bCs w:val="1"/>
          <w:color w:val="auto"/>
        </w:rPr>
        <w:t xml:space="preserve">Equities </w:t>
      </w:r>
      <w:r>
        <w:rPr>
          <w:rFonts w:ascii="Arial" w:cs="Arial" w:eastAsia="Arial" w:hAnsi="Arial"/>
          <w:sz w:val="16"/>
          <w:szCs w:val="16"/>
          <w:color w:val="auto"/>
        </w:rPr>
        <w:t>– Revenues of $41.3 million in the first quarter of 2026 increased 31.5% compared to prior year period (increased 25.2%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Equities ADV was up 22.6% from prior year period, driven by record activity in U.S. and international exchange traded funds ("ETFs").</w:t>
      </w:r>
    </w:p>
    <w:p>
      <w:pPr>
        <w:spacing w:after="0" w:line="183" w:lineRule="exact"/>
        <w:rPr>
          <w:sz w:val="20"/>
          <w:szCs w:val="20"/>
          <w:color w:val="auto"/>
        </w:rPr>
      </w:pPr>
    </w:p>
    <w:p>
      <w:pPr>
        <w:ind w:right="300"/>
        <w:spacing w:after="0" w:line="248" w:lineRule="auto"/>
        <w:rPr>
          <w:sz w:val="20"/>
          <w:szCs w:val="20"/>
          <w:color w:val="auto"/>
        </w:rPr>
      </w:pPr>
      <w:r>
        <w:rPr>
          <w:rFonts w:ascii="Arial" w:cs="Arial" w:eastAsia="Arial" w:hAnsi="Arial"/>
          <w:sz w:val="16"/>
          <w:szCs w:val="16"/>
          <w:b w:val="1"/>
          <w:bCs w:val="1"/>
          <w:color w:val="auto"/>
        </w:rPr>
        <w:t xml:space="preserve">Money Markets </w:t>
      </w:r>
      <w:r>
        <w:rPr>
          <w:rFonts w:ascii="Arial" w:cs="Arial" w:eastAsia="Arial" w:hAnsi="Arial"/>
          <w:sz w:val="16"/>
          <w:szCs w:val="16"/>
          <w:color w:val="auto"/>
        </w:rPr>
        <w:t>– Revenues of $47.1 million in the first quarter of 2026 increased 7.8% compared to prior year period (increased 6.0% on a constant</w:t>
      </w:r>
      <w:r>
        <w:rPr>
          <w:rFonts w:ascii="Arial" w:cs="Arial" w:eastAsia="Arial" w:hAnsi="Arial"/>
          <w:sz w:val="16"/>
          <w:szCs w:val="16"/>
          <w:b w:val="1"/>
          <w:bCs w:val="1"/>
          <w:color w:val="auto"/>
        </w:rPr>
        <w:t xml:space="preserve"> </w:t>
      </w:r>
      <w:r>
        <w:rPr>
          <w:rFonts w:ascii="Arial" w:cs="Arial" w:eastAsia="Arial" w:hAnsi="Arial"/>
          <w:sz w:val="16"/>
          <w:szCs w:val="16"/>
          <w:color w:val="auto"/>
        </w:rPr>
        <w:t>currency basis). Money Markets ADV was up 13.2% from prior year period, driven by record activity in global repurchase agreements and Tradeweb ICD Portal activity, which was driven by existing clients and new client additions.</w:t>
      </w:r>
    </w:p>
    <w:p>
      <w:pPr>
        <w:spacing w:after="0" w:line="22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b w:val="1"/>
          <w:bCs w:val="1"/>
          <w:color w:val="auto"/>
        </w:rPr>
        <w:t xml:space="preserve">Market Data </w:t>
      </w:r>
      <w:r>
        <w:rPr>
          <w:rFonts w:ascii="Arial" w:cs="Arial" w:eastAsia="Arial" w:hAnsi="Arial"/>
          <w:sz w:val="16"/>
          <w:szCs w:val="16"/>
          <w:color w:val="auto"/>
        </w:rPr>
        <w:t>– Revenues of $36.9 million in the first quarter of 2026 decreased 4.6% compared to prior year period (decreased 5.5%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primarily due to the amendments to our LSEG market data license agreement effective November 1, 2025 and was partially offset by growth in our proprietary market data revenues. The amended market data license agreement resulted in a change in the timing of delivery of periodic historical data sets, with more frequent deliveries scheduled under the amended agreement and a corresponding decrease in revenue during the first quarter of 2026 that was partially offset by higher overall fees under the amended agreement. During the first quarter of 2025, $8.4 million of revenue was recognized from the periodic delivery of historical data sets delivered and recognized all in January 2025, as compared to quarterly delivery of historical data sets under the amended agreement beginning in the first quarter of 2026 and totaling $2.2 million of revenue in the first quarter of 2026.</w:t>
      </w:r>
    </w:p>
    <w:p>
      <w:pPr>
        <w:spacing w:after="0" w:line="217" w:lineRule="exact"/>
        <w:rPr>
          <w:sz w:val="20"/>
          <w:szCs w:val="20"/>
          <w:color w:val="auto"/>
        </w:rPr>
      </w:pPr>
    </w:p>
    <w:p>
      <w:pPr>
        <w:ind w:right="460"/>
        <w:spacing w:after="0" w:line="286"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 Revenues of $10.0 million in the first quarter of 2026 increased 56.2% compared to prior year period (increased 56.1% on a constant currency</w:t>
      </w:r>
      <w:r>
        <w:rPr>
          <w:rFonts w:ascii="Arial" w:cs="Arial" w:eastAsia="Arial" w:hAnsi="Arial"/>
          <w:sz w:val="16"/>
          <w:szCs w:val="16"/>
          <w:b w:val="1"/>
          <w:bCs w:val="1"/>
          <w:color w:val="auto"/>
        </w:rPr>
        <w:t xml:space="preserve"> </w:t>
      </w:r>
      <w:r>
        <w:rPr>
          <w:rFonts w:ascii="Arial" w:cs="Arial" w:eastAsia="Arial" w:hAnsi="Arial"/>
          <w:sz w:val="16"/>
          <w:szCs w:val="16"/>
          <w:color w:val="auto"/>
        </w:rPr>
        <w:t>basis) primarily due to an increase in digital asset revenue earned for performing validation services on the Canton Network.</w:t>
      </w:r>
    </w:p>
    <w:p>
      <w:pPr>
        <w:spacing w:after="0" w:line="169"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of $330.5 million in the first quarter of 2026 increased 8.2% compared to $305.6 million in prior year period, primarily due to (i) an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employee compensation and benefits primarily due to an increase in headcount and related salaries, bonus, benefits and stock-based compensation associated with our continued growth and (ii) an increase in technology and communication expense due to increased investment in our data strategy and infrastructure and increased data fees driven primarily by higher trading volumes period-over-period. These increases were partially offset by a decrease in general and administrative expenses primarily due to a decrease in foreign exchange losses.</w:t>
      </w:r>
    </w:p>
    <w:p>
      <w:pPr>
        <w:spacing w:after="0" w:line="228"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color w:val="auto"/>
        </w:rPr>
        <w:t xml:space="preserve">Adjusted Expenses </w:t>
      </w:r>
      <w:r>
        <w:rPr>
          <w:rFonts w:ascii="Arial" w:cs="Arial" w:eastAsia="Arial" w:hAnsi="Arial"/>
          <w:sz w:val="16"/>
          <w:szCs w:val="16"/>
          <w:color w:val="auto"/>
        </w:rPr>
        <w:t>of $298.9 million in the first quarter of 2026 increased 20.2% (increased 15.3% on a constant currency basis) compared to prior year</w:t>
      </w:r>
      <w:r>
        <w:rPr>
          <w:rFonts w:ascii="Arial" w:cs="Arial" w:eastAsia="Arial" w:hAnsi="Arial"/>
          <w:sz w:val="16"/>
          <w:szCs w:val="16"/>
          <w:b w:val="1"/>
          <w:bCs w:val="1"/>
          <w:color w:val="auto"/>
        </w:rPr>
        <w:t xml:space="preserve"> </w:t>
      </w:r>
      <w:r>
        <w:rPr>
          <w:rFonts w:ascii="Arial" w:cs="Arial" w:eastAsia="Arial" w:hAnsi="Arial"/>
          <w:sz w:val="16"/>
          <w:szCs w:val="16"/>
          <w:color w:val="auto"/>
        </w:rPr>
        <w:t>period primarily due to (i) an increase in employee compensation and benefits primarily due to an increase in headcount and related salaries, bonus, benefits and stock-based compensation associated with our continued growth, (ii) an increase in technology and communication expense due to increased investment in our data strategy and infrastructure and increased data fees driven primarily by higher trading volumes period-over-period and (iii) an increase in general and administrative expenses primarily due to an increase in realized foreign exchange losses. Please see "Non-GAAP Financial Measures" below for additional information.</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2</w:t>
      </w:r>
    </w:p>
    <w:p>
      <w:pPr>
        <w:sectPr>
          <w:pgSz w:w="11900" w:h="16838" w:orient="portrait"/>
          <w:cols w:equalWidth="0" w:num="1">
            <w:col w:w="11240"/>
          </w:cols>
          <w:pgMar w:left="320" w:top="908" w:right="339" w:bottom="1440" w:gutter="0" w:footer="0" w:header="0"/>
        </w:sectPr>
      </w:pPr>
    </w:p>
    <w:bookmarkStart w:id="5" w:name="page6"/>
    <w:bookmarkEnd w:id="5"/>
    <w:p>
      <w:pPr>
        <w:ind w:right="260"/>
        <w:spacing w:after="0" w:line="265" w:lineRule="auto"/>
        <w:rPr>
          <w:sz w:val="20"/>
          <w:szCs w:val="20"/>
          <w:color w:val="auto"/>
        </w:rPr>
      </w:pPr>
      <w:r>
        <w:rPr>
          <w:rFonts w:ascii="Arial" w:cs="Arial" w:eastAsia="Arial" w:hAnsi="Arial"/>
          <w:sz w:val="16"/>
          <w:szCs w:val="16"/>
          <w:b w:val="1"/>
          <w:bCs w:val="1"/>
          <w:color w:val="auto"/>
        </w:rPr>
        <w:t xml:space="preserve">Non-operating Income – Other income (loss), net </w:t>
      </w:r>
      <w:r>
        <w:rPr>
          <w:rFonts w:ascii="Arial" w:cs="Arial" w:eastAsia="Arial" w:hAnsi="Arial"/>
          <w:sz w:val="16"/>
          <w:szCs w:val="16"/>
          <w:color w:val="auto"/>
        </w:rPr>
        <w:t>of $1.2 million of loss in the first quarter of 2026 compared to the prior year period income of $4.2</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primarily due to unrealized gains (losses) on our Canton Coin holdings, which totaled a loss of $2.9 million in the first quarter of 2026 compared to income of $4.2 million in the prior year period, partially offset by $1.7 million net other income from other investments in the first quarter of 2026. Other income (loss), net is excluded from all non-GAAP financial measures.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RECENT HIGHLIGHTS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April 2026</w:t>
      </w:r>
    </w:p>
    <w:p>
      <w:pPr>
        <w:spacing w:after="0" w:line="8" w:lineRule="exact"/>
        <w:rPr>
          <w:sz w:val="20"/>
          <w:szCs w:val="20"/>
          <w:color w:val="auto"/>
        </w:rPr>
      </w:pPr>
    </w:p>
    <w:p>
      <w:pPr>
        <w:ind w:left="660" w:right="660" w:hanging="328"/>
        <w:spacing w:after="0" w:line="237"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Announced that Xtrackers, the ETF and ETC platform of DWS, has adopted Tradeweb’s iNAVs across its European-listed ETFs, adding an independent, real time intraday pricing reference for market participants.</w:t>
      </w:r>
    </w:p>
    <w:p>
      <w:pPr>
        <w:spacing w:after="0" w:line="1" w:lineRule="exact"/>
        <w:rPr>
          <w:rFonts w:ascii="Arial" w:cs="Arial" w:eastAsia="Arial" w:hAnsi="Arial"/>
          <w:sz w:val="16"/>
          <w:szCs w:val="16"/>
          <w:color w:val="auto"/>
        </w:rPr>
      </w:pPr>
    </w:p>
    <w:p>
      <w:pPr>
        <w:ind w:left="660" w:right="540" w:hanging="328"/>
        <w:spacing w:after="0" w:line="237"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Contributed Tradeweb’s iNAV data to the new Pyth Data Marketplace from Pyth Network, expanding access to our high-quality, intraday ETF valuations via on-chain infrastructure.</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Published the annual 2026 Tradeweb ICD Portal Client Survey.</w:t>
      </w:r>
    </w:p>
    <w:p>
      <w:pPr>
        <w:spacing w:after="0" w:line="5" w:lineRule="exact"/>
        <w:rPr>
          <w:rFonts w:ascii="Arial" w:cs="Arial" w:eastAsia="Arial" w:hAnsi="Arial"/>
          <w:sz w:val="16"/>
          <w:szCs w:val="16"/>
          <w:color w:val="auto"/>
        </w:rPr>
      </w:pPr>
    </w:p>
    <w:p>
      <w:pPr>
        <w:ind w:left="660" w:right="120" w:hanging="328"/>
        <w:spacing w:after="0" w:line="248"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Recognized in numerous awards, including: </w:t>
      </w:r>
      <w:r>
        <w:rPr>
          <w:rFonts w:ascii="Arial" w:cs="Arial" w:eastAsia="Arial" w:hAnsi="Arial"/>
          <w:sz w:val="16"/>
          <w:szCs w:val="16"/>
          <w:i w:val="1"/>
          <w:iCs w:val="1"/>
          <w:color w:val="auto"/>
        </w:rPr>
        <w:t>Rising Stars of European Finance 2026 - Melanie Hazan (Financial News); Most Effective Platform for</w:t>
      </w:r>
      <w:r>
        <w:rPr>
          <w:rFonts w:ascii="Arial" w:cs="Arial" w:eastAsia="Arial" w:hAnsi="Arial"/>
          <w:sz w:val="16"/>
          <w:szCs w:val="16"/>
          <w:color w:val="auto"/>
        </w:rPr>
        <w:t xml:space="preserve"> </w:t>
      </w:r>
      <w:r>
        <w:rPr>
          <w:rFonts w:ascii="Arial" w:cs="Arial" w:eastAsia="Arial" w:hAnsi="Arial"/>
          <w:sz w:val="16"/>
          <w:szCs w:val="16"/>
          <w:i w:val="1"/>
          <w:iCs w:val="1"/>
          <w:color w:val="auto"/>
        </w:rPr>
        <w:t>Trading Rates – Tradeweb (Markets Media Bond Market Awards 2026)</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2026</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Core Markets</w:t>
      </w:r>
    </w:p>
    <w:p>
      <w:pPr>
        <w:spacing w:after="0" w:line="6"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Expanded Tradeweb’s dealer algorithmic execution offering for U.S. Treasuries with the addition of Citi and RBC Capital Markets dealer algorithms.</w:t>
      </w:r>
    </w:p>
    <w:p>
      <w:pPr>
        <w:spacing w:after="0" w:line="5" w:lineRule="exact"/>
        <w:rPr>
          <w:rFonts w:ascii="Arial" w:cs="Arial" w:eastAsia="Arial" w:hAnsi="Arial"/>
          <w:sz w:val="16"/>
          <w:szCs w:val="16"/>
          <w:color w:val="auto"/>
        </w:rPr>
      </w:pPr>
    </w:p>
    <w:p>
      <w:pPr>
        <w:ind w:left="660" w:right="340" w:hanging="328"/>
        <w:spacing w:after="0" w:line="237" w:lineRule="auto"/>
        <w:tabs>
          <w:tab w:leader="none" w:pos="656" w:val="left"/>
        </w:tabs>
        <w:numPr>
          <w:ilvl w:val="0"/>
          <w:numId w:val="3"/>
        </w:numPr>
        <w:rPr>
          <w:rFonts w:ascii="Arial" w:cs="Arial" w:eastAsia="Arial" w:hAnsi="Arial"/>
          <w:sz w:val="14"/>
          <w:szCs w:val="14"/>
          <w:b w:val="1"/>
          <w:bCs w:val="1"/>
          <w:i w:val="1"/>
          <w:iCs w:val="1"/>
          <w:color w:val="auto"/>
        </w:rPr>
      </w:pPr>
      <w:r>
        <w:rPr>
          <w:rFonts w:ascii="Arial" w:cs="Arial" w:eastAsia="Arial" w:hAnsi="Arial"/>
          <w:sz w:val="16"/>
          <w:szCs w:val="16"/>
          <w:color w:val="auto"/>
        </w:rPr>
        <w:t>Launched multi-asset package trading for USD-denominated swaps, with the first trade executed on the Tradeweb swap execution facility ("TW SEF") between Barclays and a global hedge fund.</w:t>
      </w:r>
    </w:p>
    <w:p>
      <w:pPr>
        <w:spacing w:after="0" w:line="1" w:lineRule="exact"/>
        <w:rPr>
          <w:rFonts w:ascii="Arial" w:cs="Arial" w:eastAsia="Arial" w:hAnsi="Arial"/>
          <w:sz w:val="14"/>
          <w:szCs w:val="14"/>
          <w:b w:val="1"/>
          <w:bCs w:val="1"/>
          <w:i w:val="1"/>
          <w:iCs w:val="1"/>
          <w:color w:val="auto"/>
        </w:rPr>
      </w:pPr>
    </w:p>
    <w:p>
      <w:pPr>
        <w:ind w:left="660" w:right="160" w:hanging="328"/>
        <w:spacing w:after="0" w:line="22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Entered into a commercial collaboration with MAXEX, the digital exchange for trading U.S. residential mortgage loans through a single centralized clearinghouse, to expand access to the institutional marketplace for U.S. residential mortgages.</w:t>
      </w:r>
    </w:p>
    <w:p>
      <w:pPr>
        <w:spacing w:after="0" w:line="1" w:lineRule="exact"/>
        <w:rPr>
          <w:rFonts w:ascii="Arial" w:cs="Arial" w:eastAsia="Arial" w:hAnsi="Arial"/>
          <w:sz w:val="16"/>
          <w:szCs w:val="16"/>
          <w:color w:val="auto"/>
        </w:rPr>
      </w:pPr>
    </w:p>
    <w:p>
      <w:pPr>
        <w:ind w:left="660" w:right="60" w:hanging="328"/>
        <w:spacing w:after="0" w:line="237"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Completed the industry’s first fully electronic swaption termination, with the inaugural transaction between Citadel and Wells Fargo on TW SEF, and post-trade processing through OSTTRA’s MarkitWire platform.</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Completed the first ZARONIA OIS trade executed on Tradeweb, with Rand Merchant Bank (RMB) providing liquidity.</w:t>
      </w:r>
    </w:p>
    <w:p>
      <w:pPr>
        <w:spacing w:after="0" w:line="5" w:lineRule="exact"/>
        <w:rPr>
          <w:rFonts w:ascii="Arial" w:cs="Arial" w:eastAsia="Arial" w:hAnsi="Arial"/>
          <w:sz w:val="16"/>
          <w:szCs w:val="16"/>
          <w:color w:val="auto"/>
        </w:rPr>
      </w:pPr>
    </w:p>
    <w:p>
      <w:pPr>
        <w:ind w:left="660" w:right="160" w:hanging="328"/>
        <w:spacing w:after="0" w:line="248"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Introduced the Tradeweb Liquidity Cost Index in U.S. Rates, a new liquidity framework based on aggregated transaction data from our institutional rates trading platform.</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Frontier Markets</w:t>
      </w:r>
    </w:p>
    <w:p>
      <w:pPr>
        <w:spacing w:after="0" w:line="6" w:lineRule="exact"/>
        <w:rPr>
          <w:sz w:val="20"/>
          <w:szCs w:val="20"/>
          <w:color w:val="auto"/>
        </w:rPr>
      </w:pPr>
    </w:p>
    <w:p>
      <w:pPr>
        <w:ind w:left="660" w:right="20" w:hanging="328"/>
        <w:spacing w:after="0" w:line="23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Entered into a strategic partnership with Kalshi, the largest regulated prediction market, with the goal to expand institutional access to prediction market data and analytics and advance market infrastructure for prediction markets trading to institutional investors. Tradeweb also made a minority investment in Kalshi.</w:t>
      </w:r>
    </w:p>
    <w:p>
      <w:pPr>
        <w:spacing w:after="0" w:line="1" w:lineRule="exact"/>
        <w:rPr>
          <w:rFonts w:ascii="Arial" w:cs="Arial" w:eastAsia="Arial" w:hAnsi="Arial"/>
          <w:sz w:val="16"/>
          <w:szCs w:val="16"/>
          <w:color w:val="auto"/>
        </w:rPr>
      </w:pPr>
    </w:p>
    <w:p>
      <w:pPr>
        <w:ind w:left="660" w:right="100" w:hanging="328"/>
        <w:spacing w:after="0" w:line="237"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Led a $31 million Series B financing round of Crossover Markets, the institutional digital asset trading technology firm behind CROSSx. In addition, Tradeweb entered into a strategic partnership with Crossover Markets with the goal to provide institutional spot crypto liquidity to global clients.</w:t>
      </w:r>
    </w:p>
    <w:p>
      <w:pPr>
        <w:spacing w:after="0" w:line="1" w:lineRule="exact"/>
        <w:rPr>
          <w:rFonts w:ascii="Arial" w:cs="Arial" w:eastAsia="Arial" w:hAnsi="Arial"/>
          <w:sz w:val="16"/>
          <w:szCs w:val="16"/>
          <w:color w:val="auto"/>
        </w:rPr>
      </w:pPr>
    </w:p>
    <w:p>
      <w:pPr>
        <w:ind w:left="660" w:right="280" w:hanging="328"/>
        <w:spacing w:after="0" w:line="265"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Participated in the fourth set of on-chain repo transactions completed on the Canton Network, which included the first cross-border intraday repo using tokenized Gilts and the first cross-currency intraday repo executed with tokenized Gilts against non-GBP tokenized deposits.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Corporate</w:t>
      </w:r>
    </w:p>
    <w:p>
      <w:pPr>
        <w:spacing w:after="0" w:line="19"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b w:val="1"/>
          <w:bCs w:val="1"/>
          <w:i w:val="1"/>
          <w:iCs w:val="1"/>
          <w:color w:val="auto"/>
        </w:rPr>
      </w:pPr>
      <w:r>
        <w:rPr>
          <w:rFonts w:ascii="Arial" w:cs="Arial" w:eastAsia="Arial" w:hAnsi="Arial"/>
          <w:sz w:val="16"/>
          <w:szCs w:val="16"/>
          <w:color w:val="auto"/>
        </w:rPr>
        <w:t>Published the 2025 Tradeweb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Awards</w:t>
      </w:r>
    </w:p>
    <w:p>
      <w:pPr>
        <w:spacing w:after="0" w:line="6" w:lineRule="exact"/>
        <w:rPr>
          <w:sz w:val="20"/>
          <w:szCs w:val="20"/>
          <w:color w:val="auto"/>
        </w:rPr>
      </w:pPr>
    </w:p>
    <w:p>
      <w:pPr>
        <w:ind w:left="660" w:right="80" w:hanging="328"/>
        <w:spacing w:after="0" w:line="237"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Recognized in numerous awards celebrating our company and employees, including: </w:t>
      </w:r>
      <w:r>
        <w:rPr>
          <w:rFonts w:ascii="Arial" w:cs="Arial" w:eastAsia="Arial" w:hAnsi="Arial"/>
          <w:sz w:val="16"/>
          <w:szCs w:val="16"/>
          <w:i w:val="1"/>
          <w:iCs w:val="1"/>
          <w:color w:val="auto"/>
        </w:rPr>
        <w:t>Vendor Professional of the Year (Trading &amp; Risk) – Olivia</w:t>
      </w:r>
      <w:r>
        <w:rPr>
          <w:rFonts w:ascii="Arial" w:cs="Arial" w:eastAsia="Arial" w:hAnsi="Arial"/>
          <w:sz w:val="16"/>
          <w:szCs w:val="16"/>
          <w:color w:val="auto"/>
        </w:rPr>
        <w:t xml:space="preserve"> </w:t>
      </w:r>
      <w:r>
        <w:rPr>
          <w:rFonts w:ascii="Arial" w:cs="Arial" w:eastAsia="Arial" w:hAnsi="Arial"/>
          <w:sz w:val="16"/>
          <w:szCs w:val="16"/>
          <w:i w:val="1"/>
          <w:iCs w:val="1"/>
          <w:color w:val="auto"/>
        </w:rPr>
        <w:t>Timms (WatersTechnology); Best RFQ Platform of the Year – Tradeweb (ETF Express European Awards 2026); Fixed Income Platform of the Year</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6"/>
          <w:szCs w:val="16"/>
          <w:i w:val="1"/>
          <w:iCs w:val="1"/>
          <w:color w:val="auto"/>
        </w:rPr>
        <w:t>– Tradeweb (FOW International Awards 2026)</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CAPITAL MANAGEMENT</w:t>
      </w:r>
    </w:p>
    <w:p>
      <w:pPr>
        <w:spacing w:after="0" w:line="113" w:lineRule="exact"/>
        <w:rPr>
          <w:sz w:val="20"/>
          <w:szCs w:val="20"/>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$1.9 billion in cash and cash equivalents and an undrawn $500 million credit facility at March 31, 2026</w:t>
      </w:r>
    </w:p>
    <w:p>
      <w:pPr>
        <w:spacing w:after="0" w:line="21"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March 31, 2026, we held 1.6 billion Canton Coins, valued at $243.5 million</w:t>
      </w:r>
    </w:p>
    <w:p>
      <w:pPr>
        <w:spacing w:after="0" w:line="16" w:lineRule="exact"/>
        <w:rPr>
          <w:rFonts w:ascii="Arial" w:cs="Arial" w:eastAsia="Arial" w:hAnsi="Arial"/>
          <w:sz w:val="16"/>
          <w:szCs w:val="16"/>
          <w:color w:val="auto"/>
        </w:rPr>
      </w:pPr>
    </w:p>
    <w:p>
      <w:pPr>
        <w:ind w:left="660" w:right="540" w:hanging="328"/>
        <w:spacing w:after="0" w:line="250"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6"/>
          <w:szCs w:val="16"/>
          <w:color w:val="auto"/>
        </w:rPr>
        <w:t>Free cash flow for the trailing twelve months ended March 31, 2026 of $1.1 billion, up 31.5% compared to prior year period. See “Non-GAAP Financial Measures” for additional information</w:t>
      </w: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paid for capital expenditures and capitalized software development during the first quarter of 2026 of $27.1 million</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Cash paid for investments during the first quarter of 2026 of $50.2 million</w:t>
      </w:r>
    </w:p>
    <w:p>
      <w:pPr>
        <w:spacing w:after="0" w:line="8" w:lineRule="exact"/>
        <w:rPr>
          <w:rFonts w:ascii="Arial" w:cs="Arial" w:eastAsia="Arial" w:hAnsi="Arial"/>
          <w:sz w:val="16"/>
          <w:szCs w:val="16"/>
          <w:color w:val="auto"/>
        </w:rPr>
      </w:pPr>
    </w:p>
    <w:p>
      <w:pPr>
        <w:ind w:left="660" w:right="520" w:hanging="328"/>
        <w:spacing w:after="0" w:line="252"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During the first quarter of 2026, Tradeweb purchased a total of 482,621 shares of Class A common stock, at an average price of $105.10, for purchases totaling $50.7 million. As of March 31, 2026, an aggregate of $523.2 million in share repurchase authorization remained</w:t>
      </w:r>
    </w:p>
    <w:p>
      <w:pPr>
        <w:spacing w:after="0" w:line="1" w:lineRule="exact"/>
        <w:rPr>
          <w:rFonts w:ascii="Arial" w:cs="Arial" w:eastAsia="Arial" w:hAnsi="Arial"/>
          <w:sz w:val="16"/>
          <w:szCs w:val="16"/>
          <w:color w:val="auto"/>
        </w:rPr>
      </w:pPr>
    </w:p>
    <w:p>
      <w:pPr>
        <w:ind w:left="660" w:right="360" w:hanging="328"/>
        <w:spacing w:after="0" w:line="255"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$85.0 million in shares of Class A common stock were withheld during the first quarter of 2026 to satisfy tax obligations related to the vesting of employee stock-based compensation awards</w:t>
      </w:r>
    </w:p>
    <w:p>
      <w:pPr>
        <w:ind w:left="660" w:right="580" w:hanging="328"/>
        <w:spacing w:after="0" w:line="270" w:lineRule="auto"/>
        <w:tabs>
          <w:tab w:leader="none" w:pos="649"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Board declared a quarterly cash dividend of $0.14 per share of Class A common stock and Class B common stock. The dividend will be payable on June 15, 2026 to stockholders of record as of June 1, 2026</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3</w:t>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083566"/>
        </w:rPr>
        <w:t>OTHER MATTERS</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Updated Full-Year 2026 Guidance*</w:t>
      </w:r>
    </w:p>
    <w:p>
      <w:pPr>
        <w:spacing w:after="0" w:line="127"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Expenses: $1,100 - 1,160 million (trending towards the top half of the range)</w:t>
      </w:r>
    </w:p>
    <w:p>
      <w:pPr>
        <w:spacing w:after="0" w:line="30"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6"/>
          <w:szCs w:val="16"/>
          <w:color w:val="auto"/>
        </w:rPr>
        <w:t>Acquisition and Refinitiv Transaction related depreciation and amortization expense: $160 million</w:t>
      </w:r>
    </w:p>
    <w:p>
      <w:pPr>
        <w:spacing w:after="0" w:line="4" w:lineRule="exact"/>
        <w:rPr>
          <w:rFonts w:ascii="Arial" w:cs="Arial" w:eastAsia="Arial" w:hAnsi="Arial"/>
          <w:sz w:val="18"/>
          <w:szCs w:val="18"/>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Assumed non-GAAP tax rate: ~23.5% - 24.5%</w:t>
      </w:r>
    </w:p>
    <w:p>
      <w:pPr>
        <w:spacing w:after="0" w:line="14"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Cash capital expenditures and capitalized software development: ~$107 - 117 million</w:t>
      </w:r>
    </w:p>
    <w:p>
      <w:pPr>
        <w:spacing w:after="0" w:line="8" w:lineRule="exact"/>
        <w:rPr>
          <w:rFonts w:ascii="Arial" w:cs="Arial" w:eastAsia="Arial" w:hAnsi="Arial"/>
          <w:sz w:val="16"/>
          <w:szCs w:val="16"/>
          <w:color w:val="auto"/>
        </w:rPr>
      </w:pPr>
    </w:p>
    <w:p>
      <w:pPr>
        <w:ind w:left="640" w:hanging="308"/>
        <w:spacing w:after="0"/>
        <w:tabs>
          <w:tab w:leader="none" w:pos="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LSEG Market Data Contract Revenue: ~$105 million</w:t>
      </w:r>
    </w:p>
    <w:p>
      <w:pPr>
        <w:spacing w:after="0" w:line="5" w:lineRule="exact"/>
        <w:rPr>
          <w:sz w:val="20"/>
          <w:szCs w:val="20"/>
          <w:color w:val="auto"/>
        </w:rPr>
      </w:pPr>
    </w:p>
    <w:p>
      <w:pPr>
        <w:jc w:val="both"/>
        <w:ind w:right="20"/>
        <w:spacing w:after="0" w:line="264" w:lineRule="auto"/>
        <w:rPr>
          <w:sz w:val="20"/>
          <w:szCs w:val="20"/>
          <w:color w:val="auto"/>
        </w:rPr>
      </w:pPr>
      <w:r>
        <w:rPr>
          <w:rFonts w:ascii="Arial" w:cs="Arial" w:eastAsia="Arial" w:hAnsi="Arial"/>
          <w:sz w:val="16"/>
          <w:szCs w:val="16"/>
          <w:color w:val="auto"/>
        </w:rPr>
        <w:t>The adjusted expense guidance has been revised to reflect the strong first quarter revenue growth coupled with our current expectations for the remainder of the year. Depreciation and amortization, assumed non-GAAP tax rate, expenditures and LSEG Market Data Contract Revenue guidance is unchanged from the guidance we provided last quarter.</w:t>
      </w:r>
    </w:p>
    <w:p>
      <w:pPr>
        <w:spacing w:after="0" w:line="221" w:lineRule="exact"/>
        <w:rPr>
          <w:sz w:val="20"/>
          <w:szCs w:val="20"/>
          <w:color w:val="auto"/>
        </w:rPr>
      </w:pPr>
    </w:p>
    <w:p>
      <w:pPr>
        <w:ind w:left="340" w:right="400"/>
        <w:spacing w:after="0" w:line="282" w:lineRule="auto"/>
        <w:rPr>
          <w:sz w:val="20"/>
          <w:szCs w:val="20"/>
          <w:color w:val="auto"/>
        </w:rPr>
      </w:pPr>
      <w:r>
        <w:rPr>
          <w:rFonts w:ascii="Arial" w:cs="Arial" w:eastAsia="Arial" w:hAnsi="Arial"/>
          <w:sz w:val="14"/>
          <w:szCs w:val="14"/>
          <w:i w:val="1"/>
          <w:iCs w:val="1"/>
          <w:color w:val="auto"/>
        </w:rPr>
        <w:t>*GAAP operating expenses and tax rate guidance are not provided due to the inherent difficulty in quantifying certain amounts due to a variety of factors including the unpredictability in the movement of foreign currency rates. Expense guidance assumes an average 2026 Sterling/US$ foreign exchange rate of 1.32.</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CONFERENCE CALL</w:t>
      </w:r>
    </w:p>
    <w:p>
      <w:pPr>
        <w:spacing w:after="0" w:line="12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 xml:space="preserve">Tradeweb Markets will hold a conference call to discuss first quarter 2026 results starting at 9:30 AM EDT today, April 29, 2026. A live, audio webcast of the conference call along with related presentation materials will be available at </w:t>
      </w:r>
      <w:r>
        <w:rPr>
          <w:rFonts w:ascii="Arial" w:cs="Arial" w:eastAsia="Arial" w:hAnsi="Arial"/>
          <w:sz w:val="16"/>
          <w:szCs w:val="16"/>
          <w:u w:val="single" w:color="auto"/>
          <w:color w:val="0E32E1"/>
        </w:rPr>
        <w:t>https://investors.tradeweb.com/events-and-presentations</w:t>
      </w:r>
      <w:r>
        <w:rPr>
          <w:rFonts w:ascii="Arial" w:cs="Arial" w:eastAsia="Arial" w:hAnsi="Arial"/>
          <w:sz w:val="16"/>
          <w:szCs w:val="16"/>
          <w:color w:val="auto"/>
        </w:rPr>
        <w:t>.</w:t>
      </w:r>
    </w:p>
    <w:p>
      <w:pPr>
        <w:spacing w:after="0" w:line="194"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0"/>
          <w:szCs w:val="20"/>
          <w:color w:val="auto"/>
        </w:rPr>
      </w:pPr>
      <w:r>
        <w:rPr>
          <w:rFonts w:ascii="Arial" w:cs="Arial" w:eastAsia="Arial" w:hAnsi="Arial"/>
          <w:sz w:val="16"/>
          <w:szCs w:val="16"/>
          <w:color w:val="auto"/>
        </w:rPr>
        <w:t xml:space="preserve">To join the call via audio webcast, click here: </w:t>
      </w:r>
      <w:r>
        <w:rPr>
          <w:rFonts w:ascii="Arial" w:cs="Arial" w:eastAsia="Arial" w:hAnsi="Arial"/>
          <w:sz w:val="16"/>
          <w:szCs w:val="16"/>
          <w:u w:val="single" w:color="auto"/>
          <w:color w:val="0E32E1"/>
        </w:rPr>
        <w:t>https://edge.media-server.com/mmc/p/ikpqwqhu/</w:t>
      </w:r>
    </w:p>
    <w:p>
      <w:pPr>
        <w:spacing w:after="0" w:line="12" w:lineRule="exact"/>
        <w:rPr>
          <w:rFonts w:ascii="Arial" w:cs="Arial" w:eastAsia="Arial" w:hAnsi="Arial"/>
          <w:sz w:val="20"/>
          <w:szCs w:val="20"/>
          <w:color w:val="auto"/>
        </w:rPr>
      </w:pPr>
    </w:p>
    <w:p>
      <w:pPr>
        <w:ind w:left="660" w:right="60" w:hanging="328"/>
        <w:spacing w:after="0" w:line="220" w:lineRule="auto"/>
        <w:tabs>
          <w:tab w:leader="none" w:pos="648" w:val="left"/>
        </w:tabs>
        <w:numPr>
          <w:ilvl w:val="0"/>
          <w:numId w:val="9"/>
        </w:numPr>
        <w:rPr>
          <w:rFonts w:ascii="Arial" w:cs="Arial" w:eastAsia="Arial" w:hAnsi="Arial"/>
          <w:sz w:val="20"/>
          <w:szCs w:val="20"/>
          <w:color w:val="auto"/>
        </w:rPr>
      </w:pPr>
      <w:r>
        <w:rPr>
          <w:rFonts w:ascii="Arial" w:cs="Arial" w:eastAsia="Arial" w:hAnsi="Arial"/>
          <w:sz w:val="16"/>
          <w:szCs w:val="16"/>
          <w:color w:val="auto"/>
        </w:rPr>
        <w:t xml:space="preserve">To join the call via phone, please register in advance here: </w:t>
      </w:r>
      <w:r>
        <w:rPr>
          <w:rFonts w:ascii="Arial" w:cs="Arial" w:eastAsia="Arial" w:hAnsi="Arial"/>
          <w:sz w:val="16"/>
          <w:szCs w:val="16"/>
          <w:u w:val="single" w:color="auto"/>
          <w:color w:val="0E32E1"/>
        </w:rPr>
        <w:t>https://register-conf.media-server.com/register/BI0fdfcd5d9b214bd1b917b1d75e9c0a4a</w:t>
      </w:r>
      <w:r>
        <w:rPr>
          <w:rFonts w:ascii="Arial" w:cs="Arial" w:eastAsia="Arial" w:hAnsi="Arial"/>
          <w:sz w:val="16"/>
          <w:szCs w:val="16"/>
          <w:color w:val="auto"/>
        </w:rPr>
        <w:t>. Registered participants will receive an email confirmation with a unique PIN to access the conference call.</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An archived recording of the call will be available afterward at </w:t>
      </w:r>
      <w:r>
        <w:rPr>
          <w:rFonts w:ascii="Arial" w:cs="Arial" w:eastAsia="Arial" w:hAnsi="Arial"/>
          <w:sz w:val="16"/>
          <w:szCs w:val="16"/>
          <w:u w:val="single" w:color="auto"/>
          <w:color w:val="0E32E1"/>
        </w:rPr>
        <w:t>https://investors.tradeweb.com</w:t>
      </w:r>
      <w:r>
        <w:rPr>
          <w:rFonts w:ascii="Arial" w:cs="Arial" w:eastAsia="Arial" w:hAnsi="Arial"/>
          <w:sz w:val="16"/>
          <w:szCs w:val="16"/>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ABOUT TRADEWEB MARKETS</w:t>
      </w:r>
    </w:p>
    <w:p>
      <w:pPr>
        <w:spacing w:after="0" w:line="113"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50 products to clients in the institutional, wholesale, retail and corporates markets. Advanced technologies developed by Tradeweb enhance price discovery, order execution and trade workflows while allowing for greater scale and helping to reduce risks in client trading operations. Tradeweb serves more than 3,000 clients in more than 85 countries. On average, Tradeweb facilitated more than $2.8 trillion in notional value traded per day over the past four fiscal quarters. For more information, please go to </w:t>
      </w:r>
      <w:r>
        <w:rPr>
          <w:rFonts w:ascii="Arial" w:cs="Arial" w:eastAsia="Arial" w:hAnsi="Arial"/>
          <w:sz w:val="16"/>
          <w:szCs w:val="16"/>
          <w:u w:val="single" w:color="auto"/>
          <w:color w:val="0E32E1"/>
        </w:rPr>
        <w:t>www.tradeweb.com</w:t>
      </w:r>
      <w:r>
        <w:rPr>
          <w:rFonts w:ascii="Arial" w:cs="Arial" w:eastAsia="Arial" w:hAnsi="Arial"/>
          <w:sz w:val="16"/>
          <w:szCs w:val="16"/>
          <w:color w:val="0E32E1"/>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4</w:t>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CONSOLIDATED STATEMENTS OF INCOME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9"/>
                <w:szCs w:val="19"/>
                <w:color w:val="auto"/>
              </w:rPr>
            </w:pPr>
          </w:p>
        </w:tc>
      </w:tr>
      <w:tr>
        <w:trPr>
          <w:trHeight w:val="247"/>
        </w:trPr>
        <w:tc>
          <w:tcPr>
            <w:tcW w:w="7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1120" w:type="dxa"/>
            <w:vAlign w:val="bottom"/>
            <w:tcBorders>
              <w:bottom w:val="single" w:sz="8" w:color="auto"/>
            </w:tcBorders>
          </w:tcPr>
          <w:p>
            <w:pPr>
              <w:spacing w:after="0"/>
              <w:rPr>
                <w:sz w:val="21"/>
                <w:szCs w:val="21"/>
                <w:color w:val="auto"/>
              </w:rPr>
            </w:pPr>
          </w:p>
        </w:tc>
      </w:tr>
      <w:tr>
        <w:trPr>
          <w:trHeight w:val="237"/>
        </w:trPr>
        <w:tc>
          <w:tcPr>
            <w:tcW w:w="7100" w:type="dxa"/>
            <w:vAlign w:val="bottom"/>
            <w:tcBorders>
              <w:bottom w:val="single" w:sz="8" w:color="D5DCE4"/>
            </w:tcBorders>
          </w:tcPr>
          <w:p>
            <w:pPr>
              <w:spacing w:after="0"/>
              <w:rPr>
                <w:sz w:val="20"/>
                <w:szCs w:val="20"/>
                <w:color w:val="auto"/>
              </w:rPr>
            </w:pPr>
          </w:p>
        </w:tc>
        <w:tc>
          <w:tcPr>
            <w:tcW w:w="280" w:type="dxa"/>
            <w:vAlign w:val="bottom"/>
            <w:tcBorders>
              <w:bottom w:val="single" w:sz="8" w:color="D5DCE4"/>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D5DCE4"/>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w w:val="95"/>
              </w:rPr>
              <w:t>2025</w:t>
            </w:r>
          </w:p>
        </w:tc>
      </w:tr>
      <w:tr>
        <w:trPr>
          <w:trHeight w:val="227"/>
        </w:trPr>
        <w:tc>
          <w:tcPr>
            <w:tcW w:w="710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Revenues</w:t>
            </w:r>
          </w:p>
        </w:tc>
        <w:tc>
          <w:tcPr>
            <w:tcW w:w="4140" w:type="dxa"/>
            <w:vAlign w:val="bottom"/>
            <w:gridSpan w:val="6"/>
            <w:shd w:val="clear" w:color="auto" w:fill="D5DCE4"/>
          </w:tcPr>
          <w:p>
            <w:pPr>
              <w:jc w:val="right"/>
              <w:spacing w:after="0"/>
              <w:rPr>
                <w:sz w:val="20"/>
                <w:szCs w:val="20"/>
                <w:color w:val="auto"/>
              </w:rPr>
            </w:pPr>
            <w:r>
              <w:rPr>
                <w:rFonts w:ascii="Arial" w:cs="Arial" w:eastAsia="Arial" w:hAnsi="Arial"/>
                <w:sz w:val="16"/>
                <w:szCs w:val="16"/>
                <w:b w:val="1"/>
                <w:bCs w:val="1"/>
                <w:color w:val="auto"/>
              </w:rPr>
              <w:t>(dollars in thousands, except per share amounts)</w:t>
            </w:r>
          </w:p>
        </w:tc>
      </w:tr>
      <w:tr>
        <w:trPr>
          <w:trHeight w:val="235"/>
        </w:trPr>
        <w:tc>
          <w:tcPr>
            <w:tcW w:w="7100" w:type="dxa"/>
            <w:vAlign w:val="bottom"/>
          </w:tcPr>
          <w:p>
            <w:pPr>
              <w:ind w:left="140"/>
              <w:spacing w:after="0"/>
              <w:rPr>
                <w:sz w:val="20"/>
                <w:szCs w:val="20"/>
                <w:color w:val="auto"/>
              </w:rPr>
            </w:pPr>
            <w:r>
              <w:rPr>
                <w:rFonts w:ascii="Arial" w:cs="Arial" w:eastAsia="Arial" w:hAnsi="Arial"/>
                <w:sz w:val="16"/>
                <w:szCs w:val="16"/>
                <w:color w:val="auto"/>
              </w:rPr>
              <w:t>Transaction fees and commissions</w:t>
            </w:r>
          </w:p>
        </w:tc>
        <w:tc>
          <w:tcPr>
            <w:tcW w:w="72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523,833</w:t>
            </w:r>
          </w:p>
        </w:tc>
        <w:tc>
          <w:tcPr>
            <w:tcW w:w="80" w:type="dxa"/>
            <w:vAlign w:val="bottom"/>
          </w:tcPr>
          <w:p>
            <w:pPr>
              <w:spacing w:after="0"/>
              <w:rPr>
                <w:sz w:val="20"/>
                <w:szCs w:val="20"/>
                <w:color w:val="auto"/>
              </w:rPr>
            </w:pP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421,344</w:t>
            </w:r>
          </w:p>
        </w:tc>
      </w:tr>
      <w:tr>
        <w:trPr>
          <w:trHeight w:val="251"/>
        </w:trPr>
        <w:tc>
          <w:tcPr>
            <w:tcW w:w="71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Subscription fees</w:t>
            </w:r>
          </w:p>
        </w:tc>
        <w:tc>
          <w:tcPr>
            <w:tcW w:w="2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60,273</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55,777</w:t>
            </w:r>
          </w:p>
        </w:tc>
      </w:tr>
      <w:tr>
        <w:trPr>
          <w:trHeight w:val="235"/>
        </w:trPr>
        <w:tc>
          <w:tcPr>
            <w:tcW w:w="7100" w:type="dxa"/>
            <w:vAlign w:val="bottom"/>
          </w:tcPr>
          <w:p>
            <w:pPr>
              <w:ind w:left="140"/>
              <w:spacing w:after="0"/>
              <w:rPr>
                <w:sz w:val="20"/>
                <w:szCs w:val="20"/>
                <w:color w:val="auto"/>
              </w:rPr>
            </w:pPr>
            <w:r>
              <w:rPr>
                <w:rFonts w:ascii="Arial" w:cs="Arial" w:eastAsia="Arial" w:hAnsi="Arial"/>
                <w:sz w:val="16"/>
                <w:szCs w:val="16"/>
                <w:color w:val="auto"/>
              </w:rPr>
              <w:t>LSEG market data fees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26,742</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28,925</w:t>
            </w:r>
          </w:p>
        </w:tc>
      </w:tr>
      <w:tr>
        <w:trPr>
          <w:trHeight w:val="251"/>
        </w:trPr>
        <w:tc>
          <w:tcPr>
            <w:tcW w:w="71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6,916</w:t>
            </w:r>
          </w:p>
        </w:tc>
        <w:tc>
          <w:tcPr>
            <w:tcW w:w="80" w:type="dxa"/>
            <w:vAlign w:val="bottom"/>
            <w:shd w:val="clear" w:color="auto" w:fill="D5DCE4"/>
          </w:tcPr>
          <w:p>
            <w:pPr>
              <w:spacing w:after="0"/>
              <w:rPr>
                <w:sz w:val="21"/>
                <w:szCs w:val="21"/>
                <w:color w:val="auto"/>
              </w:rPr>
            </w:pPr>
          </w:p>
        </w:tc>
        <w:tc>
          <w:tcPr>
            <w:tcW w:w="780" w:type="dxa"/>
            <w:vAlign w:val="bottom"/>
            <w:tcBorders>
              <w:bottom w:val="single" w:sz="8" w:color="auto"/>
            </w:tcBorders>
            <w:shd w:val="clear" w:color="auto" w:fill="D5DCE4"/>
          </w:tcPr>
          <w:p>
            <w:pPr>
              <w:spacing w:after="0"/>
              <w:rPr>
                <w:sz w:val="21"/>
                <w:szCs w:val="21"/>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3,631</w:t>
            </w:r>
          </w:p>
        </w:tc>
      </w:tr>
      <w:tr>
        <w:trPr>
          <w:trHeight w:val="233"/>
        </w:trPr>
        <w:tc>
          <w:tcPr>
            <w:tcW w:w="7100" w:type="dxa"/>
            <w:vAlign w:val="bottom"/>
          </w:tcPr>
          <w:p>
            <w:pPr>
              <w:ind w:left="220"/>
              <w:spacing w:after="0"/>
              <w:rPr>
                <w:sz w:val="20"/>
                <w:szCs w:val="20"/>
                <w:color w:val="auto"/>
              </w:rPr>
            </w:pPr>
            <w:r>
              <w:rPr>
                <w:rFonts w:ascii="Arial" w:cs="Arial" w:eastAsia="Arial" w:hAnsi="Arial"/>
                <w:sz w:val="16"/>
                <w:szCs w:val="16"/>
                <w:b w:val="1"/>
                <w:bCs w:val="1"/>
                <w:color w:val="auto"/>
              </w:rPr>
              <w:t>Total revenue</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617,764</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509,677</w:t>
            </w:r>
          </w:p>
        </w:tc>
      </w:tr>
      <w:tr>
        <w:trPr>
          <w:trHeight w:val="274"/>
        </w:trPr>
        <w:tc>
          <w:tcPr>
            <w:tcW w:w="7100" w:type="dxa"/>
            <w:vAlign w:val="bottom"/>
            <w:shd w:val="clear" w:color="auto" w:fill="D5DCE4"/>
          </w:tcPr>
          <w:p>
            <w:pPr>
              <w:spacing w:after="0"/>
              <w:rPr>
                <w:sz w:val="23"/>
                <w:szCs w:val="23"/>
                <w:color w:val="auto"/>
              </w:rPr>
            </w:pPr>
          </w:p>
        </w:tc>
        <w:tc>
          <w:tcPr>
            <w:tcW w:w="280" w:type="dxa"/>
            <w:vAlign w:val="bottom"/>
            <w:shd w:val="clear" w:color="auto" w:fill="D5DCE4"/>
          </w:tcPr>
          <w:p>
            <w:pPr>
              <w:spacing w:after="0"/>
              <w:rPr>
                <w:sz w:val="23"/>
                <w:szCs w:val="23"/>
                <w:color w:val="auto"/>
              </w:rPr>
            </w:pPr>
          </w:p>
        </w:tc>
        <w:tc>
          <w:tcPr>
            <w:tcW w:w="440" w:type="dxa"/>
            <w:vAlign w:val="bottom"/>
            <w:shd w:val="clear" w:color="auto" w:fill="D5DCE4"/>
          </w:tcPr>
          <w:p>
            <w:pPr>
              <w:spacing w:after="0"/>
              <w:rPr>
                <w:sz w:val="23"/>
                <w:szCs w:val="23"/>
                <w:color w:val="auto"/>
              </w:rPr>
            </w:pPr>
          </w:p>
        </w:tc>
        <w:tc>
          <w:tcPr>
            <w:tcW w:w="1440" w:type="dxa"/>
            <w:vAlign w:val="bottom"/>
            <w:shd w:val="clear" w:color="auto" w:fill="D5DCE4"/>
          </w:tcPr>
          <w:p>
            <w:pPr>
              <w:spacing w:after="0"/>
              <w:rPr>
                <w:sz w:val="23"/>
                <w:szCs w:val="23"/>
                <w:color w:val="auto"/>
              </w:rPr>
            </w:pPr>
          </w:p>
        </w:tc>
        <w:tc>
          <w:tcPr>
            <w:tcW w:w="80" w:type="dxa"/>
            <w:vAlign w:val="bottom"/>
            <w:shd w:val="clear" w:color="auto" w:fill="D5DCE4"/>
          </w:tcPr>
          <w:p>
            <w:pPr>
              <w:spacing w:after="0"/>
              <w:rPr>
                <w:sz w:val="23"/>
                <w:szCs w:val="23"/>
                <w:color w:val="auto"/>
              </w:rPr>
            </w:pPr>
          </w:p>
        </w:tc>
        <w:tc>
          <w:tcPr>
            <w:tcW w:w="780" w:type="dxa"/>
            <w:vAlign w:val="bottom"/>
            <w:shd w:val="clear" w:color="auto" w:fill="D5DCE4"/>
          </w:tcPr>
          <w:p>
            <w:pPr>
              <w:spacing w:after="0"/>
              <w:rPr>
                <w:sz w:val="23"/>
                <w:szCs w:val="23"/>
                <w:color w:val="auto"/>
              </w:rPr>
            </w:pPr>
          </w:p>
        </w:tc>
        <w:tc>
          <w:tcPr>
            <w:tcW w:w="1120" w:type="dxa"/>
            <w:vAlign w:val="bottom"/>
            <w:shd w:val="clear" w:color="auto" w:fill="D5DCE4"/>
          </w:tcPr>
          <w:p>
            <w:pPr>
              <w:spacing w:after="0"/>
              <w:rPr>
                <w:sz w:val="23"/>
                <w:szCs w:val="23"/>
                <w:color w:val="auto"/>
              </w:rPr>
            </w:pPr>
          </w:p>
        </w:tc>
      </w:tr>
      <w:tr>
        <w:trPr>
          <w:trHeight w:val="239"/>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7"/>
        </w:trPr>
        <w:tc>
          <w:tcPr>
            <w:tcW w:w="71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Employee compensation and benefits</w:t>
            </w:r>
          </w:p>
        </w:tc>
        <w:tc>
          <w:tcPr>
            <w:tcW w:w="2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197,793</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176,877</w:t>
            </w:r>
          </w:p>
        </w:tc>
      </w:tr>
      <w:tr>
        <w:trPr>
          <w:trHeight w:val="235"/>
        </w:trPr>
        <w:tc>
          <w:tcPr>
            <w:tcW w:w="710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60,709</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62,699</w:t>
            </w:r>
          </w:p>
        </w:tc>
      </w:tr>
      <w:tr>
        <w:trPr>
          <w:trHeight w:val="251"/>
        </w:trPr>
        <w:tc>
          <w:tcPr>
            <w:tcW w:w="71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Technology and communications</w:t>
            </w:r>
          </w:p>
        </w:tc>
        <w:tc>
          <w:tcPr>
            <w:tcW w:w="2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39,549</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28,728</w:t>
            </w:r>
          </w:p>
        </w:tc>
      </w:tr>
      <w:tr>
        <w:trPr>
          <w:trHeight w:val="235"/>
        </w:trPr>
        <w:tc>
          <w:tcPr>
            <w:tcW w:w="710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11,944</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19,740</w:t>
            </w:r>
          </w:p>
        </w:tc>
      </w:tr>
      <w:tr>
        <w:trPr>
          <w:trHeight w:val="251"/>
        </w:trPr>
        <w:tc>
          <w:tcPr>
            <w:tcW w:w="71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Professional fees</w:t>
            </w:r>
          </w:p>
        </w:tc>
        <w:tc>
          <w:tcPr>
            <w:tcW w:w="2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12,324</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12,458</w:t>
            </w:r>
          </w:p>
        </w:tc>
      </w:tr>
      <w:tr>
        <w:trPr>
          <w:trHeight w:val="237"/>
        </w:trPr>
        <w:tc>
          <w:tcPr>
            <w:tcW w:w="7100" w:type="dxa"/>
            <w:vAlign w:val="bottom"/>
            <w:tcBorders>
              <w:bottom w:val="single" w:sz="8" w:color="D5DCE4"/>
            </w:tcBorders>
          </w:tcPr>
          <w:p>
            <w:pPr>
              <w:ind w:left="140"/>
              <w:spacing w:after="0"/>
              <w:rPr>
                <w:sz w:val="20"/>
                <w:szCs w:val="20"/>
                <w:color w:val="auto"/>
              </w:rPr>
            </w:pPr>
            <w:r>
              <w:rPr>
                <w:rFonts w:ascii="Arial" w:cs="Arial" w:eastAsia="Arial" w:hAnsi="Arial"/>
                <w:sz w:val="16"/>
                <w:szCs w:val="16"/>
                <w:color w:val="auto"/>
              </w:rPr>
              <w:t>Occupancy</w:t>
            </w:r>
          </w:p>
        </w:tc>
        <w:tc>
          <w:tcPr>
            <w:tcW w:w="280" w:type="dxa"/>
            <w:vAlign w:val="bottom"/>
            <w:tcBorders>
              <w:bottom w:val="single" w:sz="8" w:color="D5DCE4"/>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8,192</w:t>
            </w:r>
          </w:p>
        </w:tc>
        <w:tc>
          <w:tcPr>
            <w:tcW w:w="80" w:type="dxa"/>
            <w:vAlign w:val="bottom"/>
            <w:tcBorders>
              <w:bottom w:val="single" w:sz="8" w:color="D5DCE4"/>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5,074</w:t>
            </w:r>
          </w:p>
        </w:tc>
      </w:tr>
      <w:tr>
        <w:trPr>
          <w:trHeight w:val="243"/>
        </w:trPr>
        <w:tc>
          <w:tcPr>
            <w:tcW w:w="7100" w:type="dxa"/>
            <w:vAlign w:val="bottom"/>
            <w:shd w:val="clear" w:color="auto" w:fill="D5DCE4"/>
          </w:tcPr>
          <w:p>
            <w:pPr>
              <w:ind w:left="220"/>
              <w:spacing w:after="0"/>
              <w:rPr>
                <w:sz w:val="20"/>
                <w:szCs w:val="20"/>
                <w:color w:val="auto"/>
              </w:rPr>
            </w:pPr>
            <w:r>
              <w:rPr>
                <w:rFonts w:ascii="Arial" w:cs="Arial" w:eastAsia="Arial" w:hAnsi="Arial"/>
                <w:sz w:val="16"/>
                <w:szCs w:val="16"/>
                <w:b w:val="1"/>
                <w:bCs w:val="1"/>
                <w:color w:val="auto"/>
              </w:rPr>
              <w:t>Total expenses</w:t>
            </w:r>
          </w:p>
        </w:tc>
        <w:tc>
          <w:tcPr>
            <w:tcW w:w="2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330,511</w:t>
            </w:r>
          </w:p>
        </w:tc>
        <w:tc>
          <w:tcPr>
            <w:tcW w:w="80" w:type="dxa"/>
            <w:vAlign w:val="bottom"/>
            <w:shd w:val="clear" w:color="auto" w:fill="D5DCE4"/>
          </w:tcPr>
          <w:p>
            <w:pPr>
              <w:spacing w:after="0"/>
              <w:rPr>
                <w:sz w:val="21"/>
                <w:szCs w:val="21"/>
                <w:color w:val="auto"/>
              </w:rPr>
            </w:pPr>
          </w:p>
        </w:tc>
        <w:tc>
          <w:tcPr>
            <w:tcW w:w="780" w:type="dxa"/>
            <w:vAlign w:val="bottom"/>
            <w:tcBorders>
              <w:bottom w:val="single" w:sz="8" w:color="auto"/>
            </w:tcBorders>
            <w:shd w:val="clear" w:color="auto" w:fill="D5DCE4"/>
          </w:tcPr>
          <w:p>
            <w:pPr>
              <w:spacing w:after="0"/>
              <w:rPr>
                <w:sz w:val="21"/>
                <w:szCs w:val="21"/>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305,576</w:t>
            </w:r>
          </w:p>
        </w:tc>
      </w:tr>
      <w:tr>
        <w:trPr>
          <w:trHeight w:val="233"/>
        </w:trPr>
        <w:tc>
          <w:tcPr>
            <w:tcW w:w="710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Operating income</w:t>
            </w:r>
          </w:p>
        </w:tc>
        <w:tc>
          <w:tcPr>
            <w:tcW w:w="280" w:type="dxa"/>
            <w:vAlign w:val="bottom"/>
            <w:tcBorders>
              <w:bottom w:val="single" w:sz="8" w:color="D5DCE4"/>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287,253</w:t>
            </w:r>
          </w:p>
        </w:tc>
        <w:tc>
          <w:tcPr>
            <w:tcW w:w="80" w:type="dxa"/>
            <w:vAlign w:val="bottom"/>
            <w:tcBorders>
              <w:bottom w:val="single" w:sz="8" w:color="D5DCE4"/>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204,101</w:t>
            </w:r>
          </w:p>
        </w:tc>
      </w:tr>
      <w:tr>
        <w:trPr>
          <w:trHeight w:val="240"/>
        </w:trPr>
        <w:tc>
          <w:tcPr>
            <w:tcW w:w="71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D5DCE4"/>
          </w:tcPr>
          <w:p>
            <w:pPr>
              <w:spacing w:after="0"/>
              <w:rPr>
                <w:sz w:val="20"/>
                <w:szCs w:val="20"/>
                <w:color w:val="auto"/>
              </w:rPr>
            </w:pPr>
          </w:p>
        </w:tc>
        <w:tc>
          <w:tcPr>
            <w:tcW w:w="440" w:type="dxa"/>
            <w:vAlign w:val="bottom"/>
            <w:shd w:val="clear" w:color="auto" w:fill="D5DCE4"/>
          </w:tcPr>
          <w:p>
            <w:pPr>
              <w:spacing w:after="0"/>
              <w:rPr>
                <w:sz w:val="20"/>
                <w:szCs w:val="20"/>
                <w:color w:val="auto"/>
              </w:rPr>
            </w:pP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17,451</w:t>
            </w:r>
          </w:p>
        </w:tc>
        <w:tc>
          <w:tcPr>
            <w:tcW w:w="80" w:type="dxa"/>
            <w:vAlign w:val="bottom"/>
            <w:shd w:val="clear" w:color="auto" w:fill="D5DCE4"/>
          </w:tcPr>
          <w:p>
            <w:pPr>
              <w:spacing w:after="0"/>
              <w:rPr>
                <w:sz w:val="20"/>
                <w:szCs w:val="20"/>
                <w:color w:val="auto"/>
              </w:rPr>
            </w:pPr>
          </w:p>
        </w:tc>
        <w:tc>
          <w:tcPr>
            <w:tcW w:w="780" w:type="dxa"/>
            <w:vAlign w:val="bottom"/>
            <w:shd w:val="clear" w:color="auto" w:fill="D5DCE4"/>
          </w:tcPr>
          <w:p>
            <w:pPr>
              <w:spacing w:after="0"/>
              <w:rPr>
                <w:sz w:val="20"/>
                <w:szCs w:val="20"/>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13,849</w:t>
            </w:r>
          </w:p>
        </w:tc>
      </w:tr>
      <w:tr>
        <w:trPr>
          <w:trHeight w:val="235"/>
        </w:trPr>
        <w:tc>
          <w:tcPr>
            <w:tcW w:w="710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(624)</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(587)</w:t>
            </w:r>
          </w:p>
        </w:tc>
      </w:tr>
      <w:tr>
        <w:trPr>
          <w:trHeight w:val="251"/>
        </w:trPr>
        <w:tc>
          <w:tcPr>
            <w:tcW w:w="71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Other income (loss), net</w:t>
            </w:r>
          </w:p>
        </w:tc>
        <w:tc>
          <w:tcPr>
            <w:tcW w:w="2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(1,156)</w:t>
            </w:r>
          </w:p>
        </w:tc>
        <w:tc>
          <w:tcPr>
            <w:tcW w:w="80" w:type="dxa"/>
            <w:vAlign w:val="bottom"/>
            <w:shd w:val="clear" w:color="auto" w:fill="D5DCE4"/>
          </w:tcPr>
          <w:p>
            <w:pPr>
              <w:spacing w:after="0"/>
              <w:rPr>
                <w:sz w:val="21"/>
                <w:szCs w:val="21"/>
                <w:color w:val="auto"/>
              </w:rPr>
            </w:pPr>
          </w:p>
        </w:tc>
        <w:tc>
          <w:tcPr>
            <w:tcW w:w="780" w:type="dxa"/>
            <w:vAlign w:val="bottom"/>
            <w:tcBorders>
              <w:bottom w:val="single" w:sz="8" w:color="auto"/>
            </w:tcBorders>
            <w:shd w:val="clear" w:color="auto" w:fill="D5DCE4"/>
          </w:tcPr>
          <w:p>
            <w:pPr>
              <w:spacing w:after="0"/>
              <w:rPr>
                <w:sz w:val="21"/>
                <w:szCs w:val="21"/>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4,221</w:t>
            </w:r>
          </w:p>
        </w:tc>
      </w:tr>
      <w:tr>
        <w:trPr>
          <w:trHeight w:val="233"/>
        </w:trPr>
        <w:tc>
          <w:tcPr>
            <w:tcW w:w="7100" w:type="dxa"/>
            <w:vAlign w:val="bottom"/>
            <w:tcBorders>
              <w:bottom w:val="single" w:sz="8" w:color="D5DCE4"/>
            </w:tcBorders>
          </w:tcPr>
          <w:p>
            <w:pPr>
              <w:ind w:left="20"/>
              <w:spacing w:after="0"/>
              <w:rPr>
                <w:sz w:val="20"/>
                <w:szCs w:val="20"/>
                <w:color w:val="auto"/>
              </w:rPr>
            </w:pPr>
            <w:r>
              <w:rPr>
                <w:rFonts w:ascii="Arial" w:cs="Arial" w:eastAsia="Arial" w:hAnsi="Arial"/>
                <w:sz w:val="16"/>
                <w:szCs w:val="16"/>
                <w:b w:val="1"/>
                <w:bCs w:val="1"/>
                <w:color w:val="auto"/>
              </w:rPr>
              <w:t>Income before taxes</w:t>
            </w:r>
          </w:p>
        </w:tc>
        <w:tc>
          <w:tcPr>
            <w:tcW w:w="280" w:type="dxa"/>
            <w:vAlign w:val="bottom"/>
            <w:tcBorders>
              <w:bottom w:val="single" w:sz="8" w:color="D5DCE4"/>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302,924</w:t>
            </w:r>
          </w:p>
        </w:tc>
        <w:tc>
          <w:tcPr>
            <w:tcW w:w="80" w:type="dxa"/>
            <w:vAlign w:val="bottom"/>
            <w:tcBorders>
              <w:bottom w:val="single" w:sz="8" w:color="D5DCE4"/>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221,584</w:t>
            </w:r>
          </w:p>
        </w:tc>
      </w:tr>
      <w:tr>
        <w:trPr>
          <w:trHeight w:val="240"/>
        </w:trPr>
        <w:tc>
          <w:tcPr>
            <w:tcW w:w="710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shd w:val="clear" w:color="auto" w:fill="D5DCE4"/>
          </w:tcPr>
          <w:p>
            <w:pPr>
              <w:spacing w:after="0"/>
              <w:rPr>
                <w:sz w:val="20"/>
                <w:szCs w:val="20"/>
                <w:color w:val="auto"/>
              </w:rPr>
            </w:pPr>
          </w:p>
        </w:tc>
        <w:tc>
          <w:tcPr>
            <w:tcW w:w="440" w:type="dxa"/>
            <w:vAlign w:val="bottom"/>
            <w:tcBorders>
              <w:bottom w:val="single" w:sz="8" w:color="auto"/>
            </w:tcBorders>
            <w:shd w:val="clear" w:color="auto" w:fill="D5DCE4"/>
          </w:tcPr>
          <w:p>
            <w:pPr>
              <w:spacing w:after="0"/>
              <w:rPr>
                <w:sz w:val="20"/>
                <w:szCs w:val="20"/>
                <w:color w:val="auto"/>
              </w:rPr>
            </w:pP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(69,757)</w:t>
            </w:r>
          </w:p>
        </w:tc>
        <w:tc>
          <w:tcPr>
            <w:tcW w:w="80" w:type="dxa"/>
            <w:vAlign w:val="bottom"/>
            <w:shd w:val="clear" w:color="auto" w:fill="D5DCE4"/>
          </w:tcPr>
          <w:p>
            <w:pPr>
              <w:spacing w:after="0"/>
              <w:rPr>
                <w:sz w:val="20"/>
                <w:szCs w:val="20"/>
                <w:color w:val="auto"/>
              </w:rPr>
            </w:pPr>
          </w:p>
        </w:tc>
        <w:tc>
          <w:tcPr>
            <w:tcW w:w="780" w:type="dxa"/>
            <w:vAlign w:val="bottom"/>
            <w:tcBorders>
              <w:bottom w:val="single" w:sz="8" w:color="auto"/>
            </w:tcBorders>
            <w:shd w:val="clear" w:color="auto" w:fill="D5DCE4"/>
          </w:tcPr>
          <w:p>
            <w:pPr>
              <w:spacing w:after="0"/>
              <w:rPr>
                <w:sz w:val="20"/>
                <w:szCs w:val="20"/>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(53,279)</w:t>
            </w:r>
          </w:p>
        </w:tc>
      </w:tr>
      <w:tr>
        <w:trPr>
          <w:trHeight w:val="233"/>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233,167</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168,305</w:t>
            </w:r>
          </w:p>
        </w:tc>
      </w:tr>
      <w:tr>
        <w:trPr>
          <w:trHeight w:val="240"/>
        </w:trPr>
        <w:tc>
          <w:tcPr>
            <w:tcW w:w="7100" w:type="dxa"/>
            <w:vAlign w:val="bottom"/>
            <w:shd w:val="clear" w:color="auto" w:fill="D5DCE4"/>
          </w:tcPr>
          <w:p>
            <w:pPr>
              <w:ind w:left="20"/>
              <w:spacing w:after="0"/>
              <w:rPr>
                <w:sz w:val="20"/>
                <w:szCs w:val="20"/>
                <w:color w:val="auto"/>
              </w:rPr>
            </w:pPr>
            <w:r>
              <w:rPr>
                <w:rFonts w:ascii="Arial" w:cs="Arial" w:eastAsia="Arial" w:hAnsi="Arial"/>
                <w:sz w:val="16"/>
                <w:szCs w:val="16"/>
                <w:color w:val="auto"/>
              </w:rPr>
              <w:t>Less: Net income attributable to non-controlling interests</w:t>
            </w:r>
          </w:p>
        </w:tc>
        <w:tc>
          <w:tcPr>
            <w:tcW w:w="280" w:type="dxa"/>
            <w:vAlign w:val="bottom"/>
            <w:shd w:val="clear" w:color="auto" w:fill="D5DCE4"/>
          </w:tcPr>
          <w:p>
            <w:pPr>
              <w:spacing w:after="0"/>
              <w:rPr>
                <w:sz w:val="20"/>
                <w:szCs w:val="20"/>
                <w:color w:val="auto"/>
              </w:rPr>
            </w:pPr>
          </w:p>
        </w:tc>
        <w:tc>
          <w:tcPr>
            <w:tcW w:w="440" w:type="dxa"/>
            <w:vAlign w:val="bottom"/>
            <w:tcBorders>
              <w:bottom w:val="single" w:sz="8" w:color="auto"/>
            </w:tcBorders>
            <w:shd w:val="clear" w:color="auto" w:fill="D5DCE4"/>
          </w:tcPr>
          <w:p>
            <w:pPr>
              <w:spacing w:after="0"/>
              <w:rPr>
                <w:sz w:val="20"/>
                <w:szCs w:val="20"/>
                <w:color w:val="auto"/>
              </w:rPr>
            </w:pP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27,883</w:t>
            </w:r>
          </w:p>
        </w:tc>
        <w:tc>
          <w:tcPr>
            <w:tcW w:w="80" w:type="dxa"/>
            <w:vAlign w:val="bottom"/>
            <w:shd w:val="clear" w:color="auto" w:fill="D5DCE4"/>
          </w:tcPr>
          <w:p>
            <w:pPr>
              <w:spacing w:after="0"/>
              <w:rPr>
                <w:sz w:val="20"/>
                <w:szCs w:val="20"/>
                <w:color w:val="auto"/>
              </w:rPr>
            </w:pPr>
          </w:p>
        </w:tc>
        <w:tc>
          <w:tcPr>
            <w:tcW w:w="780" w:type="dxa"/>
            <w:vAlign w:val="bottom"/>
            <w:tcBorders>
              <w:bottom w:val="single" w:sz="8" w:color="auto"/>
            </w:tcBorders>
            <w:shd w:val="clear" w:color="auto" w:fill="D5DCE4"/>
          </w:tcPr>
          <w:p>
            <w:pPr>
              <w:spacing w:after="0"/>
              <w:rPr>
                <w:sz w:val="20"/>
                <w:szCs w:val="20"/>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19,923</w:t>
            </w:r>
          </w:p>
        </w:tc>
      </w:tr>
      <w:tr>
        <w:trPr>
          <w:trHeight w:val="243"/>
        </w:trPr>
        <w:tc>
          <w:tcPr>
            <w:tcW w:w="710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Tradeweb Markets Inc.</w:t>
            </w:r>
          </w:p>
        </w:tc>
        <w:tc>
          <w:tcPr>
            <w:tcW w:w="72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205,284</w:t>
            </w:r>
          </w:p>
        </w:tc>
        <w:tc>
          <w:tcPr>
            <w:tcW w:w="80" w:type="dxa"/>
            <w:vAlign w:val="bottom"/>
          </w:tcPr>
          <w:p>
            <w:pPr>
              <w:spacing w:after="0"/>
              <w:rPr>
                <w:sz w:val="21"/>
                <w:szCs w:val="21"/>
                <w:color w:val="auto"/>
              </w:rPr>
            </w:pPr>
          </w:p>
        </w:tc>
        <w:tc>
          <w:tcPr>
            <w:tcW w:w="780" w:type="dxa"/>
            <w:vAlign w:val="bottom"/>
          </w:tcPr>
          <w:p>
            <w:pPr>
              <w:jc w:val="right"/>
              <w:ind w:right="579"/>
              <w:spacing w:after="0"/>
              <w:rPr>
                <w:sz w:val="20"/>
                <w:szCs w:val="20"/>
                <w:color w:val="auto"/>
              </w:rPr>
            </w:pPr>
            <w:r>
              <w:rPr>
                <w:rFonts w:ascii="Arial" w:cs="Arial" w:eastAsia="Arial" w:hAnsi="Arial"/>
                <w:sz w:val="16"/>
                <w:szCs w:val="16"/>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148,382</w:t>
            </w:r>
          </w:p>
        </w:tc>
      </w:tr>
      <w:tr>
        <w:trPr>
          <w:trHeight w:val="20"/>
        </w:trPr>
        <w:tc>
          <w:tcPr>
            <w:tcW w:w="710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100" w:type="dxa"/>
            <w:vAlign w:val="bottom"/>
            <w:shd w:val="clear" w:color="auto" w:fill="D5DCE4"/>
          </w:tcPr>
          <w:p>
            <w:pPr>
              <w:spacing w:after="0"/>
              <w:rPr>
                <w:sz w:val="19"/>
                <w:szCs w:val="19"/>
                <w:color w:val="auto"/>
              </w:rPr>
            </w:pPr>
          </w:p>
        </w:tc>
        <w:tc>
          <w:tcPr>
            <w:tcW w:w="280" w:type="dxa"/>
            <w:vAlign w:val="bottom"/>
            <w:shd w:val="clear" w:color="auto" w:fill="D5DCE4"/>
          </w:tcPr>
          <w:p>
            <w:pPr>
              <w:spacing w:after="0"/>
              <w:rPr>
                <w:sz w:val="19"/>
                <w:szCs w:val="19"/>
                <w:color w:val="auto"/>
              </w:rPr>
            </w:pPr>
          </w:p>
        </w:tc>
        <w:tc>
          <w:tcPr>
            <w:tcW w:w="440" w:type="dxa"/>
            <w:vAlign w:val="bottom"/>
            <w:shd w:val="clear" w:color="auto" w:fill="D5DCE4"/>
          </w:tcPr>
          <w:p>
            <w:pPr>
              <w:spacing w:after="0"/>
              <w:rPr>
                <w:sz w:val="19"/>
                <w:szCs w:val="19"/>
                <w:color w:val="auto"/>
              </w:rPr>
            </w:pPr>
          </w:p>
        </w:tc>
        <w:tc>
          <w:tcPr>
            <w:tcW w:w="14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780" w:type="dxa"/>
            <w:vAlign w:val="bottom"/>
            <w:shd w:val="clear" w:color="auto" w:fill="D5DCE4"/>
          </w:tcPr>
          <w:p>
            <w:pPr>
              <w:spacing w:after="0"/>
              <w:rPr>
                <w:sz w:val="19"/>
                <w:szCs w:val="19"/>
                <w:color w:val="auto"/>
              </w:rPr>
            </w:pPr>
          </w:p>
        </w:tc>
        <w:tc>
          <w:tcPr>
            <w:tcW w:w="1120" w:type="dxa"/>
            <w:vAlign w:val="bottom"/>
            <w:shd w:val="clear" w:color="auto" w:fill="D5DCE4"/>
          </w:tcPr>
          <w:p>
            <w:pPr>
              <w:spacing w:after="0"/>
              <w:rPr>
                <w:sz w:val="19"/>
                <w:szCs w:val="19"/>
                <w:color w:val="auto"/>
              </w:rPr>
            </w:pPr>
          </w:p>
        </w:tc>
      </w:tr>
      <w:tr>
        <w:trPr>
          <w:trHeight w:val="235"/>
        </w:trPr>
        <w:tc>
          <w:tcPr>
            <w:tcW w:w="7100" w:type="dxa"/>
            <w:vAlign w:val="bottom"/>
          </w:tcPr>
          <w:p>
            <w:pPr>
              <w:ind w:left="20"/>
              <w:spacing w:after="0"/>
              <w:rPr>
                <w:sz w:val="20"/>
                <w:szCs w:val="20"/>
                <w:color w:val="auto"/>
              </w:rPr>
            </w:pPr>
            <w:r>
              <w:rPr>
                <w:rFonts w:ascii="Arial" w:cs="Arial" w:eastAsia="Arial" w:hAnsi="Arial"/>
                <w:sz w:val="16"/>
                <w:szCs w:val="16"/>
                <w:color w:val="auto"/>
              </w:rPr>
              <w:t>Earnings per share attributable to Tradeweb Markets Inc. Class A and B common stockholders: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1"/>
        </w:trPr>
        <w:tc>
          <w:tcPr>
            <w:tcW w:w="7100" w:type="dxa"/>
            <w:vAlign w:val="bottom"/>
            <w:tcBorders>
              <w:bottom w:val="single" w:sz="8" w:color="D5DCE4"/>
            </w:tcBorders>
            <w:shd w:val="clear" w:color="auto" w:fill="D5DCE4"/>
          </w:tcPr>
          <w:p>
            <w:pPr>
              <w:ind w:left="140"/>
              <w:spacing w:after="0"/>
              <w:rPr>
                <w:sz w:val="20"/>
                <w:szCs w:val="20"/>
                <w:color w:val="auto"/>
              </w:rPr>
            </w:pPr>
            <w:r>
              <w:rPr>
                <w:rFonts w:ascii="Arial" w:cs="Arial" w:eastAsia="Arial" w:hAnsi="Arial"/>
                <w:sz w:val="16"/>
                <w:szCs w:val="16"/>
                <w:color w:val="auto"/>
              </w:rPr>
              <w:t>Basic</w:t>
            </w:r>
          </w:p>
        </w:tc>
        <w:tc>
          <w:tcPr>
            <w:tcW w:w="280" w:type="dxa"/>
            <w:vAlign w:val="bottom"/>
            <w:tcBorders>
              <w:bottom w:val="single" w:sz="8" w:color="D5DCE4"/>
            </w:tcBorders>
            <w:shd w:val="clear" w:color="auto" w:fill="D5DCE4"/>
          </w:tcPr>
          <w:p>
            <w:pPr>
              <w:spacing w:after="0"/>
              <w:rPr>
                <w:sz w:val="23"/>
                <w:szCs w:val="23"/>
                <w:color w:val="auto"/>
              </w:rPr>
            </w:pPr>
          </w:p>
        </w:tc>
        <w:tc>
          <w:tcPr>
            <w:tcW w:w="44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0.96</w:t>
            </w:r>
          </w:p>
        </w:tc>
        <w:tc>
          <w:tcPr>
            <w:tcW w:w="80" w:type="dxa"/>
            <w:vAlign w:val="bottom"/>
            <w:tcBorders>
              <w:bottom w:val="single" w:sz="8" w:color="D5DCE4"/>
            </w:tcBorders>
            <w:shd w:val="clear" w:color="auto" w:fill="D5DCE4"/>
          </w:tcPr>
          <w:p>
            <w:pPr>
              <w:spacing w:after="0"/>
              <w:rPr>
                <w:sz w:val="23"/>
                <w:szCs w:val="23"/>
                <w:color w:val="auto"/>
              </w:rPr>
            </w:pPr>
          </w:p>
        </w:tc>
        <w:tc>
          <w:tcPr>
            <w:tcW w:w="780" w:type="dxa"/>
            <w:vAlign w:val="bottom"/>
            <w:tcBorders>
              <w:bottom w:val="single" w:sz="8" w:color="auto"/>
            </w:tcBorders>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0.70</w:t>
            </w:r>
          </w:p>
        </w:tc>
      </w:tr>
      <w:tr>
        <w:trPr>
          <w:trHeight w:val="20"/>
        </w:trPr>
        <w:tc>
          <w:tcPr>
            <w:tcW w:w="7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7100" w:type="dxa"/>
            <w:vAlign w:val="bottom"/>
          </w:tcPr>
          <w:p>
            <w:pPr>
              <w:ind w:left="140"/>
              <w:spacing w:after="0"/>
              <w:rPr>
                <w:sz w:val="20"/>
                <w:szCs w:val="20"/>
                <w:color w:val="auto"/>
              </w:rPr>
            </w:pPr>
            <w:r>
              <w:rPr>
                <w:rFonts w:ascii="Arial" w:cs="Arial" w:eastAsia="Arial" w:hAnsi="Arial"/>
                <w:sz w:val="16"/>
                <w:szCs w:val="16"/>
                <w:color w:val="auto"/>
              </w:rPr>
              <w:t>Diluted</w:t>
            </w:r>
          </w:p>
        </w:tc>
        <w:tc>
          <w:tcPr>
            <w:tcW w:w="72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0.96</w:t>
            </w:r>
          </w:p>
        </w:tc>
        <w:tc>
          <w:tcPr>
            <w:tcW w:w="80" w:type="dxa"/>
            <w:vAlign w:val="bottom"/>
          </w:tcPr>
          <w:p>
            <w:pPr>
              <w:spacing w:after="0"/>
              <w:rPr>
                <w:sz w:val="18"/>
                <w:szCs w:val="18"/>
                <w:color w:val="auto"/>
              </w:rPr>
            </w:pP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0.69</w:t>
            </w:r>
          </w:p>
        </w:tc>
      </w:tr>
      <w:tr>
        <w:trPr>
          <w:trHeight w:val="20"/>
        </w:trPr>
        <w:tc>
          <w:tcPr>
            <w:tcW w:w="7100" w:type="dxa"/>
            <w:vAlign w:val="bottom"/>
            <w:tcBorders>
              <w:bottom w:val="single" w:sz="8" w:color="D5DCE4"/>
            </w:tcBorders>
          </w:tcPr>
          <w:p>
            <w:pPr>
              <w:spacing w:after="0" w:line="20" w:lineRule="exact"/>
              <w:rPr>
                <w:sz w:val="1"/>
                <w:szCs w:val="1"/>
                <w:color w:val="auto"/>
              </w:rPr>
            </w:pPr>
          </w:p>
        </w:tc>
        <w:tc>
          <w:tcPr>
            <w:tcW w:w="280" w:type="dxa"/>
            <w:vAlign w:val="bottom"/>
            <w:tcBorders>
              <w:bottom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7100" w:type="dxa"/>
            <w:vAlign w:val="bottom"/>
            <w:shd w:val="clear" w:color="auto" w:fill="D5DCE4"/>
          </w:tcPr>
          <w:p>
            <w:pPr>
              <w:ind w:left="2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D5DCE4"/>
          </w:tcPr>
          <w:p>
            <w:pPr>
              <w:spacing w:after="0"/>
              <w:rPr>
                <w:sz w:val="18"/>
                <w:szCs w:val="18"/>
                <w:color w:val="auto"/>
              </w:rPr>
            </w:pPr>
          </w:p>
        </w:tc>
        <w:tc>
          <w:tcPr>
            <w:tcW w:w="440" w:type="dxa"/>
            <w:vAlign w:val="bottom"/>
            <w:shd w:val="clear" w:color="auto" w:fill="D5DCE4"/>
          </w:tcPr>
          <w:p>
            <w:pPr>
              <w:spacing w:after="0"/>
              <w:rPr>
                <w:sz w:val="18"/>
                <w:szCs w:val="18"/>
                <w:color w:val="auto"/>
              </w:rPr>
            </w:pPr>
          </w:p>
        </w:tc>
        <w:tc>
          <w:tcPr>
            <w:tcW w:w="1440" w:type="dxa"/>
            <w:vAlign w:val="bottom"/>
            <w:shd w:val="clear" w:color="auto" w:fill="D5DCE4"/>
          </w:tcPr>
          <w:p>
            <w:pPr>
              <w:spacing w:after="0"/>
              <w:rPr>
                <w:sz w:val="18"/>
                <w:szCs w:val="18"/>
                <w:color w:val="auto"/>
              </w:rPr>
            </w:pPr>
          </w:p>
        </w:tc>
        <w:tc>
          <w:tcPr>
            <w:tcW w:w="80" w:type="dxa"/>
            <w:vAlign w:val="bottom"/>
            <w:shd w:val="clear" w:color="auto" w:fill="D5DCE4"/>
          </w:tcPr>
          <w:p>
            <w:pPr>
              <w:spacing w:after="0"/>
              <w:rPr>
                <w:sz w:val="18"/>
                <w:szCs w:val="18"/>
                <w:color w:val="auto"/>
              </w:rPr>
            </w:pPr>
          </w:p>
        </w:tc>
        <w:tc>
          <w:tcPr>
            <w:tcW w:w="780" w:type="dxa"/>
            <w:vAlign w:val="bottom"/>
            <w:shd w:val="clear" w:color="auto" w:fill="D5DCE4"/>
          </w:tcPr>
          <w:p>
            <w:pPr>
              <w:spacing w:after="0"/>
              <w:rPr>
                <w:sz w:val="18"/>
                <w:szCs w:val="18"/>
                <w:color w:val="auto"/>
              </w:rPr>
            </w:pPr>
          </w:p>
        </w:tc>
        <w:tc>
          <w:tcPr>
            <w:tcW w:w="1120" w:type="dxa"/>
            <w:vAlign w:val="bottom"/>
            <w:shd w:val="clear" w:color="auto" w:fill="D5DCE4"/>
          </w:tcPr>
          <w:p>
            <w:pPr>
              <w:spacing w:after="0"/>
              <w:rPr>
                <w:sz w:val="18"/>
                <w:szCs w:val="18"/>
                <w:color w:val="auto"/>
              </w:rPr>
            </w:pPr>
          </w:p>
        </w:tc>
      </w:tr>
      <w:tr>
        <w:trPr>
          <w:trHeight w:val="235"/>
        </w:trPr>
        <w:tc>
          <w:tcPr>
            <w:tcW w:w="7100" w:type="dxa"/>
            <w:vAlign w:val="bottom"/>
          </w:tcPr>
          <w:p>
            <w:pPr>
              <w:ind w:left="140"/>
              <w:spacing w:after="0"/>
              <w:rPr>
                <w:sz w:val="20"/>
                <w:szCs w:val="20"/>
                <w:color w:val="auto"/>
              </w:rPr>
            </w:pPr>
            <w:r>
              <w:rPr>
                <w:rFonts w:ascii="Arial" w:cs="Arial" w:eastAsia="Arial" w:hAnsi="Arial"/>
                <w:sz w:val="16"/>
                <w:szCs w:val="16"/>
                <w:color w:val="auto"/>
              </w:rPr>
              <w:t>Basic</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212,685,136</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213,087,496</w:t>
            </w:r>
          </w:p>
        </w:tc>
      </w:tr>
      <w:tr>
        <w:trPr>
          <w:trHeight w:val="251"/>
        </w:trPr>
        <w:tc>
          <w:tcPr>
            <w:tcW w:w="7100" w:type="dxa"/>
            <w:vAlign w:val="bottom"/>
            <w:shd w:val="clear" w:color="auto" w:fill="D5DCE4"/>
          </w:tcPr>
          <w:p>
            <w:pPr>
              <w:ind w:left="140"/>
              <w:spacing w:after="0"/>
              <w:rPr>
                <w:sz w:val="20"/>
                <w:szCs w:val="20"/>
                <w:color w:val="auto"/>
              </w:rPr>
            </w:pPr>
            <w:r>
              <w:rPr>
                <w:rFonts w:ascii="Arial" w:cs="Arial" w:eastAsia="Arial" w:hAnsi="Arial"/>
                <w:sz w:val="16"/>
                <w:szCs w:val="16"/>
                <w:color w:val="auto"/>
              </w:rPr>
              <w:t>Diluted</w:t>
            </w:r>
          </w:p>
        </w:tc>
        <w:tc>
          <w:tcPr>
            <w:tcW w:w="2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213,324,648</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214,895,418</w:t>
            </w:r>
          </w:p>
        </w:tc>
      </w:tr>
    </w:tbl>
    <w:p>
      <w:pPr>
        <w:spacing w:after="0" w:line="200" w:lineRule="exact"/>
        <w:rPr>
          <w:sz w:val="20"/>
          <w:szCs w:val="20"/>
          <w:color w:val="auto"/>
        </w:rPr>
      </w:pPr>
    </w:p>
    <w:p>
      <w:pPr>
        <w:spacing w:after="0" w:line="3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5</w:t>
      </w:r>
    </w:p>
    <w:p>
      <w:pPr>
        <w:sectPr>
          <w:pgSz w:w="11900" w:h="16838" w:orient="portrait"/>
          <w:cols w:equalWidth="0" w:num="1">
            <w:col w:w="11240"/>
          </w:cols>
          <w:pgMar w:left="320" w:top="692"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RECONCILIATION OF NON-GAAP FINANCIAL MEASURES (UNAUDITED)</w:t>
      </w:r>
    </w:p>
    <w:p>
      <w:pPr>
        <w:spacing w:after="0" w:line="200" w:lineRule="exact"/>
        <w:rPr>
          <w:sz w:val="20"/>
          <w:szCs w:val="20"/>
          <w:color w:val="auto"/>
        </w:rPr>
      </w:pPr>
    </w:p>
    <w:p>
      <w:pPr>
        <w:spacing w:after="0" w:line="397" w:lineRule="exact"/>
        <w:rPr>
          <w:sz w:val="20"/>
          <w:szCs w:val="20"/>
          <w:color w:val="auto"/>
        </w:rPr>
      </w:pPr>
    </w:p>
    <w:p>
      <w:pPr>
        <w:ind w:left="20" w:right="240"/>
        <w:spacing w:after="0" w:line="296" w:lineRule="auto"/>
        <w:rPr>
          <w:sz w:val="20"/>
          <w:szCs w:val="20"/>
          <w:color w:val="auto"/>
        </w:rPr>
      </w:pPr>
      <w:r>
        <w:rPr>
          <w:rFonts w:ascii="Arial" w:cs="Arial" w:eastAsia="Arial" w:hAnsi="Arial"/>
          <w:sz w:val="16"/>
          <w:szCs w:val="16"/>
          <w:b w:val="1"/>
          <w:bCs w:val="1"/>
          <w:color w:val="auto"/>
        </w:rPr>
        <w:t>Reconciliation of Net Income to Adjusted EBITDA, Adjusted EBITDA Margin, Adjusted EBIT and Adjusted EBIT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45091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091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820"/>
        <w:spacing w:after="0"/>
        <w:rPr>
          <w:sz w:val="20"/>
          <w:szCs w:val="20"/>
          <w:color w:val="auto"/>
        </w:rPr>
      </w:pPr>
      <w:r>
        <w:rPr>
          <w:rFonts w:ascii="Arial" w:cs="Arial" w:eastAsia="Arial" w:hAnsi="Arial"/>
          <w:sz w:val="16"/>
          <w:szCs w:val="16"/>
          <w:b w:val="1"/>
          <w:bCs w:val="1"/>
          <w:color w:val="auto"/>
        </w:rPr>
        <w:t>Three Months Ended</w:t>
      </w:r>
    </w:p>
    <w:p>
      <w:pPr>
        <w:spacing w:after="0" w:line="59" w:lineRule="exact"/>
        <w:rPr>
          <w:sz w:val="20"/>
          <w:szCs w:val="20"/>
          <w:color w:val="auto"/>
        </w:rPr>
      </w:pPr>
    </w:p>
    <w:p>
      <w:pPr>
        <w:jc w:val="center"/>
        <w:ind w:right="8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29210</wp:posOffset>
            </wp:positionV>
            <wp:extent cx="25717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53" w:lineRule="exact"/>
        <w:rPr>
          <w:sz w:val="20"/>
          <w:szCs w:val="20"/>
          <w:color w:val="auto"/>
        </w:rPr>
      </w:pPr>
    </w:p>
    <w:p>
      <w:pPr>
        <w:spacing w:after="0"/>
        <w:tabs>
          <w:tab w:leader="none" w:pos="2040" w:val="left"/>
        </w:tabs>
        <w:rPr>
          <w:sz w:val="20"/>
          <w:szCs w:val="20"/>
          <w:color w:val="auto"/>
        </w:rPr>
      </w:pPr>
      <w:r>
        <w:rPr>
          <w:rFonts w:ascii="Arial" w:cs="Arial" w:eastAsia="Arial" w:hAnsi="Arial"/>
          <w:sz w:val="16"/>
          <w:szCs w:val="16"/>
          <w:b w:val="1"/>
          <w:bCs w:val="1"/>
          <w:color w:val="auto"/>
        </w:rPr>
        <w:t>2026</w:t>
      </w:r>
      <w:r>
        <w:rPr>
          <w:sz w:val="20"/>
          <w:szCs w:val="20"/>
          <w:color w:val="auto"/>
        </w:rPr>
        <w:tab/>
      </w:r>
      <w:r>
        <w:rPr>
          <w:rFonts w:ascii="Arial" w:cs="Arial" w:eastAsia="Arial" w:hAnsi="Arial"/>
          <w:sz w:val="16"/>
          <w:szCs w:val="16"/>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-513715</wp:posOffset>
            </wp:positionH>
            <wp:positionV relativeFrom="paragraph">
              <wp:posOffset>29210</wp:posOffset>
            </wp:positionV>
            <wp:extent cx="25717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(dollars in thousands)</w:t>
      </w:r>
    </w:p>
    <w:p>
      <w:pPr>
        <w:spacing w:after="0" w:line="59" w:lineRule="exact"/>
        <w:rPr>
          <w:sz w:val="20"/>
          <w:szCs w:val="20"/>
          <w:color w:val="auto"/>
        </w:rPr>
      </w:pPr>
    </w:p>
    <w:p>
      <w:pPr>
        <w:sectPr>
          <w:pgSz w:w="11900" w:h="16838" w:orient="portrait"/>
          <w:cols w:equalWidth="0" w:num="2">
            <w:col w:w="7280" w:space="720"/>
            <w:col w:w="3240"/>
          </w:cols>
          <w:pgMar w:left="320" w:top="773" w:right="339" w:bottom="1440" w:gutter="0" w:footer="0" w:header="0"/>
        </w:sectPr>
      </w:pPr>
    </w:p>
    <w:tbl>
      <w:tblPr>
        <w:tblLayout w:type="fixed"/>
        <w:tblInd w:w="0" w:type="dxa"/>
        <w:tblCellMar>
          <w:top w:w="0" w:type="dxa"/>
          <w:left w:w="0" w:type="dxa"/>
          <w:bottom w:w="0" w:type="dxa"/>
          <w:right w:w="0" w:type="dxa"/>
        </w:tblCellMar>
      </w:tblPr>
      <w:tr>
        <w:trPr>
          <w:trHeight w:val="231"/>
        </w:trPr>
        <w:tc>
          <w:tcPr>
            <w:tcW w:w="7180" w:type="dxa"/>
            <w:vAlign w:val="bottom"/>
            <w:shd w:val="clear" w:color="auto" w:fill="D5DCE4"/>
          </w:tcPr>
          <w:p>
            <w:pPr>
              <w:ind w:left="20"/>
              <w:spacing w:after="0"/>
              <w:rPr>
                <w:sz w:val="20"/>
                <w:szCs w:val="20"/>
                <w:color w:val="auto"/>
              </w:rPr>
            </w:pPr>
            <w:r>
              <w:rPr>
                <w:rFonts w:ascii="Arial" w:cs="Arial" w:eastAsia="Arial" w:hAnsi="Arial"/>
                <w:sz w:val="16"/>
                <w:szCs w:val="16"/>
                <w:color w:val="auto"/>
              </w:rPr>
              <w:t>Net income</w:t>
            </w:r>
          </w:p>
        </w:tc>
        <w:tc>
          <w:tcPr>
            <w:tcW w:w="660" w:type="dxa"/>
            <w:vAlign w:val="bottom"/>
            <w:shd w:val="clear" w:color="auto" w:fill="D5DCE4"/>
          </w:tcPr>
          <w:p>
            <w:pPr>
              <w:jc w:val="right"/>
              <w:ind w:right="45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233,167</w:t>
            </w:r>
          </w:p>
        </w:tc>
        <w:tc>
          <w:tcPr>
            <w:tcW w:w="80" w:type="dxa"/>
            <w:vAlign w:val="bottom"/>
            <w:shd w:val="clear" w:color="auto" w:fill="D5DCE4"/>
          </w:tcPr>
          <w:p>
            <w:pPr>
              <w:spacing w:after="0"/>
              <w:rPr>
                <w:sz w:val="20"/>
                <w:szCs w:val="20"/>
                <w:color w:val="auto"/>
              </w:rPr>
            </w:pPr>
          </w:p>
        </w:tc>
        <w:tc>
          <w:tcPr>
            <w:tcW w:w="640" w:type="dxa"/>
            <w:vAlign w:val="bottom"/>
            <w:shd w:val="clear" w:color="auto" w:fill="D5DCE4"/>
          </w:tcPr>
          <w:p>
            <w:pPr>
              <w:jc w:val="right"/>
              <w:ind w:right="45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168,305</w:t>
            </w:r>
          </w:p>
        </w:tc>
      </w:tr>
      <w:tr>
        <w:trPr>
          <w:trHeight w:val="243"/>
        </w:trPr>
        <w:tc>
          <w:tcPr>
            <w:tcW w:w="718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66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2,496</w:t>
            </w:r>
          </w:p>
        </w:tc>
      </w:tr>
      <w:tr>
        <w:trPr>
          <w:trHeight w:val="243"/>
        </w:trPr>
        <w:tc>
          <w:tcPr>
            <w:tcW w:w="7180" w:type="dxa"/>
            <w:vAlign w:val="bottom"/>
            <w:shd w:val="clear" w:color="auto" w:fill="D5DCE4"/>
          </w:tcPr>
          <w:p>
            <w:pPr>
              <w:ind w:left="20"/>
              <w:spacing w:after="0"/>
              <w:rPr>
                <w:sz w:val="20"/>
                <w:szCs w:val="20"/>
                <w:color w:val="auto"/>
              </w:rPr>
            </w:pPr>
            <w:r>
              <w:rPr>
                <w:rFonts w:ascii="Arial" w:cs="Arial" w:eastAsia="Arial" w:hAnsi="Arial"/>
                <w:sz w:val="16"/>
                <w:szCs w:val="16"/>
                <w:color w:val="auto"/>
              </w:rPr>
              <w:t>Interest income</w:t>
            </w:r>
          </w:p>
        </w:tc>
        <w:tc>
          <w:tcPr>
            <w:tcW w:w="660" w:type="dxa"/>
            <w:vAlign w:val="bottom"/>
            <w:shd w:val="clear" w:color="auto" w:fill="D5DCE4"/>
          </w:tcPr>
          <w:p>
            <w:pPr>
              <w:spacing w:after="0"/>
              <w:rPr>
                <w:sz w:val="21"/>
                <w:szCs w:val="21"/>
                <w:color w:val="auto"/>
              </w:rPr>
            </w:pPr>
          </w:p>
        </w:tc>
        <w:tc>
          <w:tcPr>
            <w:tcW w:w="134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(17,451)</w:t>
            </w:r>
          </w:p>
        </w:tc>
        <w:tc>
          <w:tcPr>
            <w:tcW w:w="80" w:type="dxa"/>
            <w:vAlign w:val="bottom"/>
            <w:shd w:val="clear" w:color="auto" w:fill="D5DCE4"/>
          </w:tcPr>
          <w:p>
            <w:pPr>
              <w:spacing w:after="0"/>
              <w:rPr>
                <w:sz w:val="21"/>
                <w:szCs w:val="21"/>
                <w:color w:val="auto"/>
              </w:rPr>
            </w:pPr>
          </w:p>
        </w:tc>
        <w:tc>
          <w:tcPr>
            <w:tcW w:w="640" w:type="dxa"/>
            <w:vAlign w:val="bottom"/>
            <w:shd w:val="clear" w:color="auto" w:fill="D5DCE4"/>
          </w:tcPr>
          <w:p>
            <w:pPr>
              <w:spacing w:after="0"/>
              <w:rPr>
                <w:sz w:val="21"/>
                <w:szCs w:val="21"/>
                <w:color w:val="auto"/>
              </w:rPr>
            </w:pPr>
          </w:p>
        </w:tc>
        <w:tc>
          <w:tcPr>
            <w:tcW w:w="1340" w:type="dxa"/>
            <w:vAlign w:val="bottom"/>
            <w:shd w:val="clear" w:color="auto" w:fill="D5DCE4"/>
          </w:tcPr>
          <w:p>
            <w:pPr>
              <w:jc w:val="right"/>
              <w:ind w:right="79"/>
              <w:spacing w:after="0"/>
              <w:rPr>
                <w:sz w:val="20"/>
                <w:szCs w:val="20"/>
                <w:color w:val="auto"/>
              </w:rPr>
            </w:pPr>
            <w:r>
              <w:rPr>
                <w:rFonts w:ascii="Arial" w:cs="Arial" w:eastAsia="Arial" w:hAnsi="Arial"/>
                <w:sz w:val="16"/>
                <w:szCs w:val="16"/>
                <w:color w:val="auto"/>
              </w:rPr>
              <w:t>(13,849)</w:t>
            </w:r>
          </w:p>
        </w:tc>
      </w:tr>
      <w:tr>
        <w:trPr>
          <w:trHeight w:val="235"/>
        </w:trPr>
        <w:tc>
          <w:tcPr>
            <w:tcW w:w="71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660" w:type="dxa"/>
            <w:vAlign w:val="bottom"/>
          </w:tcPr>
          <w:p>
            <w:pPr>
              <w:spacing w:after="0"/>
              <w:rPr>
                <w:sz w:val="20"/>
                <w:szCs w:val="20"/>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624</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587</w:t>
            </w:r>
          </w:p>
        </w:tc>
      </w:tr>
      <w:tr>
        <w:trPr>
          <w:trHeight w:val="251"/>
        </w:trPr>
        <w:tc>
          <w:tcPr>
            <w:tcW w:w="7180" w:type="dxa"/>
            <w:vAlign w:val="bottom"/>
            <w:shd w:val="clear" w:color="auto" w:fill="D5DCE4"/>
          </w:tcPr>
          <w:p>
            <w:pPr>
              <w:ind w:left="20"/>
              <w:spacing w:after="0"/>
              <w:rPr>
                <w:sz w:val="20"/>
                <w:szCs w:val="20"/>
                <w:color w:val="auto"/>
              </w:rPr>
            </w:pPr>
            <w:r>
              <w:rPr>
                <w:rFonts w:ascii="Arial" w:cs="Arial" w:eastAsia="Arial" w:hAnsi="Arial"/>
                <w:sz w:val="16"/>
                <w:szCs w:val="16"/>
                <w:color w:val="auto"/>
              </w:rPr>
              <w:t>Depreciation and amortization</w:t>
            </w:r>
          </w:p>
        </w:tc>
        <w:tc>
          <w:tcPr>
            <w:tcW w:w="660" w:type="dxa"/>
            <w:vAlign w:val="bottom"/>
            <w:shd w:val="clear" w:color="auto" w:fill="D5DCE4"/>
          </w:tcPr>
          <w:p>
            <w:pPr>
              <w:spacing w:after="0"/>
              <w:rPr>
                <w:sz w:val="21"/>
                <w:szCs w:val="21"/>
                <w:color w:val="auto"/>
              </w:rPr>
            </w:pPr>
          </w:p>
        </w:tc>
        <w:tc>
          <w:tcPr>
            <w:tcW w:w="1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60,709</w:t>
            </w:r>
          </w:p>
        </w:tc>
        <w:tc>
          <w:tcPr>
            <w:tcW w:w="80" w:type="dxa"/>
            <w:vAlign w:val="bottom"/>
            <w:shd w:val="clear" w:color="auto" w:fill="D5DCE4"/>
          </w:tcPr>
          <w:p>
            <w:pPr>
              <w:spacing w:after="0"/>
              <w:rPr>
                <w:sz w:val="21"/>
                <w:szCs w:val="21"/>
                <w:color w:val="auto"/>
              </w:rPr>
            </w:pPr>
          </w:p>
        </w:tc>
        <w:tc>
          <w:tcPr>
            <w:tcW w:w="640" w:type="dxa"/>
            <w:vAlign w:val="bottom"/>
            <w:shd w:val="clear" w:color="auto" w:fill="D5DCE4"/>
          </w:tcPr>
          <w:p>
            <w:pPr>
              <w:spacing w:after="0"/>
              <w:rPr>
                <w:sz w:val="21"/>
                <w:szCs w:val="21"/>
                <w:color w:val="auto"/>
              </w:rPr>
            </w:pPr>
          </w:p>
        </w:tc>
        <w:tc>
          <w:tcPr>
            <w:tcW w:w="13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62,699</w:t>
            </w:r>
          </w:p>
        </w:tc>
      </w:tr>
      <w:tr>
        <w:trPr>
          <w:trHeight w:val="243"/>
        </w:trPr>
        <w:tc>
          <w:tcPr>
            <w:tcW w:w="718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(2)</w:t>
            </w:r>
          </w:p>
        </w:tc>
        <w:tc>
          <w:tcPr>
            <w:tcW w:w="660" w:type="dxa"/>
            <w:vAlign w:val="bottom"/>
          </w:tcPr>
          <w:p>
            <w:pPr>
              <w:spacing w:after="0"/>
              <w:rPr>
                <w:sz w:val="21"/>
                <w:szCs w:val="21"/>
                <w:color w:val="auto"/>
              </w:rPr>
            </w:pPr>
          </w:p>
        </w:tc>
        <w:tc>
          <w:tcPr>
            <w:tcW w:w="1340" w:type="dxa"/>
            <w:vAlign w:val="bottom"/>
          </w:tcPr>
          <w:p>
            <w:pPr>
              <w:jc w:val="right"/>
              <w:ind w:right="139"/>
              <w:spacing w:after="0"/>
              <w:rPr>
                <w:sz w:val="20"/>
                <w:szCs w:val="20"/>
                <w:color w:val="auto"/>
              </w:rPr>
            </w:pPr>
            <w:r>
              <w:rPr>
                <w:rFonts w:ascii="Arial" w:cs="Arial" w:eastAsia="Arial" w:hAnsi="Arial"/>
                <w:sz w:val="16"/>
                <w:szCs w:val="16"/>
                <w:color w:val="auto"/>
              </w:rPr>
              <w:t>656</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594</w:t>
            </w:r>
          </w:p>
        </w:tc>
      </w:tr>
      <w:tr>
        <w:trPr>
          <w:trHeight w:val="243"/>
        </w:trPr>
        <w:tc>
          <w:tcPr>
            <w:tcW w:w="718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660" w:type="dxa"/>
            <w:vAlign w:val="bottom"/>
            <w:shd w:val="clear" w:color="auto" w:fill="D5DCE4"/>
          </w:tcPr>
          <w:p>
            <w:pPr>
              <w:spacing w:after="0"/>
              <w:rPr>
                <w:sz w:val="21"/>
                <w:szCs w:val="21"/>
                <w:color w:val="auto"/>
              </w:rPr>
            </w:pPr>
          </w:p>
        </w:tc>
        <w:tc>
          <w:tcPr>
            <w:tcW w:w="1340" w:type="dxa"/>
            <w:vAlign w:val="bottom"/>
            <w:shd w:val="clear" w:color="auto" w:fill="D5DCE4"/>
          </w:tcPr>
          <w:p>
            <w:pPr>
              <w:jc w:val="right"/>
              <w:ind w:right="139"/>
              <w:spacing w:after="0"/>
              <w:rPr>
                <w:sz w:val="20"/>
                <w:szCs w:val="20"/>
                <w:color w:val="auto"/>
              </w:rPr>
            </w:pPr>
            <w:r>
              <w:rPr>
                <w:rFonts w:ascii="Arial" w:cs="Arial" w:eastAsia="Arial" w:hAnsi="Arial"/>
                <w:sz w:val="16"/>
                <w:szCs w:val="16"/>
                <w:color w:val="auto"/>
              </w:rPr>
              <w:t>69,757</w:t>
            </w:r>
          </w:p>
        </w:tc>
        <w:tc>
          <w:tcPr>
            <w:tcW w:w="80" w:type="dxa"/>
            <w:vAlign w:val="bottom"/>
            <w:shd w:val="clear" w:color="auto" w:fill="D5DCE4"/>
          </w:tcPr>
          <w:p>
            <w:pPr>
              <w:spacing w:after="0"/>
              <w:rPr>
                <w:sz w:val="21"/>
                <w:szCs w:val="21"/>
                <w:color w:val="auto"/>
              </w:rPr>
            </w:pPr>
          </w:p>
        </w:tc>
        <w:tc>
          <w:tcPr>
            <w:tcW w:w="640" w:type="dxa"/>
            <w:vAlign w:val="bottom"/>
            <w:shd w:val="clear" w:color="auto" w:fill="D5DCE4"/>
          </w:tcPr>
          <w:p>
            <w:pPr>
              <w:spacing w:after="0"/>
              <w:rPr>
                <w:sz w:val="21"/>
                <w:szCs w:val="21"/>
                <w:color w:val="auto"/>
              </w:rPr>
            </w:pPr>
          </w:p>
        </w:tc>
        <w:tc>
          <w:tcPr>
            <w:tcW w:w="13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53,279</w:t>
            </w:r>
          </w:p>
        </w:tc>
      </w:tr>
      <w:tr>
        <w:trPr>
          <w:trHeight w:val="243"/>
        </w:trPr>
        <w:tc>
          <w:tcPr>
            <w:tcW w:w="7180" w:type="dxa"/>
            <w:vAlign w:val="bottom"/>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(3)</w:t>
            </w:r>
          </w:p>
        </w:tc>
        <w:tc>
          <w:tcPr>
            <w:tcW w:w="660" w:type="dxa"/>
            <w:vAlign w:val="bottom"/>
          </w:tcPr>
          <w:p>
            <w:pPr>
              <w:spacing w:after="0"/>
              <w:rPr>
                <w:sz w:val="21"/>
                <w:szCs w:val="21"/>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(9,112)</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8,329</w:t>
            </w:r>
          </w:p>
        </w:tc>
      </w:tr>
      <w:tr>
        <w:trPr>
          <w:trHeight w:val="243"/>
        </w:trPr>
        <w:tc>
          <w:tcPr>
            <w:tcW w:w="71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(4)</w:t>
            </w:r>
          </w:p>
        </w:tc>
        <w:tc>
          <w:tcPr>
            <w:tcW w:w="660" w:type="dxa"/>
            <w:vAlign w:val="bottom"/>
            <w:shd w:val="clear" w:color="auto" w:fill="D5DCE4"/>
          </w:tcPr>
          <w:p>
            <w:pPr>
              <w:spacing w:after="0"/>
              <w:rPr>
                <w:sz w:val="21"/>
                <w:szCs w:val="21"/>
                <w:color w:val="auto"/>
              </w:rPr>
            </w:pPr>
          </w:p>
        </w:tc>
        <w:tc>
          <w:tcPr>
            <w:tcW w:w="1420" w:type="dxa"/>
            <w:vAlign w:val="bottom"/>
            <w:gridSpan w:val="2"/>
            <w:shd w:val="clear" w:color="auto" w:fill="D5DCE4"/>
          </w:tcPr>
          <w:p>
            <w:pPr>
              <w:jc w:val="right"/>
              <w:ind w:right="300"/>
              <w:spacing w:after="0"/>
              <w:rPr>
                <w:sz w:val="20"/>
                <w:szCs w:val="20"/>
                <w:color w:val="auto"/>
              </w:rPr>
            </w:pPr>
            <w:r>
              <w:rPr>
                <w:rFonts w:ascii="Arial" w:cs="Arial" w:eastAsia="Arial" w:hAnsi="Arial"/>
                <w:sz w:val="16"/>
                <w:szCs w:val="16"/>
                <w:color w:val="auto"/>
              </w:rPr>
              <w:t>—</w:t>
            </w:r>
          </w:p>
        </w:tc>
        <w:tc>
          <w:tcPr>
            <w:tcW w:w="640" w:type="dxa"/>
            <w:vAlign w:val="bottom"/>
            <w:shd w:val="clear" w:color="auto" w:fill="D5DCE4"/>
          </w:tcPr>
          <w:p>
            <w:pPr>
              <w:spacing w:after="0"/>
              <w:rPr>
                <w:sz w:val="21"/>
                <w:szCs w:val="21"/>
                <w:color w:val="auto"/>
              </w:rPr>
            </w:pPr>
          </w:p>
        </w:tc>
        <w:tc>
          <w:tcPr>
            <w:tcW w:w="1340" w:type="dxa"/>
            <w:vAlign w:val="bottom"/>
            <w:shd w:val="clear" w:color="auto" w:fill="D5DCE4"/>
          </w:tcPr>
          <w:p>
            <w:pPr>
              <w:jc w:val="right"/>
              <w:ind w:right="119"/>
              <w:spacing w:after="0"/>
              <w:rPr>
                <w:sz w:val="20"/>
                <w:szCs w:val="20"/>
                <w:color w:val="auto"/>
              </w:rPr>
            </w:pPr>
            <w:r>
              <w:rPr>
                <w:rFonts w:ascii="Arial" w:cs="Arial" w:eastAsia="Arial" w:hAnsi="Arial"/>
                <w:sz w:val="16"/>
                <w:szCs w:val="16"/>
                <w:color w:val="auto"/>
              </w:rPr>
              <w:t>—</w:t>
            </w:r>
          </w:p>
        </w:tc>
      </w:tr>
      <w:tr>
        <w:trPr>
          <w:trHeight w:val="237"/>
        </w:trPr>
        <w:tc>
          <w:tcPr>
            <w:tcW w:w="7180" w:type="dxa"/>
            <w:vAlign w:val="bottom"/>
            <w:tcBorders>
              <w:bottom w:val="single" w:sz="8" w:color="D5DCE4"/>
            </w:tcBorders>
          </w:tcPr>
          <w:p>
            <w:pPr>
              <w:ind w:left="20"/>
              <w:spacing w:after="0"/>
              <w:rPr>
                <w:sz w:val="20"/>
                <w:szCs w:val="20"/>
                <w:color w:val="auto"/>
              </w:rPr>
            </w:pPr>
            <w:r>
              <w:rPr>
                <w:rFonts w:ascii="Arial" w:cs="Arial" w:eastAsia="Arial" w:hAnsi="Arial"/>
                <w:sz w:val="16"/>
                <w:szCs w:val="16"/>
                <w:color w:val="auto"/>
              </w:rPr>
              <w:t>Other (income) loss, net</w:t>
            </w:r>
          </w:p>
        </w:tc>
        <w:tc>
          <w:tcPr>
            <w:tcW w:w="6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1,156</w:t>
            </w:r>
          </w:p>
        </w:tc>
        <w:tc>
          <w:tcPr>
            <w:tcW w:w="80" w:type="dxa"/>
            <w:vAlign w:val="bottom"/>
            <w:tcBorders>
              <w:bottom w:val="single" w:sz="8" w:color="D5DCE4"/>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(4,221)</w:t>
            </w:r>
          </w:p>
        </w:tc>
      </w:tr>
      <w:tr>
        <w:trPr>
          <w:trHeight w:val="268"/>
        </w:trPr>
        <w:tc>
          <w:tcPr>
            <w:tcW w:w="718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EBITDA</w:t>
            </w:r>
          </w:p>
        </w:tc>
        <w:tc>
          <w:tcPr>
            <w:tcW w:w="660" w:type="dxa"/>
            <w:vAlign w:val="bottom"/>
            <w:tcBorders>
              <w:bottom w:val="single" w:sz="8" w:color="auto"/>
            </w:tcBorders>
            <w:shd w:val="clear" w:color="auto" w:fill="D5DCE4"/>
          </w:tcPr>
          <w:p>
            <w:pPr>
              <w:jc w:val="right"/>
              <w:ind w:right="4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339,683</w:t>
            </w:r>
          </w:p>
        </w:tc>
        <w:tc>
          <w:tcPr>
            <w:tcW w:w="80" w:type="dxa"/>
            <w:vAlign w:val="bottom"/>
            <w:tcBorders>
              <w:bottom w:val="single" w:sz="8" w:color="D5DCE4"/>
            </w:tcBorders>
            <w:shd w:val="clear" w:color="auto" w:fill="D5DCE4"/>
          </w:tcPr>
          <w:p>
            <w:pPr>
              <w:spacing w:after="0"/>
              <w:rPr>
                <w:sz w:val="22"/>
                <w:szCs w:val="22"/>
                <w:color w:val="auto"/>
              </w:rPr>
            </w:pPr>
          </w:p>
        </w:tc>
        <w:tc>
          <w:tcPr>
            <w:tcW w:w="640" w:type="dxa"/>
            <w:vAlign w:val="bottom"/>
            <w:tcBorders>
              <w:bottom w:val="single" w:sz="8" w:color="auto"/>
            </w:tcBorders>
            <w:shd w:val="clear" w:color="auto" w:fill="D5DCE4"/>
          </w:tcPr>
          <w:p>
            <w:pPr>
              <w:jc w:val="right"/>
              <w:ind w:right="4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278,219</w:t>
            </w:r>
          </w:p>
        </w:tc>
      </w:tr>
      <w:tr>
        <w:trPr>
          <w:trHeight w:val="20"/>
        </w:trPr>
        <w:tc>
          <w:tcPr>
            <w:tcW w:w="7180" w:type="dxa"/>
            <w:vAlign w:val="bottom"/>
            <w:tcBorders>
              <w:top w:val="single" w:sz="8" w:color="D5DCE4"/>
            </w:tcBorders>
          </w:tcPr>
          <w:p>
            <w:pPr>
              <w:spacing w:after="0" w:line="20" w:lineRule="exact"/>
              <w:rPr>
                <w:sz w:val="1"/>
                <w:szCs w:val="1"/>
                <w:color w:val="auto"/>
              </w:rPr>
            </w:pPr>
          </w:p>
        </w:tc>
        <w:tc>
          <w:tcPr>
            <w:tcW w:w="660" w:type="dxa"/>
            <w:vAlign w:val="bottom"/>
            <w:tcBorders>
              <w:top w:val="single" w:sz="8" w:color="D5DCE4"/>
              <w:bottom w:val="single" w:sz="8" w:color="auto"/>
            </w:tcBorders>
          </w:tcPr>
          <w:p>
            <w:pPr>
              <w:spacing w:after="0" w:line="20" w:lineRule="exact"/>
              <w:rPr>
                <w:sz w:val="1"/>
                <w:szCs w:val="1"/>
                <w:color w:val="auto"/>
              </w:rPr>
            </w:pPr>
          </w:p>
        </w:tc>
        <w:tc>
          <w:tcPr>
            <w:tcW w:w="134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640" w:type="dxa"/>
            <w:vAlign w:val="bottom"/>
            <w:tcBorders>
              <w:top w:val="single" w:sz="8" w:color="D5DCE4"/>
              <w:bottom w:val="single" w:sz="8" w:color="auto"/>
            </w:tcBorders>
          </w:tcPr>
          <w:p>
            <w:pPr>
              <w:spacing w:after="0" w:line="20" w:lineRule="exact"/>
              <w:rPr>
                <w:sz w:val="1"/>
                <w:szCs w:val="1"/>
                <w:color w:val="auto"/>
              </w:rPr>
            </w:pPr>
          </w:p>
        </w:tc>
        <w:tc>
          <w:tcPr>
            <w:tcW w:w="1340" w:type="dxa"/>
            <w:vAlign w:val="bottom"/>
            <w:tcBorders>
              <w:top w:val="single" w:sz="8" w:color="D5DCE4"/>
              <w:bottom w:val="single" w:sz="8" w:color="auto"/>
            </w:tcBorders>
          </w:tcPr>
          <w:p>
            <w:pPr>
              <w:spacing w:after="0" w:line="20" w:lineRule="exact"/>
              <w:rPr>
                <w:sz w:val="1"/>
                <w:szCs w:val="1"/>
                <w:color w:val="auto"/>
              </w:rPr>
            </w:pPr>
          </w:p>
        </w:tc>
      </w:tr>
      <w:tr>
        <w:trPr>
          <w:trHeight w:val="209"/>
        </w:trPr>
        <w:tc>
          <w:tcPr>
            <w:tcW w:w="7180" w:type="dxa"/>
            <w:vAlign w:val="bottom"/>
          </w:tcPr>
          <w:p>
            <w:pPr>
              <w:ind w:left="20"/>
              <w:spacing w:after="0"/>
              <w:rPr>
                <w:sz w:val="20"/>
                <w:szCs w:val="20"/>
                <w:color w:val="auto"/>
              </w:rPr>
            </w:pPr>
            <w:r>
              <w:rPr>
                <w:rFonts w:ascii="Arial" w:cs="Arial" w:eastAsia="Arial" w:hAnsi="Arial"/>
                <w:sz w:val="16"/>
                <w:szCs w:val="16"/>
                <w:color w:val="auto"/>
              </w:rPr>
              <w:t>Less: Depreciation and amortization</w:t>
            </w:r>
          </w:p>
        </w:tc>
        <w:tc>
          <w:tcPr>
            <w:tcW w:w="66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(60,709)</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40" w:type="dxa"/>
            <w:vAlign w:val="bottom"/>
          </w:tcPr>
          <w:p>
            <w:pPr>
              <w:jc w:val="right"/>
              <w:ind w:right="79"/>
              <w:spacing w:after="0"/>
              <w:rPr>
                <w:sz w:val="20"/>
                <w:szCs w:val="20"/>
                <w:color w:val="auto"/>
              </w:rPr>
            </w:pPr>
            <w:r>
              <w:rPr>
                <w:rFonts w:ascii="Arial" w:cs="Arial" w:eastAsia="Arial" w:hAnsi="Arial"/>
                <w:sz w:val="16"/>
                <w:szCs w:val="16"/>
                <w:color w:val="auto"/>
              </w:rPr>
              <w:t>(62,699)</w:t>
            </w:r>
          </w:p>
        </w:tc>
      </w:tr>
      <w:tr>
        <w:trPr>
          <w:trHeight w:val="251"/>
        </w:trPr>
        <w:tc>
          <w:tcPr>
            <w:tcW w:w="71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Add: D&amp;A related to acquisitions and the Refinitiv Transaction </w:t>
            </w:r>
            <w:r>
              <w:rPr>
                <w:rFonts w:ascii="Arial" w:cs="Arial" w:eastAsia="Arial" w:hAnsi="Arial"/>
                <w:sz w:val="21"/>
                <w:szCs w:val="21"/>
                <w:color w:val="auto"/>
                <w:vertAlign w:val="superscript"/>
              </w:rPr>
              <w:t>(5)</w:t>
            </w:r>
          </w:p>
        </w:tc>
        <w:tc>
          <w:tcPr>
            <w:tcW w:w="660" w:type="dxa"/>
            <w:vAlign w:val="bottom"/>
            <w:tcBorders>
              <w:bottom w:val="single" w:sz="8" w:color="auto"/>
            </w:tcBorders>
            <w:shd w:val="clear" w:color="auto" w:fill="D5DCE4"/>
          </w:tcPr>
          <w:p>
            <w:pPr>
              <w:spacing w:after="0"/>
              <w:rPr>
                <w:sz w:val="21"/>
                <w:szCs w:val="21"/>
                <w:color w:val="auto"/>
              </w:rPr>
            </w:pPr>
          </w:p>
        </w:tc>
        <w:tc>
          <w:tcPr>
            <w:tcW w:w="1340" w:type="dxa"/>
            <w:vAlign w:val="bottom"/>
            <w:tcBorders>
              <w:bottom w:val="single" w:sz="8" w:color="auto"/>
            </w:tcBorders>
            <w:shd w:val="clear" w:color="auto" w:fill="D5DCE4"/>
          </w:tcPr>
          <w:p>
            <w:pPr>
              <w:jc w:val="right"/>
              <w:ind w:right="139"/>
              <w:spacing w:after="0"/>
              <w:rPr>
                <w:sz w:val="20"/>
                <w:szCs w:val="20"/>
                <w:color w:val="auto"/>
              </w:rPr>
            </w:pPr>
            <w:r>
              <w:rPr>
                <w:rFonts w:ascii="Arial" w:cs="Arial" w:eastAsia="Arial" w:hAnsi="Arial"/>
                <w:sz w:val="16"/>
                <w:szCs w:val="16"/>
                <w:color w:val="auto"/>
              </w:rPr>
              <w:t>39,902</w:t>
            </w:r>
          </w:p>
        </w:tc>
        <w:tc>
          <w:tcPr>
            <w:tcW w:w="80" w:type="dxa"/>
            <w:vAlign w:val="bottom"/>
            <w:shd w:val="clear" w:color="auto" w:fill="D5DCE4"/>
          </w:tcPr>
          <w:p>
            <w:pPr>
              <w:spacing w:after="0"/>
              <w:rPr>
                <w:sz w:val="21"/>
                <w:szCs w:val="21"/>
                <w:color w:val="auto"/>
              </w:rPr>
            </w:pPr>
          </w:p>
        </w:tc>
        <w:tc>
          <w:tcPr>
            <w:tcW w:w="640" w:type="dxa"/>
            <w:vAlign w:val="bottom"/>
            <w:tcBorders>
              <w:bottom w:val="single" w:sz="8" w:color="auto"/>
            </w:tcBorders>
            <w:shd w:val="clear" w:color="auto" w:fill="D5DCE4"/>
          </w:tcPr>
          <w:p>
            <w:pPr>
              <w:spacing w:after="0"/>
              <w:rPr>
                <w:sz w:val="21"/>
                <w:szCs w:val="21"/>
                <w:color w:val="auto"/>
              </w:rPr>
            </w:pPr>
          </w:p>
        </w:tc>
        <w:tc>
          <w:tcPr>
            <w:tcW w:w="1340" w:type="dxa"/>
            <w:vAlign w:val="bottom"/>
            <w:tcBorders>
              <w:bottom w:val="single" w:sz="8" w:color="auto"/>
            </w:tcBorders>
            <w:shd w:val="clear" w:color="auto" w:fill="D5DCE4"/>
          </w:tcPr>
          <w:p>
            <w:pPr>
              <w:jc w:val="right"/>
              <w:ind w:right="119"/>
              <w:spacing w:after="0"/>
              <w:rPr>
                <w:sz w:val="20"/>
                <w:szCs w:val="20"/>
                <w:color w:val="auto"/>
              </w:rPr>
            </w:pPr>
            <w:r>
              <w:rPr>
                <w:rFonts w:ascii="Arial" w:cs="Arial" w:eastAsia="Arial" w:hAnsi="Arial"/>
                <w:sz w:val="16"/>
                <w:szCs w:val="16"/>
                <w:color w:val="auto"/>
              </w:rPr>
              <w:t>45,473</w:t>
            </w:r>
          </w:p>
        </w:tc>
      </w:tr>
      <w:tr>
        <w:trPr>
          <w:trHeight w:val="236"/>
        </w:trPr>
        <w:tc>
          <w:tcPr>
            <w:tcW w:w="7180" w:type="dxa"/>
            <w:vAlign w:val="bottom"/>
          </w:tcPr>
          <w:p>
            <w:pPr>
              <w:ind w:left="20"/>
              <w:spacing w:after="0"/>
              <w:rPr>
                <w:sz w:val="20"/>
                <w:szCs w:val="20"/>
                <w:color w:val="auto"/>
              </w:rPr>
            </w:pPr>
            <w:r>
              <w:rPr>
                <w:rFonts w:ascii="Arial" w:cs="Arial" w:eastAsia="Arial" w:hAnsi="Arial"/>
                <w:sz w:val="16"/>
                <w:szCs w:val="16"/>
                <w:color w:val="auto"/>
              </w:rPr>
              <w:t>Adjusted EBIT</w:t>
            </w:r>
          </w:p>
        </w:tc>
        <w:tc>
          <w:tcPr>
            <w:tcW w:w="6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318,876</w:t>
            </w:r>
          </w:p>
        </w:tc>
        <w:tc>
          <w:tcPr>
            <w:tcW w:w="80" w:type="dxa"/>
            <w:vAlign w:val="bottom"/>
          </w:tcPr>
          <w:p>
            <w:pPr>
              <w:spacing w:after="0"/>
              <w:rPr>
                <w:sz w:val="20"/>
                <w:szCs w:val="20"/>
                <w:color w:val="auto"/>
              </w:rPr>
            </w:pP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260,993</w:t>
            </w:r>
          </w:p>
        </w:tc>
      </w:tr>
      <w:tr>
        <w:trPr>
          <w:trHeight w:val="20"/>
        </w:trPr>
        <w:tc>
          <w:tcPr>
            <w:tcW w:w="7180" w:type="dxa"/>
            <w:vAlign w:val="bottom"/>
            <w:tcBorders>
              <w:bottom w:val="single" w:sz="8" w:color="D5DCE4"/>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7180" w:type="dxa"/>
            <w:vAlign w:val="bottom"/>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Net income margin </w:t>
            </w:r>
            <w:r>
              <w:rPr>
                <w:rFonts w:ascii="Arial" w:cs="Arial" w:eastAsia="Arial" w:hAnsi="Arial"/>
                <w:sz w:val="21"/>
                <w:szCs w:val="21"/>
                <w:color w:val="auto"/>
                <w:vertAlign w:val="superscript"/>
              </w:rPr>
              <w:t>(6)</w:t>
            </w:r>
          </w:p>
        </w:tc>
        <w:tc>
          <w:tcPr>
            <w:tcW w:w="660" w:type="dxa"/>
            <w:vAlign w:val="bottom"/>
            <w:shd w:val="clear" w:color="auto" w:fill="D5DCE4"/>
          </w:tcPr>
          <w:p>
            <w:pPr>
              <w:spacing w:after="0"/>
              <w:rPr>
                <w:sz w:val="20"/>
                <w:szCs w:val="20"/>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37.7 %</w:t>
            </w:r>
          </w:p>
        </w:tc>
        <w:tc>
          <w:tcPr>
            <w:tcW w:w="80" w:type="dxa"/>
            <w:vAlign w:val="bottom"/>
            <w:shd w:val="clear" w:color="auto" w:fill="D5DCE4"/>
          </w:tcPr>
          <w:p>
            <w:pPr>
              <w:spacing w:after="0"/>
              <w:rPr>
                <w:sz w:val="20"/>
                <w:szCs w:val="20"/>
                <w:color w:val="auto"/>
              </w:rPr>
            </w:pPr>
          </w:p>
        </w:tc>
        <w:tc>
          <w:tcPr>
            <w:tcW w:w="640" w:type="dxa"/>
            <w:vAlign w:val="bottom"/>
            <w:shd w:val="clear" w:color="auto" w:fill="D5DCE4"/>
          </w:tcPr>
          <w:p>
            <w:pPr>
              <w:spacing w:after="0"/>
              <w:rPr>
                <w:sz w:val="20"/>
                <w:szCs w:val="20"/>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33.0 %</w:t>
            </w:r>
          </w:p>
        </w:tc>
      </w:tr>
      <w:tr>
        <w:trPr>
          <w:trHeight w:val="243"/>
        </w:trPr>
        <w:tc>
          <w:tcPr>
            <w:tcW w:w="7180" w:type="dxa"/>
            <w:vAlign w:val="bottom"/>
          </w:tcPr>
          <w:p>
            <w:pPr>
              <w:ind w:left="20"/>
              <w:spacing w:after="0"/>
              <w:rPr>
                <w:sz w:val="20"/>
                <w:szCs w:val="20"/>
                <w:color w:val="auto"/>
              </w:rPr>
            </w:pPr>
            <w:r>
              <w:rPr>
                <w:rFonts w:ascii="Arial" w:cs="Arial" w:eastAsia="Arial" w:hAnsi="Arial"/>
                <w:sz w:val="16"/>
                <w:szCs w:val="16"/>
                <w:color w:val="auto"/>
              </w:rPr>
              <w:t xml:space="preserve">Adjusted EBITDA margin </w:t>
            </w:r>
            <w:r>
              <w:rPr>
                <w:rFonts w:ascii="Arial" w:cs="Arial" w:eastAsia="Arial" w:hAnsi="Arial"/>
                <w:sz w:val="21"/>
                <w:szCs w:val="21"/>
                <w:color w:val="auto"/>
                <w:vertAlign w:val="superscript"/>
              </w:rPr>
              <w:t>(6)</w:t>
            </w:r>
          </w:p>
        </w:tc>
        <w:tc>
          <w:tcPr>
            <w:tcW w:w="6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55.0 %</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54.6 %</w:t>
            </w:r>
          </w:p>
        </w:tc>
      </w:tr>
      <w:tr>
        <w:trPr>
          <w:trHeight w:val="243"/>
        </w:trPr>
        <w:tc>
          <w:tcPr>
            <w:tcW w:w="718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EBIT margin </w:t>
            </w:r>
            <w:r>
              <w:rPr>
                <w:rFonts w:ascii="Arial" w:cs="Arial" w:eastAsia="Arial" w:hAnsi="Arial"/>
                <w:sz w:val="21"/>
                <w:szCs w:val="21"/>
                <w:color w:val="auto"/>
                <w:vertAlign w:val="superscript"/>
              </w:rPr>
              <w:t>(6)</w:t>
            </w:r>
          </w:p>
        </w:tc>
        <w:tc>
          <w:tcPr>
            <w:tcW w:w="660" w:type="dxa"/>
            <w:vAlign w:val="bottom"/>
            <w:shd w:val="clear" w:color="auto" w:fill="D5DCE4"/>
          </w:tcPr>
          <w:p>
            <w:pPr>
              <w:spacing w:after="0"/>
              <w:rPr>
                <w:sz w:val="21"/>
                <w:szCs w:val="21"/>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51.6 %</w:t>
            </w:r>
          </w:p>
        </w:tc>
        <w:tc>
          <w:tcPr>
            <w:tcW w:w="80" w:type="dxa"/>
            <w:vAlign w:val="bottom"/>
            <w:shd w:val="clear" w:color="auto" w:fill="D5DCE4"/>
          </w:tcPr>
          <w:p>
            <w:pPr>
              <w:spacing w:after="0"/>
              <w:rPr>
                <w:sz w:val="21"/>
                <w:szCs w:val="21"/>
                <w:color w:val="auto"/>
              </w:rPr>
            </w:pPr>
          </w:p>
        </w:tc>
        <w:tc>
          <w:tcPr>
            <w:tcW w:w="640" w:type="dxa"/>
            <w:vAlign w:val="bottom"/>
            <w:shd w:val="clear" w:color="auto" w:fill="D5DCE4"/>
          </w:tcPr>
          <w:p>
            <w:pPr>
              <w:spacing w:after="0"/>
              <w:rPr>
                <w:sz w:val="21"/>
                <w:szCs w:val="21"/>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51.2 %</w:t>
            </w:r>
          </w:p>
        </w:tc>
      </w:tr>
    </w:tbl>
    <w:p>
      <w:pPr>
        <w:spacing w:after="0" w:line="122" w:lineRule="exact"/>
        <w:rPr>
          <w:sz w:val="20"/>
          <w:szCs w:val="20"/>
          <w:color w:val="auto"/>
        </w:rPr>
      </w:pPr>
    </w:p>
    <w:p>
      <w:pPr>
        <w:ind w:left="440" w:right="24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ind w:left="440" w:right="160" w:hanging="414"/>
        <w:spacing w:after="0" w:line="276"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months ended March 31, 2026 and 2025, this adjustment also includes $0.5 million and $0.6 million, respectively, of non-cash stock-based compensation expense and related payroll taxes associated with RSAs and RSUs issued to help retain key ICD employees during the integration of ICD.</w:t>
      </w:r>
    </w:p>
    <w:p>
      <w:pPr>
        <w:spacing w:after="0" w:line="9" w:lineRule="exact"/>
        <w:rPr>
          <w:rFonts w:ascii="Arial" w:cs="Arial" w:eastAsia="Arial" w:hAnsi="Arial"/>
          <w:sz w:val="12"/>
          <w:szCs w:val="12"/>
          <w:color w:val="auto"/>
        </w:rPr>
      </w:pPr>
    </w:p>
    <w:p>
      <w:pPr>
        <w:ind w:left="440" w:right="14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ind w:left="440" w:right="44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ind w:left="440" w:right="360" w:hanging="414"/>
        <w:spacing w:after="0" w:line="293" w:lineRule="auto"/>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ind w:left="440" w:hanging="414"/>
        <w:spacing w:after="0"/>
        <w:tabs>
          <w:tab w:leader="none" w:pos="4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Net income margin, Adjusted EBITDA margin and Adjusted EBIT margin are defined as net income, Adjusted EBITDA and Adjusted EBIT, respectively, divided by revenue for the applicable period.</w:t>
      </w: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6</w:t>
      </w:r>
    </w:p>
    <w:p>
      <w:pPr>
        <w:sectPr>
          <w:pgSz w:w="11900" w:h="16838" w:orient="portrait"/>
          <w:cols w:equalWidth="0" w:num="1">
            <w:col w:w="11240"/>
          </w:cols>
          <w:pgMar w:left="320" w:top="773" w:right="3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23"/>
        </w:trPr>
        <w:tc>
          <w:tcPr>
            <w:tcW w:w="7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9"/>
                <w:szCs w:val="19"/>
                <w:color w:val="auto"/>
              </w:rPr>
            </w:pPr>
          </w:p>
        </w:tc>
      </w:tr>
      <w:tr>
        <w:trPr>
          <w:trHeight w:val="244"/>
        </w:trPr>
        <w:tc>
          <w:tcPr>
            <w:tcW w:w="7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1120" w:type="dxa"/>
            <w:vAlign w:val="bottom"/>
            <w:tcBorders>
              <w:bottom w:val="single" w:sz="8" w:color="auto"/>
            </w:tcBorders>
          </w:tcPr>
          <w:p>
            <w:pPr>
              <w:spacing w:after="0"/>
              <w:rPr>
                <w:sz w:val="21"/>
                <w:szCs w:val="21"/>
                <w:color w:val="auto"/>
              </w:rPr>
            </w:pPr>
          </w:p>
        </w:tc>
      </w:tr>
      <w:tr>
        <w:trPr>
          <w:trHeight w:val="239"/>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Net Income to Adjusted Net Income and Adjusted Diluted EPS</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w w:val="95"/>
              </w:rPr>
              <w:t>2025</w:t>
            </w:r>
          </w:p>
        </w:tc>
      </w:tr>
      <w:tr>
        <w:trPr>
          <w:trHeight w:val="223"/>
        </w:trPr>
        <w:tc>
          <w:tcPr>
            <w:tcW w:w="7300" w:type="dxa"/>
            <w:vAlign w:val="bottom"/>
          </w:tcPr>
          <w:p>
            <w:pPr>
              <w:spacing w:after="0"/>
              <w:rPr>
                <w:sz w:val="19"/>
                <w:szCs w:val="19"/>
                <w:color w:val="auto"/>
              </w:rPr>
            </w:pPr>
          </w:p>
        </w:tc>
        <w:tc>
          <w:tcPr>
            <w:tcW w:w="3940" w:type="dxa"/>
            <w:vAlign w:val="bottom"/>
            <w:gridSpan w:val="6"/>
          </w:tcPr>
          <w:p>
            <w:pPr>
              <w:jc w:val="right"/>
              <w:spacing w:after="0"/>
              <w:rPr>
                <w:sz w:val="20"/>
                <w:szCs w:val="20"/>
                <w:color w:val="auto"/>
              </w:rPr>
            </w:pPr>
            <w:r>
              <w:rPr>
                <w:rFonts w:ascii="Arial" w:cs="Arial" w:eastAsia="Arial" w:hAnsi="Arial"/>
                <w:sz w:val="16"/>
                <w:szCs w:val="16"/>
                <w:b w:val="1"/>
                <w:bCs w:val="1"/>
                <w:color w:val="auto"/>
              </w:rPr>
              <w:t>(dollars in thousands, except per share amounts)</w:t>
            </w:r>
          </w:p>
        </w:tc>
      </w:tr>
      <w:tr>
        <w:trPr>
          <w:trHeight w:val="266"/>
        </w:trPr>
        <w:tc>
          <w:tcPr>
            <w:tcW w:w="730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Earnings per diluted share</w:t>
            </w:r>
          </w:p>
        </w:tc>
        <w:tc>
          <w:tcPr>
            <w:tcW w:w="80" w:type="dxa"/>
            <w:vAlign w:val="bottom"/>
            <w:tcBorders>
              <w:bottom w:val="single" w:sz="8" w:color="D5DCE4"/>
            </w:tcBorders>
            <w:shd w:val="clear" w:color="auto" w:fill="D5DCE4"/>
          </w:tcPr>
          <w:p>
            <w:pPr>
              <w:spacing w:after="0"/>
              <w:rPr>
                <w:sz w:val="23"/>
                <w:szCs w:val="23"/>
                <w:color w:val="auto"/>
              </w:rPr>
            </w:pPr>
          </w:p>
        </w:tc>
        <w:tc>
          <w:tcPr>
            <w:tcW w:w="440" w:type="dxa"/>
            <w:vAlign w:val="bottom"/>
            <w:tcBorders>
              <w:bottom w:val="single" w:sz="8" w:color="auto"/>
            </w:tcBorders>
            <w:shd w:val="clear" w:color="auto" w:fill="D5DCE4"/>
          </w:tcPr>
          <w:p>
            <w:pPr>
              <w:jc w:val="right"/>
              <w:ind w:right="25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0.96</w:t>
            </w:r>
          </w:p>
        </w:tc>
        <w:tc>
          <w:tcPr>
            <w:tcW w:w="80" w:type="dxa"/>
            <w:vAlign w:val="bottom"/>
            <w:tcBorders>
              <w:bottom w:val="single" w:sz="8" w:color="D5DCE4"/>
            </w:tcBorders>
            <w:shd w:val="clear" w:color="auto" w:fill="D5DCE4"/>
          </w:tcPr>
          <w:p>
            <w:pPr>
              <w:spacing w:after="0"/>
              <w:rPr>
                <w:sz w:val="23"/>
                <w:szCs w:val="23"/>
                <w:color w:val="auto"/>
              </w:rPr>
            </w:pPr>
          </w:p>
        </w:tc>
        <w:tc>
          <w:tcPr>
            <w:tcW w:w="780" w:type="dxa"/>
            <w:vAlign w:val="bottom"/>
            <w:tcBorders>
              <w:bottom w:val="single" w:sz="8" w:color="auto"/>
            </w:tcBorders>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0.69</w:t>
            </w:r>
          </w:p>
        </w:tc>
      </w:tr>
      <w:tr>
        <w:trPr>
          <w:trHeight w:val="20"/>
        </w:trPr>
        <w:tc>
          <w:tcPr>
            <w:tcW w:w="7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9"/>
        </w:trPr>
        <w:tc>
          <w:tcPr>
            <w:tcW w:w="7300" w:type="dxa"/>
            <w:vAlign w:val="bottom"/>
          </w:tcPr>
          <w:p>
            <w:pPr>
              <w:ind w:left="20"/>
              <w:spacing w:after="0"/>
              <w:rPr>
                <w:sz w:val="20"/>
                <w:szCs w:val="20"/>
                <w:color w:val="auto"/>
              </w:rPr>
            </w:pPr>
            <w:r>
              <w:rPr>
                <w:rFonts w:ascii="Arial" w:cs="Arial" w:eastAsia="Arial" w:hAnsi="Arial"/>
                <w:sz w:val="16"/>
                <w:szCs w:val="16"/>
                <w:color w:val="auto"/>
              </w:rPr>
              <w:t>Net income attributable to Tradeweb Markets Inc.</w:t>
            </w:r>
          </w:p>
        </w:tc>
        <w:tc>
          <w:tcPr>
            <w:tcW w:w="52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205,284</w:t>
            </w:r>
          </w:p>
        </w:tc>
        <w:tc>
          <w:tcPr>
            <w:tcW w:w="80" w:type="dxa"/>
            <w:vAlign w:val="bottom"/>
          </w:tcPr>
          <w:p>
            <w:pPr>
              <w:spacing w:after="0"/>
              <w:rPr>
                <w:sz w:val="18"/>
                <w:szCs w:val="18"/>
                <w:color w:val="auto"/>
              </w:rPr>
            </w:pP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148,382</w:t>
            </w:r>
          </w:p>
        </w:tc>
      </w:tr>
      <w:tr>
        <w:trPr>
          <w:trHeight w:val="251"/>
        </w:trPr>
        <w:tc>
          <w:tcPr>
            <w:tcW w:w="73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Net income attributable to non-controlling interests </w:t>
            </w:r>
            <w:r>
              <w:rPr>
                <w:rFonts w:ascii="Arial" w:cs="Arial" w:eastAsia="Arial" w:hAnsi="Arial"/>
                <w:sz w:val="21"/>
                <w:szCs w:val="21"/>
                <w:color w:val="auto"/>
                <w:vertAlign w:val="superscript"/>
              </w:rPr>
              <w:t>(1)</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27,883</w:t>
            </w:r>
          </w:p>
        </w:tc>
        <w:tc>
          <w:tcPr>
            <w:tcW w:w="80" w:type="dxa"/>
            <w:vAlign w:val="bottom"/>
            <w:shd w:val="clear" w:color="auto" w:fill="D5DCE4"/>
          </w:tcPr>
          <w:p>
            <w:pPr>
              <w:spacing w:after="0"/>
              <w:rPr>
                <w:sz w:val="21"/>
                <w:szCs w:val="21"/>
                <w:color w:val="auto"/>
              </w:rPr>
            </w:pPr>
          </w:p>
        </w:tc>
        <w:tc>
          <w:tcPr>
            <w:tcW w:w="780" w:type="dxa"/>
            <w:vAlign w:val="bottom"/>
            <w:tcBorders>
              <w:bottom w:val="single" w:sz="8" w:color="auto"/>
            </w:tcBorders>
            <w:shd w:val="clear" w:color="auto" w:fill="D5DCE4"/>
          </w:tcPr>
          <w:p>
            <w:pPr>
              <w:spacing w:after="0"/>
              <w:rPr>
                <w:sz w:val="21"/>
                <w:szCs w:val="21"/>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19,923</w:t>
            </w:r>
          </w:p>
        </w:tc>
      </w:tr>
      <w:tr>
        <w:trPr>
          <w:trHeight w:val="229"/>
        </w:trPr>
        <w:tc>
          <w:tcPr>
            <w:tcW w:w="73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233,167</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168,305</w:t>
            </w:r>
          </w:p>
        </w:tc>
      </w:tr>
      <w:tr>
        <w:trPr>
          <w:trHeight w:val="251"/>
        </w:trPr>
        <w:tc>
          <w:tcPr>
            <w:tcW w:w="7300" w:type="dxa"/>
            <w:vAlign w:val="bottom"/>
            <w:shd w:val="clear" w:color="auto" w:fill="D5DCE4"/>
          </w:tcPr>
          <w:p>
            <w:pPr>
              <w:ind w:left="20"/>
              <w:spacing w:after="0"/>
              <w:rPr>
                <w:sz w:val="20"/>
                <w:szCs w:val="20"/>
                <w:color w:val="auto"/>
              </w:rPr>
            </w:pPr>
            <w:r>
              <w:rPr>
                <w:rFonts w:ascii="Arial" w:cs="Arial" w:eastAsia="Arial" w:hAnsi="Arial"/>
                <w:sz w:val="16"/>
                <w:szCs w:val="16"/>
                <w:color w:val="auto"/>
              </w:rPr>
              <w:t>Provision for income taxes</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69,757</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53,279</w:t>
            </w:r>
          </w:p>
        </w:tc>
      </w:tr>
      <w:tr>
        <w:trPr>
          <w:trHeight w:val="243"/>
        </w:trPr>
        <w:tc>
          <w:tcPr>
            <w:tcW w:w="7300" w:type="dxa"/>
            <w:vAlign w:val="bottom"/>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2,496</w:t>
            </w:r>
          </w:p>
        </w:tc>
      </w:tr>
      <w:tr>
        <w:trPr>
          <w:trHeight w:val="243"/>
        </w:trPr>
        <w:tc>
          <w:tcPr>
            <w:tcW w:w="73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(3)</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39,902</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45,473</w:t>
            </w:r>
          </w:p>
        </w:tc>
      </w:tr>
      <w:tr>
        <w:trPr>
          <w:trHeight w:val="243"/>
        </w:trPr>
        <w:tc>
          <w:tcPr>
            <w:tcW w:w="7300" w:type="dxa"/>
            <w:vAlign w:val="bottom"/>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656</w:t>
            </w: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43"/>
        </w:trPr>
        <w:tc>
          <w:tcPr>
            <w:tcW w:w="73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(5)</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(9,112)</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8,329</w:t>
            </w:r>
          </w:p>
        </w:tc>
      </w:tr>
      <w:tr>
        <w:trPr>
          <w:trHeight w:val="243"/>
        </w:trPr>
        <w:tc>
          <w:tcPr>
            <w:tcW w:w="7300" w:type="dxa"/>
            <w:vAlign w:val="bottom"/>
          </w:tcPr>
          <w:p>
            <w:pPr>
              <w:ind w:left="20"/>
              <w:spacing w:after="0"/>
              <w:rPr>
                <w:sz w:val="20"/>
                <w:szCs w:val="20"/>
                <w:color w:val="auto"/>
              </w:rPr>
            </w:pPr>
            <w:r>
              <w:rPr>
                <w:rFonts w:ascii="Arial" w:cs="Arial" w:eastAsia="Arial" w:hAnsi="Arial"/>
                <w:sz w:val="16"/>
                <w:szCs w:val="16"/>
                <w:color w:val="auto"/>
              </w:rPr>
              <w:t xml:space="preserve">Tax receivable agreement liability adjustment </w:t>
            </w:r>
            <w:r>
              <w:rPr>
                <w:rFonts w:ascii="Arial" w:cs="Arial" w:eastAsia="Arial" w:hAnsi="Arial"/>
                <w:sz w:val="21"/>
                <w:szCs w:val="21"/>
                <w:color w:val="auto"/>
                <w:vertAlign w:val="superscript"/>
              </w:rPr>
              <w:t>(6)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7300" w:type="dxa"/>
            <w:vAlign w:val="bottom"/>
            <w:shd w:val="clear" w:color="auto" w:fill="D5DCE4"/>
          </w:tcPr>
          <w:p>
            <w:pPr>
              <w:ind w:left="20"/>
              <w:spacing w:after="0"/>
              <w:rPr>
                <w:sz w:val="20"/>
                <w:szCs w:val="20"/>
                <w:color w:val="auto"/>
              </w:rPr>
            </w:pPr>
            <w:r>
              <w:rPr>
                <w:rFonts w:ascii="Arial" w:cs="Arial" w:eastAsia="Arial" w:hAnsi="Arial"/>
                <w:sz w:val="16"/>
                <w:szCs w:val="16"/>
                <w:color w:val="auto"/>
              </w:rPr>
              <w:t>Other (income) loss, net</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1,156</w:t>
            </w:r>
          </w:p>
        </w:tc>
        <w:tc>
          <w:tcPr>
            <w:tcW w:w="80" w:type="dxa"/>
            <w:vAlign w:val="bottom"/>
            <w:shd w:val="clear" w:color="auto" w:fill="D5DCE4"/>
          </w:tcPr>
          <w:p>
            <w:pPr>
              <w:spacing w:after="0"/>
              <w:rPr>
                <w:sz w:val="21"/>
                <w:szCs w:val="21"/>
                <w:color w:val="auto"/>
              </w:rPr>
            </w:pPr>
          </w:p>
        </w:tc>
        <w:tc>
          <w:tcPr>
            <w:tcW w:w="780" w:type="dxa"/>
            <w:vAlign w:val="bottom"/>
            <w:tcBorders>
              <w:bottom w:val="single" w:sz="8" w:color="auto"/>
            </w:tcBorders>
            <w:shd w:val="clear" w:color="auto" w:fill="D5DCE4"/>
          </w:tcPr>
          <w:p>
            <w:pPr>
              <w:spacing w:after="0"/>
              <w:rPr>
                <w:sz w:val="21"/>
                <w:szCs w:val="21"/>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(4,221)</w:t>
            </w:r>
          </w:p>
        </w:tc>
      </w:tr>
      <w:tr>
        <w:trPr>
          <w:trHeight w:val="229"/>
        </w:trPr>
        <w:tc>
          <w:tcPr>
            <w:tcW w:w="7300" w:type="dxa"/>
            <w:vAlign w:val="bottom"/>
          </w:tcPr>
          <w:p>
            <w:pPr>
              <w:ind w:left="20"/>
              <w:spacing w:after="0"/>
              <w:rPr>
                <w:sz w:val="20"/>
                <w:szCs w:val="20"/>
                <w:color w:val="auto"/>
              </w:rPr>
            </w:pPr>
            <w:r>
              <w:rPr>
                <w:rFonts w:ascii="Arial" w:cs="Arial" w:eastAsia="Arial" w:hAnsi="Arial"/>
                <w:sz w:val="16"/>
                <w:szCs w:val="16"/>
                <w:color w:val="auto"/>
              </w:rPr>
              <w:t>Adjusted Net Income before income taxes</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335,703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274,255</w:t>
            </w:r>
          </w:p>
        </w:tc>
      </w:tr>
      <w:tr>
        <w:trPr>
          <w:trHeight w:val="251"/>
        </w:trPr>
        <w:tc>
          <w:tcPr>
            <w:tcW w:w="7300" w:type="dxa"/>
            <w:vAlign w:val="bottom"/>
            <w:shd w:val="clear" w:color="auto" w:fill="D5DCE4"/>
          </w:tcPr>
          <w:p>
            <w:pPr>
              <w:ind w:left="20"/>
              <w:spacing w:after="0"/>
              <w:rPr>
                <w:sz w:val="20"/>
                <w:szCs w:val="20"/>
                <w:color w:val="auto"/>
              </w:rPr>
            </w:pPr>
            <w:r>
              <w:rPr>
                <w:rFonts w:ascii="Arial" w:cs="Arial" w:eastAsia="Arial" w:hAnsi="Arial"/>
                <w:sz w:val="16"/>
                <w:szCs w:val="16"/>
                <w:color w:val="auto"/>
              </w:rPr>
              <w:t xml:space="preserve">Adjusted income taxes </w:t>
            </w:r>
            <w:r>
              <w:rPr>
                <w:rFonts w:ascii="Arial" w:cs="Arial" w:eastAsia="Arial" w:hAnsi="Arial"/>
                <w:sz w:val="21"/>
                <w:szCs w:val="21"/>
                <w:color w:val="auto"/>
                <w:vertAlign w:val="superscript"/>
              </w:rPr>
              <w:t>(7)</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(80,569)</w:t>
            </w:r>
          </w:p>
        </w:tc>
        <w:tc>
          <w:tcPr>
            <w:tcW w:w="80" w:type="dxa"/>
            <w:vAlign w:val="bottom"/>
            <w:shd w:val="clear" w:color="auto" w:fill="D5DCE4"/>
          </w:tcPr>
          <w:p>
            <w:pPr>
              <w:spacing w:after="0"/>
              <w:rPr>
                <w:sz w:val="21"/>
                <w:szCs w:val="21"/>
                <w:color w:val="auto"/>
              </w:rPr>
            </w:pPr>
          </w:p>
        </w:tc>
        <w:tc>
          <w:tcPr>
            <w:tcW w:w="780" w:type="dxa"/>
            <w:vAlign w:val="bottom"/>
            <w:tcBorders>
              <w:bottom w:val="single" w:sz="8" w:color="auto"/>
            </w:tcBorders>
            <w:shd w:val="clear" w:color="auto" w:fill="D5DCE4"/>
          </w:tcPr>
          <w:p>
            <w:pPr>
              <w:spacing w:after="0"/>
              <w:rPr>
                <w:sz w:val="21"/>
                <w:szCs w:val="21"/>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(68,564)</w:t>
            </w:r>
          </w:p>
        </w:tc>
      </w:tr>
      <w:tr>
        <w:trPr>
          <w:trHeight w:val="237"/>
        </w:trPr>
        <w:tc>
          <w:tcPr>
            <w:tcW w:w="730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52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255,134</w:t>
            </w:r>
          </w:p>
        </w:tc>
        <w:tc>
          <w:tcPr>
            <w:tcW w:w="80" w:type="dxa"/>
            <w:vAlign w:val="bottom"/>
          </w:tcPr>
          <w:p>
            <w:pPr>
              <w:spacing w:after="0"/>
              <w:rPr>
                <w:sz w:val="20"/>
                <w:szCs w:val="20"/>
                <w:color w:val="auto"/>
              </w:rPr>
            </w:pP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205,691</w:t>
            </w:r>
          </w:p>
        </w:tc>
      </w:tr>
      <w:tr>
        <w:trPr>
          <w:trHeight w:val="20"/>
        </w:trPr>
        <w:tc>
          <w:tcPr>
            <w:tcW w:w="73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57"/>
        </w:trPr>
        <w:tc>
          <w:tcPr>
            <w:tcW w:w="7300" w:type="dxa"/>
            <w:vAlign w:val="bottom"/>
            <w:shd w:val="clear" w:color="auto" w:fill="D5DCE4"/>
          </w:tcPr>
          <w:p>
            <w:pPr>
              <w:ind w:left="20"/>
              <w:spacing w:after="0" w:line="237" w:lineRule="exact"/>
              <w:rPr>
                <w:sz w:val="20"/>
                <w:szCs w:val="20"/>
                <w:color w:val="auto"/>
              </w:rPr>
            </w:pPr>
            <w:r>
              <w:rPr>
                <w:rFonts w:ascii="Arial" w:cs="Arial" w:eastAsia="Arial" w:hAnsi="Arial"/>
                <w:sz w:val="16"/>
                <w:szCs w:val="16"/>
                <w:color w:val="auto"/>
              </w:rPr>
              <w:t xml:space="preserve">Adjusted Diluted EPS </w:t>
            </w:r>
            <w:r>
              <w:rPr>
                <w:rFonts w:ascii="Arial" w:cs="Arial" w:eastAsia="Arial" w:hAnsi="Arial"/>
                <w:sz w:val="21"/>
                <w:szCs w:val="21"/>
                <w:color w:val="auto"/>
                <w:vertAlign w:val="superscript"/>
              </w:rPr>
              <w:t>(8)</w:t>
            </w:r>
          </w:p>
        </w:tc>
        <w:tc>
          <w:tcPr>
            <w:tcW w:w="520" w:type="dxa"/>
            <w:vAlign w:val="bottom"/>
            <w:gridSpan w:val="2"/>
            <w:shd w:val="clear" w:color="auto" w:fill="D5DCE4"/>
          </w:tcPr>
          <w:p>
            <w:pPr>
              <w:jc w:val="right"/>
              <w:ind w:right="25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1.08</w:t>
            </w:r>
          </w:p>
        </w:tc>
        <w:tc>
          <w:tcPr>
            <w:tcW w:w="80" w:type="dxa"/>
            <w:vAlign w:val="bottom"/>
            <w:shd w:val="clear" w:color="auto" w:fill="D5DCE4"/>
          </w:tcPr>
          <w:p>
            <w:pPr>
              <w:spacing w:after="0"/>
              <w:rPr>
                <w:sz w:val="22"/>
                <w:szCs w:val="22"/>
                <w:color w:val="auto"/>
              </w:rPr>
            </w:pPr>
          </w:p>
        </w:tc>
        <w:tc>
          <w:tcPr>
            <w:tcW w:w="78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0.86</w:t>
            </w:r>
          </w:p>
        </w:tc>
      </w:tr>
      <w:tr>
        <w:trPr>
          <w:trHeight w:val="20"/>
        </w:trPr>
        <w:tc>
          <w:tcPr>
            <w:tcW w:w="73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40" w:right="240" w:hanging="414"/>
        <w:spacing w:after="0" w:line="271"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the reallocation of net income attributable to non-controlling interests from the assumed exchange of all outstanding LLC Interests held by non-controlling interests for shares of Class A or Class B common stock.</w:t>
      </w:r>
    </w:p>
    <w:p>
      <w:pPr>
        <w:spacing w:after="0" w:line="25" w:lineRule="exact"/>
        <w:rPr>
          <w:rFonts w:ascii="Arial" w:cs="Arial" w:eastAsia="Arial" w:hAnsi="Arial"/>
          <w:sz w:val="12"/>
          <w:szCs w:val="12"/>
          <w:color w:val="auto"/>
        </w:rPr>
      </w:pPr>
    </w:p>
    <w:p>
      <w:pPr>
        <w:ind w:left="440" w:right="260" w:hanging="414"/>
        <w:spacing w:after="0" w:line="271"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25" w:lineRule="exact"/>
        <w:rPr>
          <w:rFonts w:ascii="Arial" w:cs="Arial" w:eastAsia="Arial" w:hAnsi="Arial"/>
          <w:sz w:val="12"/>
          <w:szCs w:val="12"/>
          <w:color w:val="auto"/>
        </w:rPr>
      </w:pPr>
    </w:p>
    <w:p>
      <w:pPr>
        <w:ind w:left="440" w:right="380" w:hanging="414"/>
        <w:spacing w:after="0" w:line="271"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5" w:lineRule="exact"/>
        <w:rPr>
          <w:rFonts w:ascii="Arial" w:cs="Arial" w:eastAsia="Arial" w:hAnsi="Arial"/>
          <w:sz w:val="12"/>
          <w:szCs w:val="12"/>
          <w:color w:val="auto"/>
        </w:rPr>
      </w:pPr>
    </w:p>
    <w:p>
      <w:pPr>
        <w:ind w:left="440" w:right="180" w:hanging="414"/>
        <w:spacing w:after="0" w:line="264"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months ended March 31, 2026 and 2025, this adjustment also includes $0.5 million and $0.6 million, respectively, of non-cash stock-based compensation expense and related payroll taxes associated with RSAs and RSUs issued to help retain key ICD employees during the integration of ICD.</w:t>
      </w:r>
    </w:p>
    <w:p>
      <w:pPr>
        <w:spacing w:after="0" w:line="30" w:lineRule="exact"/>
        <w:rPr>
          <w:rFonts w:ascii="Arial" w:cs="Arial" w:eastAsia="Arial" w:hAnsi="Arial"/>
          <w:sz w:val="12"/>
          <w:szCs w:val="12"/>
          <w:color w:val="auto"/>
        </w:rPr>
      </w:pPr>
    </w:p>
    <w:p>
      <w:pPr>
        <w:ind w:left="440" w:right="160" w:hanging="414"/>
        <w:spacing w:after="0" w:line="271"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25" w:lineRule="exact"/>
        <w:rPr>
          <w:rFonts w:ascii="Arial" w:cs="Arial" w:eastAsia="Arial" w:hAnsi="Arial"/>
          <w:sz w:val="12"/>
          <w:szCs w:val="12"/>
          <w:color w:val="auto"/>
        </w:rPr>
      </w:pPr>
    </w:p>
    <w:p>
      <w:pPr>
        <w:ind w:left="440" w:right="460" w:hanging="414"/>
        <w:spacing w:after="0" w:line="271"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income recognized during the applicable period due to changes in the tax receivable agreement liability recorded in the consolidated statements of financial condition as a result of, as applicable, changes in the mix of earnings, tax legislation and tax rates in various jurisdictions which impacted our tax savings.</w:t>
      </w:r>
    </w:p>
    <w:p>
      <w:pPr>
        <w:spacing w:after="0" w:line="93" w:lineRule="exact"/>
        <w:rPr>
          <w:rFonts w:ascii="Arial" w:cs="Arial" w:eastAsia="Arial" w:hAnsi="Arial"/>
          <w:sz w:val="12"/>
          <w:szCs w:val="12"/>
          <w:color w:val="auto"/>
        </w:rPr>
      </w:pPr>
    </w:p>
    <w:p>
      <w:pPr>
        <w:ind w:left="440" w:right="300" w:hanging="414"/>
        <w:spacing w:after="0" w:line="284"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Represents corporate income taxes at an assumed effective tax rate of 24.0% and 25.0% applied to Adjusted Net Income before income taxes for the three months ended March 31, 2026 and 2025, respectively</w:t>
      </w:r>
      <w:r>
        <w:rPr>
          <w:rFonts w:ascii="Arial" w:cs="Arial" w:eastAsia="Arial" w:hAnsi="Arial"/>
          <w:sz w:val="14"/>
          <w:szCs w:val="14"/>
          <w:color w:val="auto"/>
        </w:rPr>
        <w:t>.</w:t>
      </w:r>
    </w:p>
    <w:p>
      <w:pPr>
        <w:spacing w:after="0" w:line="24" w:lineRule="exact"/>
        <w:rPr>
          <w:rFonts w:ascii="Arial" w:cs="Arial" w:eastAsia="Arial" w:hAnsi="Arial"/>
          <w:sz w:val="12"/>
          <w:szCs w:val="12"/>
          <w:color w:val="auto"/>
        </w:rPr>
      </w:pPr>
    </w:p>
    <w:p>
      <w:pPr>
        <w:ind w:left="440" w:right="100" w:hanging="414"/>
        <w:spacing w:after="0" w:line="271" w:lineRule="auto"/>
        <w:tabs>
          <w:tab w:leader="none" w:pos="4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For a summary of the calculation of Adjusted Diluted EPS, see “Reconciliation of Diluted Weighted Average Shares Outstanding to Adjusted Diluted Weighted Average Shares Outstanding and Adjusted Diluted EPS” below.</w:t>
      </w:r>
    </w:p>
    <w:p>
      <w:pPr>
        <w:spacing w:after="0" w:line="27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calculation of Adjusted Diluted EPS for the periods presented:</w:t>
      </w:r>
    </w:p>
    <w:p>
      <w:pPr>
        <w:sectPr>
          <w:pgSz w:w="11900" w:h="16838" w:orient="portrait"/>
          <w:cols w:equalWidth="0" w:num="1">
            <w:col w:w="11240"/>
          </w:cols>
          <w:pgMar w:left="320" w:top="827"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20" w:right="160"/>
        <w:spacing w:after="0" w:line="296" w:lineRule="auto"/>
        <w:rPr>
          <w:sz w:val="20"/>
          <w:szCs w:val="20"/>
          <w:color w:val="auto"/>
        </w:rPr>
      </w:pPr>
      <w:r>
        <w:rPr>
          <w:rFonts w:ascii="Arial" w:cs="Arial" w:eastAsia="Arial" w:hAnsi="Arial"/>
          <w:sz w:val="16"/>
          <w:szCs w:val="16"/>
          <w:b w:val="1"/>
          <w:bCs w:val="1"/>
          <w:color w:val="auto"/>
        </w:rPr>
        <w:t>Reconciliation of Diluted Weighted Average Shares Outstanding to Adjusted Diluted Weighted Average Shares Outstanding and Adjusted 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62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color w:val="auto"/>
        </w:rPr>
        <w:t>Diluted weighted average shares of Class A and Class B common stock outstanding</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Weighted average of other participating securities </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line="234" w:lineRule="auto"/>
        <w:rPr>
          <w:sz w:val="20"/>
          <w:szCs w:val="20"/>
          <w:color w:val="auto"/>
        </w:rPr>
      </w:pPr>
      <w:r>
        <w:rPr>
          <w:rFonts w:ascii="Arial" w:cs="Arial" w:eastAsia="Arial" w:hAnsi="Arial"/>
          <w:sz w:val="16"/>
          <w:szCs w:val="16"/>
          <w:color w:val="auto"/>
        </w:rPr>
        <w:t xml:space="preserve">Assumed exchange of LLC Interests for shares of Class A or Class B common stock </w:t>
      </w:r>
      <w:r>
        <w:rPr>
          <w:rFonts w:ascii="Arial" w:cs="Arial" w:eastAsia="Arial" w:hAnsi="Arial"/>
          <w:sz w:val="21"/>
          <w:szCs w:val="21"/>
          <w:color w:val="auto"/>
          <w:vertAlign w:val="superscript"/>
        </w:rPr>
        <w:t>(2)</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jc w:val="center"/>
        <w:ind w:right="760"/>
        <w:spacing w:after="0"/>
        <w:rPr>
          <w:sz w:val="20"/>
          <w:szCs w:val="20"/>
          <w:color w:val="auto"/>
        </w:rPr>
      </w:pPr>
      <w:r>
        <w:rPr>
          <w:rFonts w:ascii="Arial" w:cs="Arial" w:eastAsia="Arial" w:hAnsi="Arial"/>
          <w:sz w:val="16"/>
          <w:szCs w:val="16"/>
          <w:b w:val="1"/>
          <w:bCs w:val="1"/>
          <w:color w:val="auto"/>
        </w:rPr>
        <w:t>Three Months Ended</w:t>
      </w:r>
    </w:p>
    <w:p>
      <w:pPr>
        <w:spacing w:after="0" w:line="59" w:lineRule="exact"/>
        <w:rPr>
          <w:sz w:val="20"/>
          <w:szCs w:val="20"/>
          <w:color w:val="auto"/>
        </w:rPr>
      </w:pPr>
    </w:p>
    <w:p>
      <w:pPr>
        <w:jc w:val="center"/>
        <w:ind w:right="7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29210</wp:posOffset>
            </wp:positionV>
            <wp:extent cx="24517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53" w:lineRule="exact"/>
        <w:rPr>
          <w:sz w:val="20"/>
          <w:szCs w:val="20"/>
          <w:color w:val="auto"/>
        </w:rPr>
      </w:pPr>
    </w:p>
    <w:p>
      <w:pPr>
        <w:spacing w:after="0"/>
        <w:tabs>
          <w:tab w:leader="none" w:pos="1960" w:val="left"/>
        </w:tabs>
        <w:rPr>
          <w:sz w:val="20"/>
          <w:szCs w:val="20"/>
          <w:color w:val="auto"/>
        </w:rPr>
      </w:pPr>
      <w:r>
        <w:rPr>
          <w:rFonts w:ascii="Arial" w:cs="Arial" w:eastAsia="Arial" w:hAnsi="Arial"/>
          <w:sz w:val="16"/>
          <w:szCs w:val="16"/>
          <w:b w:val="1"/>
          <w:bCs w:val="1"/>
          <w:color w:val="auto"/>
        </w:rPr>
        <w:t>2026</w:t>
      </w:r>
      <w:r>
        <w:rPr>
          <w:sz w:val="20"/>
          <w:szCs w:val="20"/>
          <w:color w:val="auto"/>
        </w:rPr>
        <w:tab/>
      </w:r>
      <w:r>
        <w:rPr>
          <w:rFonts w:ascii="Arial" w:cs="Arial" w:eastAsia="Arial" w:hAnsi="Arial"/>
          <w:sz w:val="16"/>
          <w:szCs w:val="16"/>
          <w:b w:val="1"/>
          <w:bCs w:val="1"/>
          <w:color w:val="auto"/>
        </w:rPr>
        <w:t>2025</w:t>
      </w:r>
    </w:p>
    <w:p>
      <w:pPr>
        <w:spacing w:after="0" w:line="73" w:lineRule="exact"/>
        <w:rPr>
          <w:sz w:val="20"/>
          <w:szCs w:val="20"/>
          <w:color w:val="auto"/>
        </w:rPr>
      </w:pPr>
    </w:p>
    <w:p>
      <w:pPr>
        <w:ind w:left="160"/>
        <w:spacing w:after="0"/>
        <w:tabs>
          <w:tab w:leader="none" w:pos="2100" w:val="left"/>
        </w:tabs>
        <w:rPr>
          <w:sz w:val="20"/>
          <w:szCs w:val="20"/>
          <w:color w:val="auto"/>
        </w:rPr>
      </w:pPr>
      <w:r>
        <w:rPr>
          <w:rFonts w:ascii="Arial" w:cs="Arial" w:eastAsia="Arial" w:hAnsi="Arial"/>
          <w:sz w:val="16"/>
          <w:szCs w:val="16"/>
          <w:color w:val="auto"/>
        </w:rPr>
        <w:t>213,324,648</w:t>
      </w:r>
      <w:r>
        <w:rPr>
          <w:sz w:val="20"/>
          <w:szCs w:val="20"/>
          <w:color w:val="auto"/>
        </w:rPr>
        <w:tab/>
      </w:r>
      <w:r>
        <w:rPr>
          <w:rFonts w:ascii="Arial" w:cs="Arial" w:eastAsia="Arial" w:hAnsi="Arial"/>
          <w:sz w:val="16"/>
          <w:szCs w:val="16"/>
          <w:color w:val="auto"/>
        </w:rPr>
        <w:t>214,895,418</w:t>
      </w:r>
    </w:p>
    <w:p>
      <w:pPr>
        <w:spacing w:after="0" w:line="59" w:lineRule="exact"/>
        <w:rPr>
          <w:sz w:val="20"/>
          <w:szCs w:val="20"/>
          <w:color w:val="auto"/>
        </w:rPr>
      </w:pPr>
    </w:p>
    <w:p>
      <w:pPr>
        <w:jc w:val="both"/>
        <w:ind w:left="560"/>
        <w:spacing w:after="0"/>
        <w:tabs>
          <w:tab w:leader="none" w:pos="2420" w:val="left"/>
        </w:tabs>
        <w:rPr>
          <w:sz w:val="20"/>
          <w:szCs w:val="20"/>
          <w:color w:val="auto"/>
        </w:rPr>
      </w:pPr>
      <w:r>
        <w:rPr>
          <w:rFonts w:ascii="Arial" w:cs="Arial" w:eastAsia="Arial" w:hAnsi="Arial"/>
          <w:sz w:val="16"/>
          <w:szCs w:val="16"/>
          <w:color w:val="auto"/>
        </w:rPr>
        <w:t>78,389</w:t>
      </w:r>
      <w:r>
        <w:rPr>
          <w:sz w:val="20"/>
          <w:szCs w:val="20"/>
          <w:color w:val="auto"/>
        </w:rPr>
        <w:tab/>
      </w:r>
      <w:r>
        <w:rPr>
          <w:rFonts w:ascii="Arial" w:cs="Arial" w:eastAsia="Arial" w:hAnsi="Arial"/>
          <w:sz w:val="16"/>
          <w:szCs w:val="16"/>
          <w:color w:val="auto"/>
        </w:rPr>
        <w:t>185,309</w:t>
      </w:r>
    </w:p>
    <w:p>
      <w:pPr>
        <w:spacing w:after="0" w:line="59" w:lineRule="exact"/>
        <w:rPr>
          <w:sz w:val="20"/>
          <w:szCs w:val="20"/>
          <w:color w:val="auto"/>
        </w:rPr>
      </w:pPr>
    </w:p>
    <w:p>
      <w:pPr>
        <w:ind w:left="240"/>
        <w:spacing w:after="0"/>
        <w:tabs>
          <w:tab w:leader="none" w:pos="2200" w:val="left"/>
        </w:tabs>
        <w:rPr>
          <w:sz w:val="20"/>
          <w:szCs w:val="20"/>
          <w:color w:val="auto"/>
        </w:rPr>
      </w:pPr>
      <w:r>
        <w:rPr>
          <w:rFonts w:ascii="Arial" w:cs="Arial" w:eastAsia="Arial" w:hAnsi="Arial"/>
          <w:sz w:val="15"/>
          <w:szCs w:val="15"/>
          <w:color w:val="auto"/>
        </w:rPr>
        <w:t>23,056,868</w:t>
      </w:r>
      <w:r>
        <w:rPr>
          <w:sz w:val="20"/>
          <w:szCs w:val="20"/>
          <w:color w:val="auto"/>
        </w:rPr>
        <w:tab/>
      </w:r>
      <w:r>
        <w:rPr>
          <w:rFonts w:ascii="Arial" w:cs="Arial" w:eastAsia="Arial" w:hAnsi="Arial"/>
          <w:sz w:val="15"/>
          <w:szCs w:val="15"/>
          <w:color w:val="auto"/>
        </w:rPr>
        <w:t>23,070,027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36830</wp:posOffset>
            </wp:positionV>
            <wp:extent cx="24517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84" w:lineRule="exact"/>
        <w:rPr>
          <w:sz w:val="20"/>
          <w:szCs w:val="20"/>
          <w:color w:val="auto"/>
        </w:rPr>
      </w:pPr>
    </w:p>
    <w:p>
      <w:pPr>
        <w:sectPr>
          <w:pgSz w:w="11900" w:h="16838" w:orient="portrait"/>
          <w:cols w:equalWidth="0" w:num="2">
            <w:col w:w="7420" w:space="720"/>
            <w:col w:w="3100"/>
          </w:cols>
          <w:pgMar w:left="320" w:top="827"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380" w:type="dxa"/>
            <w:vAlign w:val="bottom"/>
          </w:tcPr>
          <w:p>
            <w:pPr>
              <w:ind w:left="20"/>
              <w:spacing w:after="0"/>
              <w:rPr>
                <w:sz w:val="20"/>
                <w:szCs w:val="20"/>
                <w:color w:val="auto"/>
              </w:rPr>
            </w:pPr>
            <w:r>
              <w:rPr>
                <w:rFonts w:ascii="Arial" w:cs="Arial" w:eastAsia="Arial" w:hAnsi="Arial"/>
                <w:sz w:val="16"/>
                <w:szCs w:val="16"/>
                <w:color w:val="auto"/>
              </w:rPr>
              <w:t>Adjusted diluted weighted average shares outstanding</w:t>
            </w:r>
          </w:p>
        </w:tc>
        <w:tc>
          <w:tcPr>
            <w:tcW w:w="5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236,459,905</w:t>
            </w:r>
          </w:p>
        </w:tc>
        <w:tc>
          <w:tcPr>
            <w:tcW w:w="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238,150,754</w:t>
            </w:r>
          </w:p>
        </w:tc>
      </w:tr>
      <w:tr>
        <w:trPr>
          <w:trHeight w:val="20"/>
        </w:trPr>
        <w:tc>
          <w:tcPr>
            <w:tcW w:w="738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62"/>
        </w:trPr>
        <w:tc>
          <w:tcPr>
            <w:tcW w:w="7380" w:type="dxa"/>
            <w:vAlign w:val="bottom"/>
            <w:tcBorders>
              <w:bottom w:val="single" w:sz="8" w:color="D5DCE4"/>
            </w:tcBorders>
            <w:shd w:val="clear" w:color="auto" w:fill="D5DCE4"/>
          </w:tcPr>
          <w:p>
            <w:pPr>
              <w:ind w:left="20"/>
              <w:spacing w:after="0"/>
              <w:rPr>
                <w:sz w:val="20"/>
                <w:szCs w:val="20"/>
                <w:color w:val="auto"/>
              </w:rPr>
            </w:pPr>
            <w:r>
              <w:rPr>
                <w:rFonts w:ascii="Arial" w:cs="Arial" w:eastAsia="Arial" w:hAnsi="Arial"/>
                <w:sz w:val="16"/>
                <w:szCs w:val="16"/>
                <w:color w:val="auto"/>
              </w:rPr>
              <w:t>Adjusted Net Income (in thousands)</w:t>
            </w:r>
          </w:p>
        </w:tc>
        <w:tc>
          <w:tcPr>
            <w:tcW w:w="520" w:type="dxa"/>
            <w:vAlign w:val="bottom"/>
            <w:tcBorders>
              <w:bottom w:val="single" w:sz="8" w:color="auto"/>
            </w:tcBorders>
            <w:shd w:val="clear" w:color="auto" w:fill="D5DCE4"/>
          </w:tcPr>
          <w:p>
            <w:pPr>
              <w:jc w:val="right"/>
              <w:ind w:right="3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255,134</w:t>
            </w:r>
          </w:p>
        </w:tc>
        <w:tc>
          <w:tcPr>
            <w:tcW w:w="80" w:type="dxa"/>
            <w:vAlign w:val="bottom"/>
            <w:tcBorders>
              <w:bottom w:val="single" w:sz="8" w:color="D5DCE4"/>
            </w:tcBorders>
            <w:shd w:val="clear" w:color="auto" w:fill="D5DCE4"/>
          </w:tcPr>
          <w:p>
            <w:pPr>
              <w:spacing w:after="0"/>
              <w:rPr>
                <w:sz w:val="22"/>
                <w:szCs w:val="22"/>
                <w:color w:val="auto"/>
              </w:rPr>
            </w:pPr>
          </w:p>
        </w:tc>
        <w:tc>
          <w:tcPr>
            <w:tcW w:w="520" w:type="dxa"/>
            <w:vAlign w:val="bottom"/>
            <w:tcBorders>
              <w:bottom w:val="single" w:sz="8" w:color="auto"/>
            </w:tcBorders>
            <w:shd w:val="clear" w:color="auto" w:fill="D5DCE4"/>
          </w:tcPr>
          <w:p>
            <w:pPr>
              <w:jc w:val="right"/>
              <w:ind w:right="3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205,691</w:t>
            </w:r>
          </w:p>
        </w:tc>
      </w:tr>
      <w:tr>
        <w:trPr>
          <w:trHeight w:val="20"/>
        </w:trPr>
        <w:tc>
          <w:tcPr>
            <w:tcW w:w="738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bottom w:val="single" w:sz="8" w:color="auto"/>
            </w:tcBorders>
          </w:tcPr>
          <w:p>
            <w:pPr>
              <w:spacing w:after="0" w:line="20" w:lineRule="exact"/>
              <w:rPr>
                <w:sz w:val="1"/>
                <w:szCs w:val="1"/>
                <w:color w:val="auto"/>
              </w:rPr>
            </w:pPr>
          </w:p>
        </w:tc>
        <w:tc>
          <w:tcPr>
            <w:tcW w:w="1360" w:type="dxa"/>
            <w:vAlign w:val="bottom"/>
            <w:tcBorders>
              <w:top w:val="single" w:sz="8" w:color="D5DCE4"/>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520" w:type="dxa"/>
            <w:vAlign w:val="bottom"/>
            <w:tcBorders>
              <w:top w:val="single" w:sz="8" w:color="D5DCE4"/>
              <w:bottom w:val="single" w:sz="8" w:color="auto"/>
            </w:tcBorders>
          </w:tcPr>
          <w:p>
            <w:pPr>
              <w:spacing w:after="0" w:line="20" w:lineRule="exact"/>
              <w:rPr>
                <w:sz w:val="1"/>
                <w:szCs w:val="1"/>
                <w:color w:val="auto"/>
              </w:rPr>
            </w:pPr>
          </w:p>
        </w:tc>
        <w:tc>
          <w:tcPr>
            <w:tcW w:w="1380" w:type="dxa"/>
            <w:vAlign w:val="bottom"/>
            <w:tcBorders>
              <w:top w:val="single" w:sz="8" w:color="D5DCE4"/>
              <w:bottom w:val="single" w:sz="8" w:color="auto"/>
            </w:tcBorders>
          </w:tcPr>
          <w:p>
            <w:pPr>
              <w:spacing w:after="0" w:line="20" w:lineRule="exact"/>
              <w:rPr>
                <w:sz w:val="1"/>
                <w:szCs w:val="1"/>
                <w:color w:val="auto"/>
              </w:rPr>
            </w:pPr>
          </w:p>
        </w:tc>
      </w:tr>
      <w:tr>
        <w:trPr>
          <w:trHeight w:val="217"/>
        </w:trPr>
        <w:tc>
          <w:tcPr>
            <w:tcW w:w="7380" w:type="dxa"/>
            <w:vAlign w:val="bottom"/>
          </w:tcPr>
          <w:p>
            <w:pPr>
              <w:ind w:left="20"/>
              <w:spacing w:after="0"/>
              <w:rPr>
                <w:sz w:val="20"/>
                <w:szCs w:val="20"/>
                <w:color w:val="auto"/>
              </w:rPr>
            </w:pPr>
            <w:r>
              <w:rPr>
                <w:rFonts w:ascii="Arial" w:cs="Arial" w:eastAsia="Arial" w:hAnsi="Arial"/>
                <w:sz w:val="16"/>
                <w:szCs w:val="16"/>
                <w:color w:val="auto"/>
              </w:rPr>
              <w:t>Adjusted Diluted EPS</w:t>
            </w:r>
          </w:p>
        </w:tc>
        <w:tc>
          <w:tcPr>
            <w:tcW w:w="5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0.86</w:t>
            </w:r>
          </w:p>
        </w:tc>
      </w:tr>
      <w:tr>
        <w:trPr>
          <w:trHeight w:val="20"/>
        </w:trPr>
        <w:tc>
          <w:tcPr>
            <w:tcW w:w="7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left="440" w:right="220" w:hanging="414"/>
        <w:spacing w:after="0" w:line="192" w:lineRule="auto"/>
        <w:tabs>
          <w:tab w:leader="none" w:pos="440" w:val="left"/>
        </w:tabs>
        <w:numPr>
          <w:ilvl w:val="0"/>
          <w:numId w:val="12"/>
        </w:numPr>
        <w:rPr>
          <w:rFonts w:ascii="Arial" w:cs="Arial" w:eastAsia="Arial" w:hAnsi="Arial"/>
          <w:sz w:val="24"/>
          <w:szCs w:val="24"/>
          <w:color w:val="auto"/>
          <w:vertAlign w:val="superscript"/>
        </w:rPr>
      </w:pPr>
      <w:r>
        <w:rPr>
          <w:rFonts w:ascii="Arial" w:cs="Arial" w:eastAsia="Arial" w:hAnsi="Arial"/>
          <w:sz w:val="12"/>
          <w:szCs w:val="12"/>
          <w:color w:val="auto"/>
        </w:rPr>
        <w:t>Represents the weighted average of unvested stock awards and unsettled vested stock awards issued to certain retired or terminated employees that are entitled to non-forfeitable dividend equivalent rights and are considered participating securities prior to being issued and outstanding shares of common stock in accordance with the two-class method used for purposes of calculating earnings per share.</w:t>
      </w:r>
    </w:p>
    <w:p>
      <w:pPr>
        <w:spacing w:after="0" w:line="57" w:lineRule="exact"/>
        <w:rPr>
          <w:rFonts w:ascii="Arial" w:cs="Arial" w:eastAsia="Arial" w:hAnsi="Arial"/>
          <w:sz w:val="24"/>
          <w:szCs w:val="24"/>
          <w:color w:val="auto"/>
          <w:vertAlign w:val="superscript"/>
        </w:rPr>
      </w:pPr>
    </w:p>
    <w:p>
      <w:pPr>
        <w:ind w:left="440" w:right="260" w:hanging="414"/>
        <w:spacing w:after="0" w:line="186" w:lineRule="auto"/>
        <w:tabs>
          <w:tab w:leader="none" w:pos="440" w:val="left"/>
        </w:tabs>
        <w:numPr>
          <w:ilvl w:val="0"/>
          <w:numId w:val="12"/>
        </w:numPr>
        <w:rPr>
          <w:rFonts w:ascii="Arial" w:cs="Arial" w:eastAsia="Arial" w:hAnsi="Arial"/>
          <w:sz w:val="22"/>
          <w:szCs w:val="22"/>
          <w:color w:val="auto"/>
          <w:vertAlign w:val="superscript"/>
        </w:rPr>
      </w:pPr>
      <w:r>
        <w:rPr>
          <w:rFonts w:ascii="Arial" w:cs="Arial" w:eastAsia="Arial" w:hAnsi="Arial"/>
          <w:sz w:val="11"/>
          <w:szCs w:val="11"/>
          <w:color w:val="auto"/>
        </w:rPr>
        <w:t>Assumes the full exchange of the weighted average of all outstanding LLC Interests held by non-controlling interests for shares of Class A or Class B common stock, resulting in the elimination of the non-controlling interests and recognition of the net income attributable to non-controlling interests.</w:t>
      </w:r>
    </w:p>
    <w:p>
      <w:pPr>
        <w:spacing w:after="0" w:line="200" w:lineRule="exact"/>
        <w:rPr>
          <w:sz w:val="20"/>
          <w:szCs w:val="20"/>
          <w:color w:val="auto"/>
        </w:rPr>
      </w:pPr>
    </w:p>
    <w:p>
      <w:pPr>
        <w:spacing w:after="0" w:line="270"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7</w:t>
      </w:r>
    </w:p>
    <w:p>
      <w:pPr>
        <w:sectPr>
          <w:pgSz w:w="11900" w:h="16838" w:orient="portrait"/>
          <w:cols w:equalWidth="0" w:num="1">
            <w:col w:w="11240"/>
          </w:cols>
          <w:pgMar w:left="320" w:top="827" w:right="33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23"/>
        </w:trPr>
        <w:tc>
          <w:tcPr>
            <w:tcW w:w="7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0" w:type="dxa"/>
            <w:vAlign w:val="bottom"/>
            <w:gridSpan w:val="4"/>
          </w:tcPr>
          <w:p>
            <w:pPr>
              <w:jc w:val="center"/>
              <w:ind w:right="359"/>
              <w:spacing w:after="0"/>
              <w:rPr>
                <w:sz w:val="20"/>
                <w:szCs w:val="20"/>
                <w:color w:val="auto"/>
              </w:rPr>
            </w:pPr>
            <w:r>
              <w:rPr>
                <w:rFonts w:ascii="Arial" w:cs="Arial" w:eastAsia="Arial" w:hAnsi="Arial"/>
                <w:sz w:val="16"/>
                <w:szCs w:val="16"/>
                <w:b w:val="1"/>
                <w:bCs w:val="1"/>
                <w:color w:val="auto"/>
              </w:rPr>
              <w:t>Three Months Ended</w:t>
            </w:r>
          </w:p>
        </w:tc>
      </w:tr>
      <w:tr>
        <w:trPr>
          <w:trHeight w:val="244"/>
        </w:trPr>
        <w:tc>
          <w:tcPr>
            <w:tcW w:w="7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6"/>
                <w:szCs w:val="16"/>
                <w:b w:val="1"/>
                <w:bCs w:val="1"/>
                <w:color w:val="auto"/>
              </w:rPr>
              <w:t>March 31,</w:t>
            </w:r>
          </w:p>
        </w:tc>
        <w:tc>
          <w:tcPr>
            <w:tcW w:w="1340" w:type="dxa"/>
            <w:vAlign w:val="bottom"/>
            <w:tcBorders>
              <w:bottom w:val="single" w:sz="8" w:color="auto"/>
            </w:tcBorders>
          </w:tcPr>
          <w:p>
            <w:pPr>
              <w:spacing w:after="0"/>
              <w:rPr>
                <w:sz w:val="21"/>
                <w:szCs w:val="21"/>
                <w:color w:val="auto"/>
              </w:rPr>
            </w:pPr>
          </w:p>
        </w:tc>
      </w:tr>
      <w:tr>
        <w:trPr>
          <w:trHeight w:val="239"/>
        </w:trPr>
        <w:tc>
          <w:tcPr>
            <w:tcW w:w="72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Operating Expenses to Adjusted Expenses</w:t>
            </w:r>
          </w:p>
        </w:tc>
        <w:tc>
          <w:tcPr>
            <w:tcW w:w="1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2025</w:t>
            </w:r>
          </w:p>
        </w:tc>
      </w:tr>
      <w:tr>
        <w:trPr>
          <w:trHeight w:val="277"/>
        </w:trPr>
        <w:tc>
          <w:tcPr>
            <w:tcW w:w="7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0" w:type="dxa"/>
            <w:vAlign w:val="bottom"/>
            <w:gridSpan w:val="4"/>
          </w:tcPr>
          <w:p>
            <w:pPr>
              <w:jc w:val="center"/>
              <w:ind w:right="359"/>
              <w:spacing w:after="0"/>
              <w:rPr>
                <w:sz w:val="20"/>
                <w:szCs w:val="20"/>
                <w:color w:val="auto"/>
              </w:rPr>
            </w:pPr>
            <w:r>
              <w:rPr>
                <w:rFonts w:ascii="Arial" w:cs="Arial" w:eastAsia="Arial" w:hAnsi="Arial"/>
                <w:sz w:val="16"/>
                <w:szCs w:val="16"/>
                <w:b w:val="1"/>
                <w:bCs w:val="1"/>
                <w:color w:val="auto"/>
              </w:rPr>
              <w:t>(dollars in thousands)</w:t>
            </w:r>
          </w:p>
        </w:tc>
      </w:tr>
      <w:tr>
        <w:trPr>
          <w:trHeight w:val="247"/>
        </w:trPr>
        <w:tc>
          <w:tcPr>
            <w:tcW w:w="74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Operating expenses</w:t>
            </w:r>
          </w:p>
        </w:tc>
        <w:tc>
          <w:tcPr>
            <w:tcW w:w="44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330,511</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jc w:val="right"/>
              <w:ind w:right="33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305,576</w:t>
            </w: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 xml:space="preserve">Merger and acquisition transaction and integration costs </w:t>
            </w:r>
            <w:r>
              <w:rPr>
                <w:rFonts w:ascii="Arial" w:cs="Arial" w:eastAsia="Arial" w:hAnsi="Arial"/>
                <w:sz w:val="21"/>
                <w:szCs w:val="21"/>
                <w:color w:val="auto"/>
                <w:vertAlign w:val="superscript"/>
              </w:rPr>
              <w:t>(1)</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(2,496)</w:t>
            </w:r>
          </w:p>
        </w:tc>
      </w:tr>
      <w:tr>
        <w:trPr>
          <w:trHeight w:val="243"/>
        </w:trPr>
        <w:tc>
          <w:tcPr>
            <w:tcW w:w="74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D&amp;A related to acquisitions and the Refinitiv Transaction </w:t>
            </w:r>
            <w:r>
              <w:rPr>
                <w:rFonts w:ascii="Arial" w:cs="Arial" w:eastAsia="Arial" w:hAnsi="Arial"/>
                <w:sz w:val="21"/>
                <w:szCs w:val="21"/>
                <w:color w:val="auto"/>
                <w:vertAlign w:val="superscript"/>
              </w:rPr>
              <w:t>(2)</w:t>
            </w:r>
          </w:p>
        </w:tc>
        <w:tc>
          <w:tcPr>
            <w:tcW w:w="440" w:type="dxa"/>
            <w:vAlign w:val="bottom"/>
            <w:shd w:val="clear" w:color="auto" w:fill="D5DCE4"/>
          </w:tcPr>
          <w:p>
            <w:pPr>
              <w:spacing w:after="0"/>
              <w:rPr>
                <w:sz w:val="21"/>
                <w:szCs w:val="21"/>
                <w:color w:val="auto"/>
              </w:rPr>
            </w:pP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(39,902)</w:t>
            </w:r>
          </w:p>
        </w:tc>
        <w:tc>
          <w:tcPr>
            <w:tcW w:w="80" w:type="dxa"/>
            <w:vAlign w:val="bottom"/>
            <w:shd w:val="clear" w:color="auto" w:fill="D5DCE4"/>
          </w:tcPr>
          <w:p>
            <w:pPr>
              <w:spacing w:after="0"/>
              <w:rPr>
                <w:sz w:val="21"/>
                <w:szCs w:val="21"/>
                <w:color w:val="auto"/>
              </w:rPr>
            </w:pPr>
          </w:p>
        </w:tc>
        <w:tc>
          <w:tcPr>
            <w:tcW w:w="540" w:type="dxa"/>
            <w:vAlign w:val="bottom"/>
            <w:shd w:val="clear" w:color="auto" w:fill="D5DCE4"/>
          </w:tcPr>
          <w:p>
            <w:pPr>
              <w:spacing w:after="0"/>
              <w:rPr>
                <w:sz w:val="21"/>
                <w:szCs w:val="21"/>
                <w:color w:val="auto"/>
              </w:rPr>
            </w:pPr>
          </w:p>
        </w:tc>
        <w:tc>
          <w:tcPr>
            <w:tcW w:w="13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(45,473)</w:t>
            </w:r>
          </w:p>
        </w:tc>
      </w:tr>
      <w:tr>
        <w:trPr>
          <w:trHeight w:val="243"/>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 xml:space="preserve">Stock-based compensation expense </w:t>
            </w:r>
            <w:r>
              <w:rPr>
                <w:rFonts w:ascii="Arial" w:cs="Arial" w:eastAsia="Arial" w:hAnsi="Arial"/>
                <w:sz w:val="21"/>
                <w:szCs w:val="21"/>
                <w:color w:val="auto"/>
                <w:vertAlign w:val="superscript"/>
              </w:rPr>
              <w:t>(3)</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(656)</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(594)</w:t>
            </w:r>
          </w:p>
        </w:tc>
      </w:tr>
      <w:tr>
        <w:trPr>
          <w:trHeight w:val="243"/>
        </w:trPr>
        <w:tc>
          <w:tcPr>
            <w:tcW w:w="740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 xml:space="preserve">Foreign exchange gains / (losses) </w:t>
            </w:r>
            <w:r>
              <w:rPr>
                <w:rFonts w:ascii="Arial" w:cs="Arial" w:eastAsia="Arial" w:hAnsi="Arial"/>
                <w:sz w:val="21"/>
                <w:szCs w:val="21"/>
                <w:color w:val="auto"/>
                <w:vertAlign w:val="superscript"/>
              </w:rPr>
              <w:t>(4)</w:t>
            </w:r>
          </w:p>
        </w:tc>
        <w:tc>
          <w:tcPr>
            <w:tcW w:w="440" w:type="dxa"/>
            <w:vAlign w:val="bottom"/>
            <w:tcBorders>
              <w:bottom w:val="single" w:sz="8" w:color="auto"/>
            </w:tcBorders>
            <w:shd w:val="clear" w:color="auto" w:fill="D5DCE4"/>
          </w:tcPr>
          <w:p>
            <w:pPr>
              <w:spacing w:after="0"/>
              <w:rPr>
                <w:sz w:val="21"/>
                <w:szCs w:val="21"/>
                <w:color w:val="auto"/>
              </w:rPr>
            </w:pP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9,112</w:t>
            </w:r>
          </w:p>
        </w:tc>
        <w:tc>
          <w:tcPr>
            <w:tcW w:w="80" w:type="dxa"/>
            <w:vAlign w:val="bottom"/>
            <w:shd w:val="clear" w:color="auto" w:fill="D5DCE4"/>
          </w:tcPr>
          <w:p>
            <w:pPr>
              <w:spacing w:after="0"/>
              <w:rPr>
                <w:sz w:val="21"/>
                <w:szCs w:val="21"/>
                <w:color w:val="auto"/>
              </w:rPr>
            </w:pPr>
          </w:p>
        </w:tc>
        <w:tc>
          <w:tcPr>
            <w:tcW w:w="540" w:type="dxa"/>
            <w:vAlign w:val="bottom"/>
            <w:tcBorders>
              <w:bottom w:val="single" w:sz="8" w:color="auto"/>
            </w:tcBorders>
            <w:shd w:val="clear" w:color="auto" w:fill="D5DCE4"/>
          </w:tcPr>
          <w:p>
            <w:pPr>
              <w:spacing w:after="0"/>
              <w:rPr>
                <w:sz w:val="21"/>
                <w:szCs w:val="21"/>
                <w:color w:val="auto"/>
              </w:rPr>
            </w:pPr>
          </w:p>
        </w:tc>
        <w:tc>
          <w:tcPr>
            <w:tcW w:w="13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(8,329)</w:t>
            </w:r>
          </w:p>
        </w:tc>
      </w:tr>
      <w:tr>
        <w:trPr>
          <w:trHeight w:val="237"/>
        </w:trPr>
        <w:tc>
          <w:tcPr>
            <w:tcW w:w="7400" w:type="dxa"/>
            <w:vAlign w:val="bottom"/>
            <w:gridSpan w:val="2"/>
          </w:tcPr>
          <w:p>
            <w:pPr>
              <w:ind w:left="20"/>
              <w:spacing w:after="0"/>
              <w:rPr>
                <w:sz w:val="20"/>
                <w:szCs w:val="20"/>
                <w:color w:val="auto"/>
              </w:rPr>
            </w:pPr>
            <w:r>
              <w:rPr>
                <w:rFonts w:ascii="Arial" w:cs="Arial" w:eastAsia="Arial" w:hAnsi="Arial"/>
                <w:sz w:val="16"/>
                <w:szCs w:val="16"/>
                <w:color w:val="auto"/>
              </w:rPr>
              <w:t>Adjusted Expenses</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298,888</w:t>
            </w:r>
          </w:p>
        </w:tc>
        <w:tc>
          <w:tcPr>
            <w:tcW w:w="8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248,684</w:t>
            </w:r>
          </w:p>
        </w:tc>
      </w:tr>
      <w:tr>
        <w:trPr>
          <w:trHeight w:val="21"/>
        </w:trPr>
        <w:tc>
          <w:tcPr>
            <w:tcW w:w="7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ind w:left="440" w:right="240" w:hanging="414"/>
        <w:spacing w:after="0" w:line="271" w:lineRule="auto"/>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incremental direct costs associated with the acquisition and integration of completed and potential mergers and acquisitions. These costs generally include legal, consulting, advisory, due diligence, severance and certain other transaction expenses and third party costs incurred that directly relate to the acquisition transaction or its integration.</w:t>
      </w:r>
    </w:p>
    <w:p>
      <w:pPr>
        <w:spacing w:after="0" w:line="25" w:lineRule="exact"/>
        <w:rPr>
          <w:rFonts w:ascii="Arial" w:cs="Arial" w:eastAsia="Arial" w:hAnsi="Arial"/>
          <w:sz w:val="12"/>
          <w:szCs w:val="12"/>
          <w:color w:val="auto"/>
        </w:rPr>
      </w:pPr>
    </w:p>
    <w:p>
      <w:pPr>
        <w:ind w:left="440" w:right="360" w:hanging="414"/>
        <w:spacing w:after="0" w:line="271" w:lineRule="auto"/>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intangible asset and acquired software amortization resulting from acquisitions and intangible asset amortization and increased tangible asset and capitalized software depreciation and amortization resulting from the application of pushdown accounting to the Refinitiv Transaction (where all assets were marked to fair value as of the closing date of the Refinitiv Transaction).</w:t>
      </w:r>
    </w:p>
    <w:p>
      <w:pPr>
        <w:spacing w:after="0" w:line="25" w:lineRule="exact"/>
        <w:rPr>
          <w:rFonts w:ascii="Arial" w:cs="Arial" w:eastAsia="Arial" w:hAnsi="Arial"/>
          <w:sz w:val="12"/>
          <w:szCs w:val="12"/>
          <w:color w:val="auto"/>
        </w:rPr>
      </w:pPr>
    </w:p>
    <w:p>
      <w:pPr>
        <w:ind w:left="440" w:right="160" w:hanging="414"/>
        <w:spacing w:after="0" w:line="264" w:lineRule="auto"/>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non-cash stock-based compensation expense associated with the Special Option Award and post-IPO options awarded in 2019 and payroll taxes associated with the exercise of such options. During the three months ended March 31, 2026 and 2025, this adjustment also includes $0.5 million and $0.6 million, respectively, of non-cash stock-based compensation expense and related payroll taxes associated with RSAs and RSUs issued to help retain key ICD employees during the integration of ICD.</w:t>
      </w:r>
    </w:p>
    <w:p>
      <w:pPr>
        <w:spacing w:after="0" w:line="30" w:lineRule="exact"/>
        <w:rPr>
          <w:rFonts w:ascii="Arial" w:cs="Arial" w:eastAsia="Arial" w:hAnsi="Arial"/>
          <w:sz w:val="12"/>
          <w:szCs w:val="12"/>
          <w:color w:val="auto"/>
        </w:rPr>
      </w:pPr>
    </w:p>
    <w:p>
      <w:pPr>
        <w:ind w:left="440" w:right="140" w:hanging="414"/>
        <w:spacing w:after="0" w:line="271" w:lineRule="auto"/>
        <w:tabs>
          <w:tab w:leader="none" w:pos="4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Represents unrealized gain or loss recognized on foreign currency forward contracts and foreign exchange gain or loss from the revaluation of cash denominated in a different currency than the entity’s functional currency.</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2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Trailing Twelve Months Ended March 31,</w:t>
            </w:r>
          </w:p>
        </w:tc>
      </w:tr>
      <w:tr>
        <w:trPr>
          <w:trHeight w:val="239"/>
        </w:trPr>
        <w:tc>
          <w:tcPr>
            <w:tcW w:w="7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Reconciliation of Cash Flow from Operating Activities to Free Cash Flow</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2025</w:t>
            </w:r>
          </w:p>
        </w:tc>
      </w:tr>
      <w:tr>
        <w:trPr>
          <w:trHeight w:val="277"/>
        </w:trPr>
        <w:tc>
          <w:tcPr>
            <w:tcW w:w="7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20" w:type="dxa"/>
            <w:vAlign w:val="bottom"/>
            <w:gridSpan w:val="4"/>
          </w:tcPr>
          <w:p>
            <w:pPr>
              <w:jc w:val="right"/>
              <w:ind w:right="999"/>
              <w:spacing w:after="0"/>
              <w:rPr>
                <w:sz w:val="20"/>
                <w:szCs w:val="20"/>
                <w:color w:val="auto"/>
              </w:rPr>
            </w:pPr>
            <w:r>
              <w:rPr>
                <w:rFonts w:ascii="Arial" w:cs="Arial" w:eastAsia="Arial" w:hAnsi="Arial"/>
                <w:sz w:val="16"/>
                <w:szCs w:val="16"/>
                <w:b w:val="1"/>
                <w:bCs w:val="1"/>
                <w:color w:val="auto"/>
              </w:rPr>
              <w:t>(dollars in thousands)</w:t>
            </w:r>
          </w:p>
        </w:tc>
      </w:tr>
      <w:tr>
        <w:trPr>
          <w:trHeight w:val="247"/>
        </w:trPr>
        <w:tc>
          <w:tcPr>
            <w:tcW w:w="73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Cash flow from operating activities</w:t>
            </w:r>
          </w:p>
        </w:tc>
        <w:tc>
          <w:tcPr>
            <w:tcW w:w="240" w:type="dxa"/>
            <w:vAlign w:val="bottom"/>
            <w:shd w:val="clear" w:color="auto" w:fill="D5DCE4"/>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1,211,268</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920,034</w:t>
            </w:r>
          </w:p>
        </w:tc>
      </w:tr>
      <w:tr>
        <w:trPr>
          <w:trHeight w:val="235"/>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Less: Capitalization of software development costs</w:t>
            </w:r>
          </w:p>
        </w:tc>
        <w:tc>
          <w:tcPr>
            <w:tcW w:w="2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(66,883)</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(50,403)</w:t>
            </w:r>
          </w:p>
        </w:tc>
      </w:tr>
      <w:tr>
        <w:trPr>
          <w:trHeight w:val="244"/>
        </w:trPr>
        <w:tc>
          <w:tcPr>
            <w:tcW w:w="738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Less: Purchases of furniture, equipment and leasehold improvements</w:t>
            </w:r>
          </w:p>
        </w:tc>
        <w:tc>
          <w:tcPr>
            <w:tcW w:w="240" w:type="dxa"/>
            <w:vAlign w:val="bottom"/>
            <w:tcBorders>
              <w:bottom w:val="single" w:sz="8" w:color="auto"/>
            </w:tcBorders>
            <w:shd w:val="clear" w:color="auto" w:fill="D5DCE4"/>
          </w:tcPr>
          <w:p>
            <w:pPr>
              <w:spacing w:after="0"/>
              <w:rPr>
                <w:sz w:val="21"/>
                <w:szCs w:val="21"/>
                <w:color w:val="auto"/>
              </w:rPr>
            </w:pPr>
          </w:p>
        </w:tc>
        <w:tc>
          <w:tcPr>
            <w:tcW w:w="16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(48,503)</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46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(36,016)</w:t>
            </w:r>
          </w:p>
        </w:tc>
      </w:tr>
      <w:tr>
        <w:trPr>
          <w:trHeight w:val="243"/>
        </w:trPr>
        <w:tc>
          <w:tcPr>
            <w:tcW w:w="7380" w:type="dxa"/>
            <w:vAlign w:val="bottom"/>
            <w:gridSpan w:val="2"/>
          </w:tcPr>
          <w:p>
            <w:pPr>
              <w:ind w:left="20"/>
              <w:spacing w:after="0"/>
              <w:rPr>
                <w:sz w:val="20"/>
                <w:szCs w:val="20"/>
                <w:color w:val="auto"/>
              </w:rPr>
            </w:pPr>
            <w:r>
              <w:rPr>
                <w:rFonts w:ascii="Arial" w:cs="Arial" w:eastAsia="Arial" w:hAnsi="Arial"/>
                <w:sz w:val="16"/>
                <w:szCs w:val="16"/>
                <w:color w:val="auto"/>
              </w:rPr>
              <w:t>Free Cash Flow</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1,095,882</w:t>
            </w:r>
          </w:p>
        </w:tc>
        <w:tc>
          <w:tcPr>
            <w:tcW w:w="80" w:type="dxa"/>
            <w:vAlign w:val="bottom"/>
          </w:tcPr>
          <w:p>
            <w:pPr>
              <w:spacing w:after="0"/>
              <w:rPr>
                <w:sz w:val="21"/>
                <w:szCs w:val="21"/>
                <w:color w:val="auto"/>
              </w:rPr>
            </w:pP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833,615</w:t>
            </w:r>
          </w:p>
        </w:tc>
      </w:tr>
      <w:tr>
        <w:trPr>
          <w:trHeight w:val="21"/>
        </w:trPr>
        <w:tc>
          <w:tcPr>
            <w:tcW w:w="7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BASIC AND DILUTED EPS CALCULATIONS (UNAUDITED)</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basic and diluted earnings per share calculations for Tradeweb Markets Inc.:</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30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3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March 31,</w:t>
            </w:r>
          </w:p>
        </w:tc>
        <w:tc>
          <w:tcPr>
            <w:tcW w:w="1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Borders>
              <w:bottom w:val="single" w:sz="8" w:color="auto"/>
            </w:tcBorders>
          </w:tcPr>
          <w:p>
            <w:pPr>
              <w:spacing w:after="0"/>
              <w:rPr>
                <w:sz w:val="20"/>
                <w:szCs w:val="20"/>
                <w:color w:val="auto"/>
              </w:rPr>
            </w:pPr>
          </w:p>
        </w:tc>
        <w:tc>
          <w:tcPr>
            <w:tcW w:w="72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EPS: Net income attributable to Tradeweb Markets Inc.</w:t>
            </w:r>
          </w:p>
        </w:tc>
        <w:tc>
          <w:tcPr>
            <w:tcW w:w="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2026</w:t>
            </w:r>
          </w:p>
        </w:tc>
        <w:tc>
          <w:tcPr>
            <w:tcW w:w="8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w w:val="95"/>
              </w:rPr>
              <w:t>2025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3940" w:type="dxa"/>
            <w:vAlign w:val="bottom"/>
            <w:gridSpan w:val="6"/>
          </w:tcPr>
          <w:p>
            <w:pPr>
              <w:jc w:val="right"/>
              <w:spacing w:after="0"/>
              <w:rPr>
                <w:sz w:val="20"/>
                <w:szCs w:val="20"/>
                <w:color w:val="auto"/>
              </w:rPr>
            </w:pPr>
            <w:r>
              <w:rPr>
                <w:rFonts w:ascii="Arial" w:cs="Arial" w:eastAsia="Arial" w:hAnsi="Arial"/>
                <w:sz w:val="16"/>
                <w:szCs w:val="16"/>
                <w:b w:val="1"/>
                <w:bCs w:val="1"/>
                <w:color w:val="auto"/>
              </w:rPr>
              <w:t>(dollars in thousands, except per share amounts)</w:t>
            </w:r>
          </w:p>
        </w:tc>
        <w:tc>
          <w:tcPr>
            <w:tcW w:w="0" w:type="dxa"/>
            <w:vAlign w:val="bottom"/>
          </w:tcPr>
          <w:p>
            <w:pPr>
              <w:spacing w:after="0"/>
              <w:rPr>
                <w:sz w:val="1"/>
                <w:szCs w:val="1"/>
                <w:color w:val="auto"/>
              </w:rPr>
            </w:pPr>
          </w:p>
        </w:tc>
      </w:tr>
      <w:tr>
        <w:trPr>
          <w:trHeight w:val="226"/>
        </w:trPr>
        <w:tc>
          <w:tcPr>
            <w:tcW w:w="20" w:type="dxa"/>
            <w:vAlign w:val="bottom"/>
            <w:tcBorders>
              <w:bottom w:val="single" w:sz="8" w:color="D5DCE4"/>
            </w:tcBorders>
            <w:shd w:val="clear" w:color="auto" w:fill="D5DCE4"/>
          </w:tcPr>
          <w:p>
            <w:pPr>
              <w:spacing w:after="0"/>
              <w:rPr>
                <w:sz w:val="19"/>
                <w:szCs w:val="19"/>
                <w:color w:val="auto"/>
              </w:rPr>
            </w:pPr>
          </w:p>
        </w:tc>
        <w:tc>
          <w:tcPr>
            <w:tcW w:w="820" w:type="dxa"/>
            <w:vAlign w:val="bottom"/>
            <w:tcBorders>
              <w:bottom w:val="single" w:sz="8" w:color="auto"/>
            </w:tcBorders>
            <w:shd w:val="clear" w:color="auto" w:fill="D5DCE4"/>
          </w:tcPr>
          <w:p>
            <w:pPr>
              <w:spacing w:after="0"/>
              <w:rPr>
                <w:sz w:val="20"/>
                <w:szCs w:val="20"/>
                <w:color w:val="auto"/>
              </w:rPr>
            </w:pPr>
            <w:r>
              <w:rPr>
                <w:rFonts w:ascii="Arial" w:cs="Arial" w:eastAsia="Arial" w:hAnsi="Arial"/>
                <w:sz w:val="16"/>
                <w:szCs w:val="16"/>
                <w:color w:val="auto"/>
                <w:w w:val="99"/>
              </w:rPr>
              <w:t>Numerator:</w:t>
            </w:r>
          </w:p>
        </w:tc>
        <w:tc>
          <w:tcPr>
            <w:tcW w:w="6460" w:type="dxa"/>
            <w:vAlign w:val="bottom"/>
            <w:tcBorders>
              <w:bottom w:val="single" w:sz="8" w:color="D5DCE4"/>
            </w:tcBorders>
            <w:gridSpan w:val="2"/>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440" w:type="dxa"/>
            <w:vAlign w:val="bottom"/>
            <w:tcBorders>
              <w:bottom w:val="single" w:sz="8" w:color="D5DCE4"/>
            </w:tcBorders>
            <w:shd w:val="clear" w:color="auto" w:fill="D5DCE4"/>
          </w:tcPr>
          <w:p>
            <w:pPr>
              <w:spacing w:after="0"/>
              <w:rPr>
                <w:sz w:val="19"/>
                <w:szCs w:val="19"/>
                <w:color w:val="auto"/>
              </w:rPr>
            </w:pPr>
          </w:p>
        </w:tc>
        <w:tc>
          <w:tcPr>
            <w:tcW w:w="1440" w:type="dxa"/>
            <w:vAlign w:val="bottom"/>
            <w:tcBorders>
              <w:bottom w:val="single" w:sz="8" w:color="D5DCE4"/>
            </w:tcBorders>
            <w:shd w:val="clear" w:color="auto" w:fill="D5DCE4"/>
          </w:tcPr>
          <w:p>
            <w:pPr>
              <w:spacing w:after="0"/>
              <w:rPr>
                <w:sz w:val="19"/>
                <w:szCs w:val="19"/>
                <w:color w:val="auto"/>
              </w:rPr>
            </w:pPr>
          </w:p>
        </w:tc>
        <w:tc>
          <w:tcPr>
            <w:tcW w:w="80" w:type="dxa"/>
            <w:vAlign w:val="bottom"/>
            <w:tcBorders>
              <w:bottom w:val="single" w:sz="8" w:color="D5DCE4"/>
            </w:tcBorders>
            <w:shd w:val="clear" w:color="auto" w:fill="D5DCE4"/>
          </w:tcPr>
          <w:p>
            <w:pPr>
              <w:spacing w:after="0"/>
              <w:rPr>
                <w:sz w:val="19"/>
                <w:szCs w:val="19"/>
                <w:color w:val="auto"/>
              </w:rPr>
            </w:pPr>
          </w:p>
        </w:tc>
        <w:tc>
          <w:tcPr>
            <w:tcW w:w="780" w:type="dxa"/>
            <w:vAlign w:val="bottom"/>
            <w:tcBorders>
              <w:bottom w:val="single" w:sz="8" w:color="D5DCE4"/>
            </w:tcBorders>
            <w:shd w:val="clear" w:color="auto" w:fill="D5DCE4"/>
          </w:tcPr>
          <w:p>
            <w:pPr>
              <w:spacing w:after="0"/>
              <w:rPr>
                <w:sz w:val="19"/>
                <w:szCs w:val="19"/>
                <w:color w:val="auto"/>
              </w:rPr>
            </w:pPr>
          </w:p>
        </w:tc>
        <w:tc>
          <w:tcPr>
            <w:tcW w:w="1120" w:type="dxa"/>
            <w:vAlign w:val="bottom"/>
            <w:tcBorders>
              <w:bottom w:val="single" w:sz="8" w:color="D5DCE4"/>
            </w:tcBorders>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80" w:type="dxa"/>
            <w:vAlign w:val="bottom"/>
            <w:gridSpan w:val="3"/>
          </w:tcPr>
          <w:p>
            <w:pPr>
              <w:spacing w:after="0"/>
              <w:rPr>
                <w:sz w:val="20"/>
                <w:szCs w:val="20"/>
                <w:color w:val="auto"/>
              </w:rPr>
            </w:pPr>
            <w:r>
              <w:rPr>
                <w:rFonts w:ascii="Arial" w:cs="Arial" w:eastAsia="Arial" w:hAnsi="Arial"/>
                <w:sz w:val="16"/>
                <w:szCs w:val="16"/>
                <w:color w:val="auto"/>
              </w:rPr>
              <w:t>Net income attributable to Tradeweb Markets Inc.</w:t>
            </w:r>
          </w:p>
        </w:tc>
        <w:tc>
          <w:tcPr>
            <w:tcW w:w="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205,284</w:t>
            </w:r>
          </w:p>
        </w:tc>
        <w:tc>
          <w:tcPr>
            <w:tcW w:w="80" w:type="dxa"/>
            <w:vAlign w:val="bottom"/>
          </w:tcPr>
          <w:p>
            <w:pPr>
              <w:spacing w:after="0"/>
              <w:rPr>
                <w:sz w:val="20"/>
                <w:szCs w:val="20"/>
                <w:color w:val="auto"/>
              </w:rPr>
            </w:pP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148,382</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7280" w:type="dxa"/>
            <w:vAlign w:val="bottom"/>
            <w:gridSpan w:val="3"/>
            <w:shd w:val="clear" w:color="auto" w:fill="D5DCE4"/>
          </w:tcPr>
          <w:p>
            <w:pPr>
              <w:spacing w:after="0"/>
              <w:rPr>
                <w:sz w:val="20"/>
                <w:szCs w:val="20"/>
                <w:color w:val="auto"/>
              </w:rPr>
            </w:pPr>
            <w:r>
              <w:rPr>
                <w:rFonts w:ascii="Arial" w:cs="Arial" w:eastAsia="Arial" w:hAnsi="Arial"/>
                <w:sz w:val="16"/>
                <w:szCs w:val="16"/>
                <w:color w:val="auto"/>
              </w:rPr>
              <w:t xml:space="preserve">Less: Distributed and undistributed earnings allocated to participating securities </w:t>
            </w:r>
            <w:r>
              <w:rPr>
                <w:rFonts w:ascii="Arial" w:cs="Arial" w:eastAsia="Arial" w:hAnsi="Arial"/>
                <w:sz w:val="21"/>
                <w:szCs w:val="21"/>
                <w:color w:val="auto"/>
                <w:vertAlign w:val="superscript"/>
              </w:rPr>
              <w:t>(1)</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D5DCE4"/>
          </w:tcPr>
          <w:p>
            <w:pPr>
              <w:spacing w:after="0"/>
              <w:rPr>
                <w:sz w:val="21"/>
                <w:szCs w:val="21"/>
                <w:color w:val="auto"/>
              </w:rPr>
            </w:pPr>
          </w:p>
        </w:tc>
        <w:tc>
          <w:tcPr>
            <w:tcW w:w="780" w:type="dxa"/>
            <w:vAlign w:val="bottom"/>
            <w:tcBorders>
              <w:bottom w:val="single" w:sz="8" w:color="auto"/>
            </w:tcBorders>
            <w:shd w:val="clear" w:color="auto" w:fill="D5DCE4"/>
          </w:tcPr>
          <w:p>
            <w:pPr>
              <w:spacing w:after="0"/>
              <w:rPr>
                <w:sz w:val="21"/>
                <w:szCs w:val="21"/>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80" w:type="dxa"/>
            <w:vAlign w:val="bottom"/>
            <w:gridSpan w:val="3"/>
          </w:tcPr>
          <w:p>
            <w:pPr>
              <w:spacing w:after="0" w:line="182" w:lineRule="exact"/>
              <w:rPr>
                <w:sz w:val="20"/>
                <w:szCs w:val="20"/>
                <w:color w:val="auto"/>
              </w:rPr>
            </w:pPr>
            <w:r>
              <w:rPr>
                <w:rFonts w:ascii="Arial" w:cs="Arial" w:eastAsia="Arial" w:hAnsi="Arial"/>
                <w:sz w:val="16"/>
                <w:szCs w:val="16"/>
                <w:color w:val="auto"/>
              </w:rPr>
              <w:t>Net income attributable to outstanding shares of Class A and Class B common stock - Basic and</w:t>
            </w:r>
          </w:p>
        </w:tc>
        <w:tc>
          <w:tcPr>
            <w:tcW w:w="520" w:type="dxa"/>
            <w:vAlign w:val="bottom"/>
            <w:gridSpan w:val="2"/>
            <w:vMerge w:val="restart"/>
          </w:tcPr>
          <w:p>
            <w:pPr>
              <w:jc w:val="right"/>
              <w:ind w:right="340"/>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205,208</w:t>
            </w:r>
          </w:p>
        </w:tc>
        <w:tc>
          <w:tcPr>
            <w:tcW w:w="80" w:type="dxa"/>
            <w:vAlign w:val="bottom"/>
          </w:tcPr>
          <w:p>
            <w:pPr>
              <w:spacing w:after="0"/>
              <w:rPr>
                <w:sz w:val="15"/>
                <w:szCs w:val="15"/>
                <w:color w:val="auto"/>
              </w:rPr>
            </w:pPr>
          </w:p>
        </w:tc>
        <w:tc>
          <w:tcPr>
            <w:tcW w:w="780" w:type="dxa"/>
            <w:vAlign w:val="bottom"/>
            <w:vMerge w:val="restart"/>
          </w:tcPr>
          <w:p>
            <w:pPr>
              <w:jc w:val="right"/>
              <w:ind w:right="579"/>
              <w:spacing w:after="0"/>
              <w:rPr>
                <w:sz w:val="20"/>
                <w:szCs w:val="20"/>
                <w:color w:val="auto"/>
              </w:rPr>
            </w:pPr>
            <w:r>
              <w:rPr>
                <w:rFonts w:ascii="Arial" w:cs="Arial" w:eastAsia="Arial" w:hAnsi="Arial"/>
                <w:sz w:val="16"/>
                <w:szCs w:val="16"/>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6"/>
                <w:szCs w:val="16"/>
                <w:color w:val="auto"/>
              </w:rPr>
              <w:t>148,253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gridSpan w:val="3"/>
          </w:tcPr>
          <w:p>
            <w:pPr>
              <w:spacing w:after="0"/>
              <w:rPr>
                <w:sz w:val="20"/>
                <w:szCs w:val="20"/>
                <w:color w:val="auto"/>
              </w:rPr>
            </w:pPr>
            <w:r>
              <w:rPr>
                <w:rFonts w:ascii="Arial" w:cs="Arial" w:eastAsia="Arial" w:hAnsi="Arial"/>
                <w:sz w:val="16"/>
                <w:szCs w:val="16"/>
                <w:color w:val="auto"/>
              </w:rPr>
              <w:t>Diluted</w:t>
            </w:r>
          </w:p>
        </w:tc>
        <w:tc>
          <w:tcPr>
            <w:tcW w:w="520" w:type="dxa"/>
            <w:vAlign w:val="bottom"/>
            <w:gridSpan w:val="2"/>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63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63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40" w:type="dxa"/>
            <w:vAlign w:val="bottom"/>
            <w:shd w:val="clear" w:color="auto" w:fill="D5DCE4"/>
          </w:tcPr>
          <w:p>
            <w:pPr>
              <w:spacing w:after="0"/>
              <w:rPr>
                <w:sz w:val="19"/>
                <w:szCs w:val="19"/>
                <w:color w:val="auto"/>
              </w:rPr>
            </w:pPr>
          </w:p>
        </w:tc>
        <w:tc>
          <w:tcPr>
            <w:tcW w:w="14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780" w:type="dxa"/>
            <w:vAlign w:val="bottom"/>
            <w:shd w:val="clear" w:color="auto" w:fill="D5DCE4"/>
          </w:tcPr>
          <w:p>
            <w:pPr>
              <w:spacing w:after="0"/>
              <w:rPr>
                <w:sz w:val="19"/>
                <w:szCs w:val="19"/>
                <w:color w:val="auto"/>
              </w:rPr>
            </w:pPr>
          </w:p>
        </w:tc>
        <w:tc>
          <w:tcPr>
            <w:tcW w:w="112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80" w:type="dxa"/>
            <w:vAlign w:val="bottom"/>
            <w:gridSpan w:val="3"/>
          </w:tcPr>
          <w:p>
            <w:pPr>
              <w:spacing w:after="0"/>
              <w:rPr>
                <w:sz w:val="20"/>
                <w:szCs w:val="20"/>
                <w:color w:val="auto"/>
              </w:rPr>
            </w:pPr>
            <w:r>
              <w:rPr>
                <w:rFonts w:ascii="Arial" w:cs="Arial" w:eastAsia="Arial" w:hAnsi="Arial"/>
                <w:sz w:val="16"/>
                <w:szCs w:val="16"/>
                <w:color w:val="auto"/>
              </w:rPr>
              <w:t>Denominator:</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D5DCE4"/>
          </w:tcPr>
          <w:p>
            <w:pPr>
              <w:spacing w:after="0"/>
              <w:rPr>
                <w:sz w:val="21"/>
                <w:szCs w:val="21"/>
                <w:color w:val="auto"/>
              </w:rPr>
            </w:pPr>
          </w:p>
        </w:tc>
        <w:tc>
          <w:tcPr>
            <w:tcW w:w="7280" w:type="dxa"/>
            <w:vAlign w:val="bottom"/>
            <w:gridSpan w:val="3"/>
            <w:shd w:val="clear" w:color="auto" w:fill="D5DCE4"/>
          </w:tcPr>
          <w:p>
            <w:pPr>
              <w:spacing w:after="0"/>
              <w:rPr>
                <w:sz w:val="20"/>
                <w:szCs w:val="20"/>
                <w:color w:val="auto"/>
              </w:rPr>
            </w:pPr>
            <w:r>
              <w:rPr>
                <w:rFonts w:ascii="Arial" w:cs="Arial" w:eastAsia="Arial" w:hAnsi="Arial"/>
                <w:sz w:val="16"/>
                <w:szCs w:val="16"/>
                <w:color w:val="auto"/>
              </w:rPr>
              <w:t>Weighted average shares of Class A and Class B common stock outstanding - Basic</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212,685,136</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213,087,496</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80" w:type="dxa"/>
            <w:vAlign w:val="bottom"/>
            <w:gridSpan w:val="3"/>
          </w:tcPr>
          <w:p>
            <w:pPr>
              <w:ind w:left="120"/>
              <w:spacing w:after="0"/>
              <w:rPr>
                <w:sz w:val="20"/>
                <w:szCs w:val="20"/>
                <w:color w:val="auto"/>
              </w:rPr>
            </w:pPr>
            <w:r>
              <w:rPr>
                <w:rFonts w:ascii="Arial" w:cs="Arial" w:eastAsia="Arial" w:hAnsi="Arial"/>
                <w:sz w:val="16"/>
                <w:szCs w:val="16"/>
                <w:color w:val="auto"/>
              </w:rPr>
              <w:t>Dilutive effect of PRSUs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434,441</w:t>
            </w:r>
          </w:p>
        </w:tc>
        <w:tc>
          <w:tcPr>
            <w:tcW w:w="0" w:type="dxa"/>
            <w:vAlign w:val="bottom"/>
          </w:tcPr>
          <w:p>
            <w:pPr>
              <w:spacing w:after="0"/>
              <w:rPr>
                <w:sz w:val="1"/>
                <w:szCs w:val="1"/>
                <w:color w:val="auto"/>
              </w:rPr>
            </w:pPr>
          </w:p>
        </w:tc>
      </w:tr>
      <w:tr>
        <w:trPr>
          <w:trHeight w:val="251"/>
        </w:trPr>
        <w:tc>
          <w:tcPr>
            <w:tcW w:w="20" w:type="dxa"/>
            <w:vAlign w:val="bottom"/>
            <w:shd w:val="clear" w:color="auto" w:fill="D5DCE4"/>
          </w:tcPr>
          <w:p>
            <w:pPr>
              <w:spacing w:after="0"/>
              <w:rPr>
                <w:sz w:val="21"/>
                <w:szCs w:val="21"/>
                <w:color w:val="auto"/>
              </w:rPr>
            </w:pPr>
          </w:p>
        </w:tc>
        <w:tc>
          <w:tcPr>
            <w:tcW w:w="7280" w:type="dxa"/>
            <w:vAlign w:val="bottom"/>
            <w:gridSpan w:val="3"/>
            <w:shd w:val="clear" w:color="auto" w:fill="D5DCE4"/>
          </w:tcPr>
          <w:p>
            <w:pPr>
              <w:ind w:left="120"/>
              <w:spacing w:after="0"/>
              <w:rPr>
                <w:sz w:val="20"/>
                <w:szCs w:val="20"/>
                <w:color w:val="auto"/>
              </w:rPr>
            </w:pPr>
            <w:r>
              <w:rPr>
                <w:rFonts w:ascii="Arial" w:cs="Arial" w:eastAsia="Arial" w:hAnsi="Arial"/>
                <w:sz w:val="16"/>
                <w:szCs w:val="16"/>
                <w:color w:val="auto"/>
              </w:rPr>
              <w:t>Dilutive effect of options</w:t>
            </w:r>
          </w:p>
        </w:tc>
        <w:tc>
          <w:tcPr>
            <w:tcW w:w="80" w:type="dxa"/>
            <w:vAlign w:val="bottom"/>
            <w:shd w:val="clear" w:color="auto" w:fill="D5DCE4"/>
          </w:tcPr>
          <w:p>
            <w:pPr>
              <w:spacing w:after="0"/>
              <w:rPr>
                <w:sz w:val="21"/>
                <w:szCs w:val="21"/>
                <w:color w:val="auto"/>
              </w:rPr>
            </w:pPr>
          </w:p>
        </w:tc>
        <w:tc>
          <w:tcPr>
            <w:tcW w:w="440" w:type="dxa"/>
            <w:vAlign w:val="bottom"/>
            <w:shd w:val="clear" w:color="auto" w:fill="D5DCE4"/>
          </w:tcPr>
          <w:p>
            <w:pPr>
              <w:spacing w:after="0"/>
              <w:rPr>
                <w:sz w:val="21"/>
                <w:szCs w:val="21"/>
                <w:color w:val="auto"/>
              </w:rPr>
            </w:pP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219,311</w:t>
            </w:r>
          </w:p>
        </w:tc>
        <w:tc>
          <w:tcPr>
            <w:tcW w:w="80" w:type="dxa"/>
            <w:vAlign w:val="bottom"/>
            <w:shd w:val="clear" w:color="auto" w:fill="D5DCE4"/>
          </w:tcPr>
          <w:p>
            <w:pPr>
              <w:spacing w:after="0"/>
              <w:rPr>
                <w:sz w:val="21"/>
                <w:szCs w:val="21"/>
                <w:color w:val="auto"/>
              </w:rPr>
            </w:pPr>
          </w:p>
        </w:tc>
        <w:tc>
          <w:tcPr>
            <w:tcW w:w="780" w:type="dxa"/>
            <w:vAlign w:val="bottom"/>
            <w:shd w:val="clear" w:color="auto" w:fill="D5DCE4"/>
          </w:tcPr>
          <w:p>
            <w:pPr>
              <w:spacing w:after="0"/>
              <w:rPr>
                <w:sz w:val="21"/>
                <w:szCs w:val="21"/>
                <w:color w:val="auto"/>
              </w:rPr>
            </w:pP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289,873</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280" w:type="dxa"/>
            <w:vAlign w:val="bottom"/>
            <w:gridSpan w:val="3"/>
          </w:tcPr>
          <w:p>
            <w:pPr>
              <w:ind w:left="120"/>
              <w:spacing w:after="0"/>
              <w:rPr>
                <w:sz w:val="20"/>
                <w:szCs w:val="20"/>
                <w:color w:val="auto"/>
              </w:rPr>
            </w:pPr>
            <w:r>
              <w:rPr>
                <w:rFonts w:ascii="Arial" w:cs="Arial" w:eastAsia="Arial" w:hAnsi="Arial"/>
                <w:sz w:val="16"/>
                <w:szCs w:val="16"/>
                <w:color w:val="auto"/>
              </w:rPr>
              <w:t>Dilutive effect of RSUs and RSAs</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401,067</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553,747</w:t>
            </w:r>
          </w:p>
        </w:tc>
        <w:tc>
          <w:tcPr>
            <w:tcW w:w="0" w:type="dxa"/>
            <w:vAlign w:val="bottom"/>
          </w:tcPr>
          <w:p>
            <w:pPr>
              <w:spacing w:after="0"/>
              <w:rPr>
                <w:sz w:val="1"/>
                <w:szCs w:val="1"/>
                <w:color w:val="auto"/>
              </w:rPr>
            </w:pPr>
          </w:p>
        </w:tc>
      </w:tr>
      <w:tr>
        <w:trPr>
          <w:trHeight w:val="244"/>
        </w:trPr>
        <w:tc>
          <w:tcPr>
            <w:tcW w:w="20" w:type="dxa"/>
            <w:vAlign w:val="bottom"/>
            <w:shd w:val="clear" w:color="auto" w:fill="D5DCE4"/>
          </w:tcPr>
          <w:p>
            <w:pPr>
              <w:spacing w:after="0"/>
              <w:rPr>
                <w:sz w:val="21"/>
                <w:szCs w:val="21"/>
                <w:color w:val="auto"/>
              </w:rPr>
            </w:pPr>
          </w:p>
        </w:tc>
        <w:tc>
          <w:tcPr>
            <w:tcW w:w="7280" w:type="dxa"/>
            <w:vAlign w:val="bottom"/>
            <w:gridSpan w:val="3"/>
            <w:shd w:val="clear" w:color="auto" w:fill="D5DCE4"/>
          </w:tcPr>
          <w:p>
            <w:pPr>
              <w:ind w:left="120"/>
              <w:spacing w:after="0"/>
              <w:rPr>
                <w:sz w:val="20"/>
                <w:szCs w:val="20"/>
                <w:color w:val="auto"/>
              </w:rPr>
            </w:pPr>
            <w:r>
              <w:rPr>
                <w:rFonts w:ascii="Arial" w:cs="Arial" w:eastAsia="Arial" w:hAnsi="Arial"/>
                <w:sz w:val="16"/>
                <w:szCs w:val="16"/>
                <w:color w:val="auto"/>
              </w:rPr>
              <w:t>Dilutive effect of PSUs</w:t>
            </w:r>
          </w:p>
        </w:tc>
        <w:tc>
          <w:tcPr>
            <w:tcW w:w="80" w:type="dxa"/>
            <w:vAlign w:val="bottom"/>
            <w:shd w:val="clear" w:color="auto" w:fill="D5DCE4"/>
          </w:tcPr>
          <w:p>
            <w:pPr>
              <w:spacing w:after="0"/>
              <w:rPr>
                <w:sz w:val="21"/>
                <w:szCs w:val="21"/>
                <w:color w:val="auto"/>
              </w:rPr>
            </w:pPr>
          </w:p>
        </w:tc>
        <w:tc>
          <w:tcPr>
            <w:tcW w:w="440" w:type="dxa"/>
            <w:vAlign w:val="bottom"/>
            <w:tcBorders>
              <w:bottom w:val="single" w:sz="8" w:color="auto"/>
            </w:tcBorders>
            <w:shd w:val="clear" w:color="auto" w:fill="D5DCE4"/>
          </w:tcPr>
          <w:p>
            <w:pPr>
              <w:spacing w:after="0"/>
              <w:rPr>
                <w:sz w:val="21"/>
                <w:szCs w:val="21"/>
                <w:color w:val="auto"/>
              </w:rPr>
            </w:pPr>
          </w:p>
        </w:tc>
        <w:tc>
          <w:tcPr>
            <w:tcW w:w="14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19,134</w:t>
            </w:r>
          </w:p>
        </w:tc>
        <w:tc>
          <w:tcPr>
            <w:tcW w:w="80" w:type="dxa"/>
            <w:vAlign w:val="bottom"/>
            <w:shd w:val="clear" w:color="auto" w:fill="D5DCE4"/>
          </w:tcPr>
          <w:p>
            <w:pPr>
              <w:spacing w:after="0"/>
              <w:rPr>
                <w:sz w:val="21"/>
                <w:szCs w:val="21"/>
                <w:color w:val="auto"/>
              </w:rPr>
            </w:pPr>
          </w:p>
        </w:tc>
        <w:tc>
          <w:tcPr>
            <w:tcW w:w="780" w:type="dxa"/>
            <w:vAlign w:val="bottom"/>
            <w:tcBorders>
              <w:bottom w:val="single" w:sz="8" w:color="auto"/>
            </w:tcBorders>
            <w:shd w:val="clear" w:color="auto" w:fill="D5DCE4"/>
          </w:tcPr>
          <w:p>
            <w:pPr>
              <w:spacing w:after="0"/>
              <w:rPr>
                <w:sz w:val="21"/>
                <w:szCs w:val="21"/>
                <w:color w:val="auto"/>
              </w:rPr>
            </w:pPr>
          </w:p>
        </w:tc>
        <w:tc>
          <w:tcPr>
            <w:tcW w:w="11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529,861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gridSpan w:val="3"/>
          </w:tcPr>
          <w:p>
            <w:pPr>
              <w:spacing w:after="0"/>
              <w:rPr>
                <w:sz w:val="20"/>
                <w:szCs w:val="20"/>
                <w:color w:val="auto"/>
              </w:rPr>
            </w:pPr>
            <w:r>
              <w:rPr>
                <w:rFonts w:ascii="Arial" w:cs="Arial" w:eastAsia="Arial" w:hAnsi="Arial"/>
                <w:sz w:val="16"/>
                <w:szCs w:val="16"/>
                <w:color w:val="auto"/>
              </w:rPr>
              <w:t>Weighted average shares of Class A and Class B common stock outstanding - Diluted</w:t>
            </w:r>
          </w:p>
        </w:tc>
        <w:tc>
          <w:tcPr>
            <w:tcW w:w="8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213,324,648</w:t>
            </w:r>
          </w:p>
        </w:tc>
        <w:tc>
          <w:tcPr>
            <w:tcW w:w="8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214,895,418</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63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D5DCE4"/>
          </w:tcPr>
          <w:p>
            <w:pPr>
              <w:spacing w:after="0"/>
              <w:rPr>
                <w:sz w:val="19"/>
                <w:szCs w:val="19"/>
                <w:color w:val="auto"/>
              </w:rPr>
            </w:pPr>
          </w:p>
        </w:tc>
        <w:tc>
          <w:tcPr>
            <w:tcW w:w="820" w:type="dxa"/>
            <w:vAlign w:val="bottom"/>
            <w:shd w:val="clear" w:color="auto" w:fill="D5DCE4"/>
          </w:tcPr>
          <w:p>
            <w:pPr>
              <w:spacing w:after="0"/>
              <w:rPr>
                <w:sz w:val="19"/>
                <w:szCs w:val="19"/>
                <w:color w:val="auto"/>
              </w:rPr>
            </w:pPr>
          </w:p>
        </w:tc>
        <w:tc>
          <w:tcPr>
            <w:tcW w:w="160" w:type="dxa"/>
            <w:vAlign w:val="bottom"/>
            <w:shd w:val="clear" w:color="auto" w:fill="D5DCE4"/>
          </w:tcPr>
          <w:p>
            <w:pPr>
              <w:spacing w:after="0"/>
              <w:rPr>
                <w:sz w:val="19"/>
                <w:szCs w:val="19"/>
                <w:color w:val="auto"/>
              </w:rPr>
            </w:pPr>
          </w:p>
        </w:tc>
        <w:tc>
          <w:tcPr>
            <w:tcW w:w="630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440" w:type="dxa"/>
            <w:vAlign w:val="bottom"/>
            <w:shd w:val="clear" w:color="auto" w:fill="D5DCE4"/>
          </w:tcPr>
          <w:p>
            <w:pPr>
              <w:spacing w:after="0"/>
              <w:rPr>
                <w:sz w:val="19"/>
                <w:szCs w:val="19"/>
                <w:color w:val="auto"/>
              </w:rPr>
            </w:pPr>
          </w:p>
        </w:tc>
        <w:tc>
          <w:tcPr>
            <w:tcW w:w="1440" w:type="dxa"/>
            <w:vAlign w:val="bottom"/>
            <w:shd w:val="clear" w:color="auto" w:fill="D5DCE4"/>
          </w:tcPr>
          <w:p>
            <w:pPr>
              <w:spacing w:after="0"/>
              <w:rPr>
                <w:sz w:val="19"/>
                <w:szCs w:val="19"/>
                <w:color w:val="auto"/>
              </w:rPr>
            </w:pPr>
          </w:p>
        </w:tc>
        <w:tc>
          <w:tcPr>
            <w:tcW w:w="80" w:type="dxa"/>
            <w:vAlign w:val="bottom"/>
            <w:shd w:val="clear" w:color="auto" w:fill="D5DCE4"/>
          </w:tcPr>
          <w:p>
            <w:pPr>
              <w:spacing w:after="0"/>
              <w:rPr>
                <w:sz w:val="19"/>
                <w:szCs w:val="19"/>
                <w:color w:val="auto"/>
              </w:rPr>
            </w:pPr>
          </w:p>
        </w:tc>
        <w:tc>
          <w:tcPr>
            <w:tcW w:w="780" w:type="dxa"/>
            <w:vAlign w:val="bottom"/>
            <w:shd w:val="clear" w:color="auto" w:fill="D5DCE4"/>
          </w:tcPr>
          <w:p>
            <w:pPr>
              <w:spacing w:after="0"/>
              <w:rPr>
                <w:sz w:val="19"/>
                <w:szCs w:val="19"/>
                <w:color w:val="auto"/>
              </w:rPr>
            </w:pPr>
          </w:p>
        </w:tc>
        <w:tc>
          <w:tcPr>
            <w:tcW w:w="1120" w:type="dxa"/>
            <w:vAlign w:val="bottom"/>
            <w:shd w:val="clear" w:color="auto" w:fill="D5DCE4"/>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80" w:type="dxa"/>
            <w:vAlign w:val="bottom"/>
            <w:gridSpan w:val="3"/>
          </w:tcPr>
          <w:p>
            <w:pPr>
              <w:spacing w:after="0"/>
              <w:rPr>
                <w:sz w:val="20"/>
                <w:szCs w:val="20"/>
                <w:color w:val="auto"/>
              </w:rPr>
            </w:pPr>
            <w:r>
              <w:rPr>
                <w:rFonts w:ascii="Arial" w:cs="Arial" w:eastAsia="Arial" w:hAnsi="Arial"/>
                <w:sz w:val="16"/>
                <w:szCs w:val="16"/>
                <w:color w:val="auto"/>
              </w:rPr>
              <w:t>Earnings per share - Basic</w:t>
            </w:r>
          </w:p>
        </w:tc>
        <w:tc>
          <w:tcPr>
            <w:tcW w:w="5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0.96</w:t>
            </w:r>
          </w:p>
        </w:tc>
        <w:tc>
          <w:tcPr>
            <w:tcW w:w="80" w:type="dxa"/>
            <w:vAlign w:val="bottom"/>
          </w:tcPr>
          <w:p>
            <w:pPr>
              <w:spacing w:after="0"/>
              <w:rPr>
                <w:sz w:val="21"/>
                <w:szCs w:val="21"/>
                <w:color w:val="auto"/>
              </w:rPr>
            </w:pP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0.70</w:t>
            </w:r>
          </w:p>
        </w:tc>
        <w:tc>
          <w:tcPr>
            <w:tcW w:w="0" w:type="dxa"/>
            <w:vAlign w:val="bottom"/>
          </w:tcPr>
          <w:p>
            <w:pPr>
              <w:spacing w:after="0"/>
              <w:rPr>
                <w:sz w:val="1"/>
                <w:szCs w:val="1"/>
                <w:color w:val="auto"/>
              </w:rPr>
            </w:pPr>
          </w:p>
        </w:tc>
      </w:tr>
      <w:tr>
        <w:trPr>
          <w:trHeight w:val="20"/>
        </w:trPr>
        <w:tc>
          <w:tcPr>
            <w:tcW w:w="20" w:type="dxa"/>
            <w:vAlign w:val="bottom"/>
            <w:tcBorders>
              <w:bottom w:val="single" w:sz="8" w:color="D5DCE4"/>
            </w:tcBorders>
          </w:tcPr>
          <w:p>
            <w:pPr>
              <w:spacing w:after="0" w:line="20" w:lineRule="exact"/>
              <w:rPr>
                <w:sz w:val="1"/>
                <w:szCs w:val="1"/>
                <w:color w:val="auto"/>
              </w:rPr>
            </w:pPr>
          </w:p>
        </w:tc>
        <w:tc>
          <w:tcPr>
            <w:tcW w:w="820" w:type="dxa"/>
            <w:vAlign w:val="bottom"/>
            <w:tcBorders>
              <w:bottom w:val="single" w:sz="8" w:color="D5DCE4"/>
            </w:tcBorders>
          </w:tcPr>
          <w:p>
            <w:pPr>
              <w:spacing w:after="0" w:line="20" w:lineRule="exact"/>
              <w:rPr>
                <w:sz w:val="1"/>
                <w:szCs w:val="1"/>
                <w:color w:val="auto"/>
              </w:rPr>
            </w:pPr>
          </w:p>
        </w:tc>
        <w:tc>
          <w:tcPr>
            <w:tcW w:w="160" w:type="dxa"/>
            <w:vAlign w:val="bottom"/>
            <w:tcBorders>
              <w:bottom w:val="single" w:sz="8" w:color="D5DCE4"/>
            </w:tcBorders>
          </w:tcPr>
          <w:p>
            <w:pPr>
              <w:spacing w:after="0" w:line="20" w:lineRule="exact"/>
              <w:rPr>
                <w:sz w:val="1"/>
                <w:szCs w:val="1"/>
                <w:color w:val="auto"/>
              </w:rPr>
            </w:pPr>
          </w:p>
        </w:tc>
        <w:tc>
          <w:tcPr>
            <w:tcW w:w="6300" w:type="dxa"/>
            <w:vAlign w:val="bottom"/>
            <w:tcBorders>
              <w:bottom w:val="single" w:sz="8" w:color="D5DCE4"/>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5DCE4"/>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D5DCE4"/>
          </w:tcPr>
          <w:p>
            <w:pPr>
              <w:spacing w:after="0"/>
              <w:rPr>
                <w:sz w:val="22"/>
                <w:szCs w:val="22"/>
                <w:color w:val="auto"/>
              </w:rPr>
            </w:pPr>
          </w:p>
        </w:tc>
        <w:tc>
          <w:tcPr>
            <w:tcW w:w="7280" w:type="dxa"/>
            <w:vAlign w:val="bottom"/>
            <w:gridSpan w:val="3"/>
            <w:shd w:val="clear" w:color="auto" w:fill="D5DCE4"/>
          </w:tcPr>
          <w:p>
            <w:pPr>
              <w:spacing w:after="0"/>
              <w:rPr>
                <w:sz w:val="20"/>
                <w:szCs w:val="20"/>
                <w:color w:val="auto"/>
              </w:rPr>
            </w:pPr>
            <w:r>
              <w:rPr>
                <w:rFonts w:ascii="Arial" w:cs="Arial" w:eastAsia="Arial" w:hAnsi="Arial"/>
                <w:sz w:val="16"/>
                <w:szCs w:val="16"/>
                <w:color w:val="auto"/>
              </w:rPr>
              <w:t>Earnings per share - Diluted</w:t>
            </w:r>
          </w:p>
        </w:tc>
        <w:tc>
          <w:tcPr>
            <w:tcW w:w="520" w:type="dxa"/>
            <w:vAlign w:val="bottom"/>
            <w:gridSpan w:val="2"/>
            <w:shd w:val="clear" w:color="auto" w:fill="D5DCE4"/>
          </w:tcPr>
          <w:p>
            <w:pPr>
              <w:jc w:val="right"/>
              <w:ind w:right="340"/>
              <w:spacing w:after="0"/>
              <w:rPr>
                <w:sz w:val="20"/>
                <w:szCs w:val="20"/>
                <w:color w:val="auto"/>
              </w:rPr>
            </w:pPr>
            <w:r>
              <w:rPr>
                <w:rFonts w:ascii="Arial" w:cs="Arial" w:eastAsia="Arial" w:hAnsi="Arial"/>
                <w:sz w:val="16"/>
                <w:szCs w:val="16"/>
                <w:color w:val="auto"/>
              </w:rPr>
              <w:t>$</w:t>
            </w:r>
          </w:p>
        </w:tc>
        <w:tc>
          <w:tcPr>
            <w:tcW w:w="14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0.96</w:t>
            </w:r>
          </w:p>
        </w:tc>
        <w:tc>
          <w:tcPr>
            <w:tcW w:w="80" w:type="dxa"/>
            <w:vAlign w:val="bottom"/>
            <w:shd w:val="clear" w:color="auto" w:fill="D5DCE4"/>
          </w:tcPr>
          <w:p>
            <w:pPr>
              <w:spacing w:after="0"/>
              <w:rPr>
                <w:sz w:val="22"/>
                <w:szCs w:val="22"/>
                <w:color w:val="auto"/>
              </w:rPr>
            </w:pPr>
          </w:p>
        </w:tc>
        <w:tc>
          <w:tcPr>
            <w:tcW w:w="780" w:type="dxa"/>
            <w:vAlign w:val="bottom"/>
            <w:shd w:val="clear" w:color="auto" w:fill="D5DCE4"/>
          </w:tcPr>
          <w:p>
            <w:pPr>
              <w:jc w:val="right"/>
              <w:ind w:right="57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0.69</w:t>
            </w:r>
          </w:p>
        </w:tc>
        <w:tc>
          <w:tcPr>
            <w:tcW w:w="0" w:type="dxa"/>
            <w:vAlign w:val="bottom"/>
          </w:tcPr>
          <w:p>
            <w:pPr>
              <w:spacing w:after="0"/>
              <w:rPr>
                <w:sz w:val="1"/>
                <w:szCs w:val="1"/>
                <w:color w:val="auto"/>
              </w:rPr>
            </w:pPr>
          </w:p>
        </w:tc>
      </w:tr>
      <w:tr>
        <w:trPr>
          <w:trHeight w:val="20"/>
        </w:trPr>
        <w:tc>
          <w:tcPr>
            <w:tcW w:w="20" w:type="dxa"/>
            <w:vAlign w:val="bottom"/>
            <w:tcBorders>
              <w:top w:val="single" w:sz="8" w:color="D5DCE4"/>
            </w:tcBorders>
          </w:tcPr>
          <w:p>
            <w:pPr>
              <w:spacing w:after="0" w:line="20" w:lineRule="exact"/>
              <w:rPr>
                <w:sz w:val="1"/>
                <w:szCs w:val="1"/>
                <w:color w:val="auto"/>
              </w:rPr>
            </w:pPr>
          </w:p>
        </w:tc>
        <w:tc>
          <w:tcPr>
            <w:tcW w:w="82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D5DCE4"/>
            </w:tcBorders>
          </w:tcPr>
          <w:p>
            <w:pPr>
              <w:spacing w:after="0" w:line="20" w:lineRule="exact"/>
              <w:rPr>
                <w:sz w:val="1"/>
                <w:szCs w:val="1"/>
                <w:color w:val="auto"/>
              </w:rPr>
            </w:pPr>
          </w:p>
        </w:tc>
        <w:tc>
          <w:tcPr>
            <w:tcW w:w="630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left="440" w:right="260" w:hanging="414"/>
        <w:spacing w:after="0" w:line="294" w:lineRule="auto"/>
        <w:tabs>
          <w:tab w:leader="none" w:pos="4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During the three months ended March 31, 2026 and 2025, there was a total of 78,389 and 185,309, respectively, weighted average unvested or unsettled vested stock awards that were considered a participating security for purposes of calculating earnings per share in accordance with the two-class method.</w:t>
      </w:r>
    </w:p>
    <w:p>
      <w:pPr>
        <w:sectPr>
          <w:pgSz w:w="11900" w:h="16838" w:orient="portrait"/>
          <w:cols w:equalWidth="0" w:num="1">
            <w:col w:w="11240"/>
          </w:cols>
          <w:pgMar w:left="320" w:top="827" w:right="339" w:bottom="1440" w:gutter="0" w:footer="0" w:header="0"/>
        </w:sectPr>
      </w:pPr>
    </w:p>
    <w:p>
      <w:pPr>
        <w:spacing w:after="0" w:line="200" w:lineRule="exact"/>
        <w:rPr>
          <w:sz w:val="20"/>
          <w:szCs w:val="20"/>
          <w:color w:val="auto"/>
        </w:rPr>
      </w:pPr>
    </w:p>
    <w:p>
      <w:pPr>
        <w:spacing w:after="0" w:line="293" w:lineRule="exact"/>
        <w:rPr>
          <w:sz w:val="20"/>
          <w:szCs w:val="20"/>
          <w:color w:val="auto"/>
        </w:rPr>
      </w:pPr>
    </w:p>
    <w:p>
      <w:pPr>
        <w:ind w:left="10580"/>
        <w:spacing w:after="0"/>
        <w:rPr>
          <w:sz w:val="20"/>
          <w:szCs w:val="20"/>
          <w:color w:val="auto"/>
        </w:rPr>
      </w:pPr>
      <w:r>
        <w:rPr>
          <w:rFonts w:ascii="Arial" w:cs="Arial" w:eastAsia="Arial" w:hAnsi="Arial"/>
          <w:sz w:val="17"/>
          <w:szCs w:val="17"/>
          <w:color w:val="auto"/>
        </w:rPr>
        <w:t>Page | 8</w:t>
      </w:r>
    </w:p>
    <w:p>
      <w:pPr>
        <w:sectPr>
          <w:pgSz w:w="11900" w:h="16838" w:orient="portrait"/>
          <w:cols w:equalWidth="0" w:num="1">
            <w:col w:w="11240"/>
          </w:cols>
          <w:pgMar w:left="320" w:top="827"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REVENUES BY ASSET CLASS (UNAUDITED)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4"/>
          </w:tcPr>
          <w:p>
            <w:pPr>
              <w:jc w:val="right"/>
              <w:ind w:right="199"/>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9"/>
        </w:trPr>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March 31,</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3"/>
        </w:trPr>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96"/>
              </w:rPr>
              <w:t>2026</w:t>
            </w:r>
          </w:p>
        </w:tc>
        <w:tc>
          <w:tcPr>
            <w:tcW w:w="8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6"/>
              </w:rPr>
              <w:t>2025</w:t>
            </w:r>
          </w:p>
        </w:tc>
        <w:tc>
          <w:tcPr>
            <w:tcW w:w="8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 Change</w:t>
            </w:r>
          </w:p>
        </w:tc>
        <w:tc>
          <w:tcPr>
            <w:tcW w:w="180" w:type="dxa"/>
            <w:vAlign w:val="bottom"/>
          </w:tcPr>
          <w:p>
            <w:pPr>
              <w:spacing w:after="0"/>
              <w:rPr>
                <w:sz w:val="19"/>
                <w:szCs w:val="19"/>
                <w:color w:val="auto"/>
              </w:rPr>
            </w:pPr>
          </w:p>
        </w:tc>
        <w:tc>
          <w:tcPr>
            <w:tcW w:w="22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 Change</w:t>
            </w:r>
          </w:p>
        </w:tc>
      </w:tr>
      <w:tr>
        <w:trPr>
          <w:trHeight w:val="239"/>
        </w:trPr>
        <w:tc>
          <w:tcPr>
            <w:tcW w:w="19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Fixed</w:t>
            </w: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Variable</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Fixed</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9"/>
              </w:rPr>
              <w:t>Variable</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Fixed</w:t>
            </w: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Variable</w:t>
            </w:r>
          </w:p>
        </w:tc>
        <w:tc>
          <w:tcPr>
            <w:tcW w:w="80" w:type="dxa"/>
            <w:vAlign w:val="bottom"/>
          </w:tcPr>
          <w:p>
            <w:pPr>
              <w:spacing w:after="0"/>
              <w:rPr>
                <w:sz w:val="20"/>
                <w:szCs w:val="20"/>
                <w:color w:val="auto"/>
              </w:rPr>
            </w:pPr>
          </w:p>
        </w:tc>
        <w:tc>
          <w:tcPr>
            <w:tcW w:w="10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Fixed</w:t>
            </w:r>
          </w:p>
        </w:tc>
      </w:tr>
      <w:tr>
        <w:trPr>
          <w:trHeight w:val="277"/>
        </w:trPr>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5"/>
          </w:tcPr>
          <w:p>
            <w:pPr>
              <w:ind w:left="60"/>
              <w:spacing w:after="0"/>
              <w:rPr>
                <w:sz w:val="20"/>
                <w:szCs w:val="20"/>
                <w:color w:val="auto"/>
              </w:rPr>
            </w:pPr>
            <w:r>
              <w:rPr>
                <w:rFonts w:ascii="Arial" w:cs="Arial" w:eastAsia="Arial" w:hAnsi="Arial"/>
                <w:sz w:val="16"/>
                <w:szCs w:val="16"/>
                <w:b w:val="1"/>
                <w:bCs w:val="1"/>
                <w:color w:val="auto"/>
              </w:rPr>
              <w:t>(dollars in thousands)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7"/>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Rates</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271,740</w:t>
            </w:r>
          </w:p>
        </w:tc>
        <w:tc>
          <w:tcPr>
            <w:tcW w:w="46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72,432</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197,357</w:t>
            </w:r>
          </w:p>
        </w:tc>
        <w:tc>
          <w:tcPr>
            <w:tcW w:w="42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68,075</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74,383</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4,357</w:t>
            </w:r>
          </w:p>
        </w:tc>
        <w:tc>
          <w:tcPr>
            <w:tcW w:w="130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37.7 %</w:t>
            </w:r>
          </w:p>
        </w:tc>
        <w:tc>
          <w:tcPr>
            <w:tcW w:w="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6.4 %</w:t>
            </w:r>
          </w:p>
        </w:tc>
      </w:tr>
      <w:tr>
        <w:trPr>
          <w:trHeight w:val="23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Credit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120,638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17,588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113,542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10,458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7,096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7,130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6.2 %</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68.2 %</w:t>
            </w:r>
          </w:p>
        </w:tc>
      </w:tr>
      <w:tr>
        <w:trPr>
          <w:trHeight w:val="251"/>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Equities</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38,834</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2,475</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29,206</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2,204</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9,628</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271</w:t>
            </w:r>
          </w:p>
        </w:tc>
        <w:tc>
          <w:tcPr>
            <w:tcW w:w="130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33.0 %</w:t>
            </w:r>
          </w:p>
        </w:tc>
        <w:tc>
          <w:tcPr>
            <w:tcW w:w="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12.3 %</w:t>
            </w:r>
          </w:p>
        </w:tc>
      </w:tr>
      <w:tr>
        <w:trPr>
          <w:trHeight w:val="235"/>
        </w:trPr>
        <w:tc>
          <w:tcPr>
            <w:tcW w:w="2120" w:type="dxa"/>
            <w:vAlign w:val="bottom"/>
            <w:gridSpan w:val="2"/>
          </w:tcPr>
          <w:p>
            <w:pPr>
              <w:ind w:left="20"/>
              <w:spacing w:after="0"/>
              <w:rPr>
                <w:sz w:val="20"/>
                <w:szCs w:val="20"/>
                <w:color w:val="auto"/>
              </w:rPr>
            </w:pPr>
            <w:r>
              <w:rPr>
                <w:rFonts w:ascii="Arial" w:cs="Arial" w:eastAsia="Arial" w:hAnsi="Arial"/>
                <w:sz w:val="16"/>
                <w:szCs w:val="16"/>
                <w:color w:val="auto"/>
              </w:rPr>
              <w:t>Money Markets</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42,619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4,488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39,395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4,317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171</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8.2 %</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4.0 %</w:t>
            </w:r>
          </w:p>
        </w:tc>
      </w:tr>
      <w:tr>
        <w:trPr>
          <w:trHeight w:val="251"/>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Market Data</w:t>
            </w: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36,835</w:t>
            </w:r>
          </w:p>
        </w:tc>
        <w:tc>
          <w:tcPr>
            <w:tcW w:w="14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111</w:t>
            </w:r>
          </w:p>
        </w:tc>
        <w:tc>
          <w:tcPr>
            <w:tcW w:w="80" w:type="dxa"/>
            <w:vAlign w:val="bottom"/>
            <w:shd w:val="clear" w:color="auto" w:fill="D5DCE4"/>
          </w:tcPr>
          <w:p>
            <w:pPr>
              <w:spacing w:after="0"/>
              <w:rPr>
                <w:sz w:val="21"/>
                <w:szCs w:val="21"/>
                <w:color w:val="auto"/>
              </w:rPr>
            </w:pPr>
          </w:p>
        </w:tc>
        <w:tc>
          <w:tcPr>
            <w:tcW w:w="180" w:type="dxa"/>
            <w:vAlign w:val="bottom"/>
            <w:shd w:val="clear" w:color="auto" w:fill="D5DCE4"/>
          </w:tcPr>
          <w:p>
            <w:pPr>
              <w:spacing w:after="0"/>
              <w:rPr>
                <w:sz w:val="21"/>
                <w:szCs w:val="21"/>
                <w:color w:val="auto"/>
              </w:rPr>
            </w:pPr>
          </w:p>
        </w:tc>
        <w:tc>
          <w:tcPr>
            <w:tcW w:w="160" w:type="dxa"/>
            <w:vAlign w:val="bottom"/>
            <w:shd w:val="clear" w:color="auto" w:fill="D5DCE4"/>
          </w:tcPr>
          <w:p>
            <w:pPr>
              <w:spacing w:after="0"/>
              <w:rPr>
                <w:sz w:val="21"/>
                <w:szCs w:val="21"/>
                <w:color w:val="auto"/>
              </w:rPr>
            </w:pP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38,596</w:t>
            </w:r>
          </w:p>
        </w:tc>
        <w:tc>
          <w:tcPr>
            <w:tcW w:w="200" w:type="dxa"/>
            <w:vAlign w:val="bottom"/>
            <w:shd w:val="clear" w:color="auto" w:fill="D5DCE4"/>
          </w:tcPr>
          <w:p>
            <w:pPr>
              <w:spacing w:after="0"/>
              <w:rPr>
                <w:sz w:val="21"/>
                <w:szCs w:val="21"/>
                <w:color w:val="auto"/>
              </w:rPr>
            </w:pPr>
          </w:p>
        </w:tc>
        <w:tc>
          <w:tcPr>
            <w:tcW w:w="140" w:type="dxa"/>
            <w:vAlign w:val="bottom"/>
            <w:shd w:val="clear" w:color="auto" w:fill="D5DCE4"/>
          </w:tcPr>
          <w:p>
            <w:pPr>
              <w:spacing w:after="0"/>
              <w:rPr>
                <w:sz w:val="21"/>
                <w:szCs w:val="21"/>
                <w:color w:val="auto"/>
              </w:rPr>
            </w:pP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w:t>
            </w:r>
          </w:p>
        </w:tc>
        <w:tc>
          <w:tcPr>
            <w:tcW w:w="80" w:type="dxa"/>
            <w:vAlign w:val="bottom"/>
            <w:shd w:val="clear" w:color="auto" w:fill="D5DCE4"/>
          </w:tcPr>
          <w:p>
            <w:pPr>
              <w:spacing w:after="0"/>
              <w:rPr>
                <w:sz w:val="21"/>
                <w:szCs w:val="21"/>
                <w:color w:val="auto"/>
              </w:rPr>
            </w:pPr>
          </w:p>
        </w:tc>
        <w:tc>
          <w:tcPr>
            <w:tcW w:w="200" w:type="dxa"/>
            <w:vAlign w:val="bottom"/>
            <w:shd w:val="clear" w:color="auto" w:fill="D5DCE4"/>
          </w:tcPr>
          <w:p>
            <w:pPr>
              <w:spacing w:after="0"/>
              <w:rPr>
                <w:sz w:val="21"/>
                <w:szCs w:val="21"/>
                <w:color w:val="auto"/>
              </w:rPr>
            </w:pP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(1,761)</w:t>
            </w:r>
          </w:p>
        </w:tc>
        <w:tc>
          <w:tcPr>
            <w:tcW w:w="130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(17.1)%</w:t>
            </w:r>
          </w:p>
        </w:tc>
        <w:tc>
          <w:tcPr>
            <w:tcW w:w="80" w:type="dxa"/>
            <w:vAlign w:val="bottom"/>
            <w:shd w:val="clear" w:color="auto" w:fill="D5DCE4"/>
          </w:tcPr>
          <w:p>
            <w:pPr>
              <w:spacing w:after="0"/>
              <w:rPr>
                <w:sz w:val="21"/>
                <w:szCs w:val="21"/>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(4.6)%</w:t>
            </w:r>
          </w:p>
        </w:tc>
      </w:tr>
      <w:tr>
        <w:trPr>
          <w:trHeight w:val="237"/>
        </w:trPr>
        <w:tc>
          <w:tcPr>
            <w:tcW w:w="2120" w:type="dxa"/>
            <w:vAlign w:val="bottom"/>
            <w:tcBorders>
              <w:bottom w:val="single" w:sz="8" w:color="D5DCE4"/>
            </w:tcBorders>
            <w:gridSpan w:val="2"/>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3,769</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6,254</w:t>
            </w:r>
          </w:p>
        </w:tc>
        <w:tc>
          <w:tcPr>
            <w:tcW w:w="14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D5DCE4"/>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6,018</w:t>
            </w:r>
          </w:p>
        </w:tc>
        <w:tc>
          <w:tcPr>
            <w:tcW w:w="200" w:type="dxa"/>
            <w:vAlign w:val="bottom"/>
            <w:tcBorders>
              <w:bottom w:val="single" w:sz="8" w:color="D5DCE4"/>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3,371</w:t>
            </w:r>
          </w:p>
        </w:tc>
        <w:tc>
          <w:tcPr>
            <w:tcW w:w="80" w:type="dxa"/>
            <w:vAlign w:val="bottom"/>
            <w:tcBorders>
              <w:bottom w:val="single" w:sz="8" w:color="D5DCE4"/>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300" w:type="dxa"/>
            <w:vAlign w:val="bottom"/>
            <w:tcBorders>
              <w:bottom w:val="single" w:sz="8" w:color="D5DCE4"/>
            </w:tcBorders>
            <w:gridSpan w:val="2"/>
          </w:tcPr>
          <w:p>
            <w:pPr>
              <w:jc w:val="right"/>
              <w:spacing w:after="0"/>
              <w:rPr>
                <w:sz w:val="20"/>
                <w:szCs w:val="20"/>
                <w:color w:val="auto"/>
              </w:rPr>
            </w:pPr>
            <w:r>
              <w:rPr>
                <w:rFonts w:ascii="Arial" w:cs="Arial" w:eastAsia="Arial" w:hAnsi="Arial"/>
                <w:sz w:val="16"/>
                <w:szCs w:val="16"/>
                <w:color w:val="auto"/>
              </w:rPr>
              <w:t>847.0 %</w:t>
            </w:r>
          </w:p>
        </w:tc>
        <w:tc>
          <w:tcPr>
            <w:tcW w:w="80" w:type="dxa"/>
            <w:vAlign w:val="bottom"/>
            <w:tcBorders>
              <w:bottom w:val="single" w:sz="8" w:color="D5DCE4"/>
            </w:tcBorders>
          </w:tcPr>
          <w:p>
            <w:pPr>
              <w:spacing w:after="0"/>
              <w:rPr>
                <w:sz w:val="20"/>
                <w:szCs w:val="20"/>
                <w:color w:val="auto"/>
              </w:rPr>
            </w:pPr>
          </w:p>
        </w:tc>
        <w:tc>
          <w:tcPr>
            <w:tcW w:w="1020" w:type="dxa"/>
            <w:vAlign w:val="bottom"/>
            <w:tcBorders>
              <w:bottom w:val="single" w:sz="8" w:color="D5DCE4"/>
            </w:tcBorders>
          </w:tcPr>
          <w:p>
            <w:pPr>
              <w:jc w:val="right"/>
              <w:spacing w:after="0"/>
              <w:rPr>
                <w:sz w:val="20"/>
                <w:szCs w:val="20"/>
                <w:color w:val="auto"/>
              </w:rPr>
            </w:pPr>
            <w:r>
              <w:rPr>
                <w:rFonts w:ascii="Arial" w:cs="Arial" w:eastAsia="Arial" w:hAnsi="Arial"/>
                <w:sz w:val="16"/>
                <w:szCs w:val="16"/>
                <w:color w:val="auto"/>
              </w:rPr>
              <w:t>3.9 %</w:t>
            </w:r>
          </w:p>
        </w:tc>
      </w:tr>
      <w:tr>
        <w:trPr>
          <w:trHeight w:val="263"/>
        </w:trPr>
        <w:tc>
          <w:tcPr>
            <w:tcW w:w="2120" w:type="dxa"/>
            <w:vAlign w:val="bottom"/>
            <w:gridSpan w:val="2"/>
            <w:shd w:val="clear" w:color="auto" w:fill="D5DCE4"/>
          </w:tcPr>
          <w:p>
            <w:pPr>
              <w:ind w:left="20"/>
              <w:spacing w:after="0"/>
              <w:rPr>
                <w:sz w:val="20"/>
                <w:szCs w:val="20"/>
                <w:color w:val="auto"/>
              </w:rPr>
            </w:pPr>
            <w:r>
              <w:rPr>
                <w:rFonts w:ascii="Arial" w:cs="Arial" w:eastAsia="Arial" w:hAnsi="Arial"/>
                <w:sz w:val="16"/>
                <w:szCs w:val="16"/>
                <w:color w:val="auto"/>
              </w:rPr>
              <w:t>Total revenue</w:t>
            </w: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477,692</w:t>
            </w:r>
          </w:p>
        </w:tc>
        <w:tc>
          <w:tcPr>
            <w:tcW w:w="460" w:type="dxa"/>
            <w:vAlign w:val="bottom"/>
            <w:gridSpan w:val="3"/>
            <w:shd w:val="clear" w:color="auto" w:fill="D5DCE4"/>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D5DCE4"/>
          </w:tcPr>
          <w:p>
            <w:pPr>
              <w:jc w:val="right"/>
              <w:ind w:right="1"/>
              <w:spacing w:after="0"/>
              <w:rPr>
                <w:sz w:val="20"/>
                <w:szCs w:val="20"/>
                <w:color w:val="auto"/>
              </w:rPr>
            </w:pPr>
            <w:r>
              <w:rPr>
                <w:rFonts w:ascii="Arial" w:cs="Arial" w:eastAsia="Arial" w:hAnsi="Arial"/>
                <w:sz w:val="16"/>
                <w:szCs w:val="16"/>
                <w:color w:val="auto"/>
              </w:rPr>
              <w:t>140,072</w:t>
            </w:r>
          </w:p>
        </w:tc>
        <w:tc>
          <w:tcPr>
            <w:tcW w:w="14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380,009</w:t>
            </w:r>
          </w:p>
        </w:tc>
        <w:tc>
          <w:tcPr>
            <w:tcW w:w="420" w:type="dxa"/>
            <w:vAlign w:val="bottom"/>
            <w:gridSpan w:val="3"/>
            <w:shd w:val="clear" w:color="auto" w:fill="D5DCE4"/>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129,668</w:t>
            </w:r>
          </w:p>
        </w:tc>
        <w:tc>
          <w:tcPr>
            <w:tcW w:w="200" w:type="dxa"/>
            <w:vAlign w:val="bottom"/>
            <w:shd w:val="clear" w:color="auto" w:fill="D5DCE4"/>
          </w:tcPr>
          <w:p>
            <w:pPr>
              <w:spacing w:after="0"/>
              <w:rPr>
                <w:sz w:val="22"/>
                <w:szCs w:val="22"/>
                <w:color w:val="auto"/>
              </w:rPr>
            </w:pPr>
          </w:p>
        </w:tc>
        <w:tc>
          <w:tcPr>
            <w:tcW w:w="140" w:type="dxa"/>
            <w:vAlign w:val="bottom"/>
            <w:shd w:val="clear" w:color="auto" w:fill="D5DCE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97,683</w:t>
            </w:r>
          </w:p>
        </w:tc>
        <w:tc>
          <w:tcPr>
            <w:tcW w:w="80" w:type="dxa"/>
            <w:vAlign w:val="bottom"/>
            <w:shd w:val="clear" w:color="auto" w:fill="D5DCE4"/>
          </w:tcPr>
          <w:p>
            <w:pPr>
              <w:spacing w:after="0"/>
              <w:rPr>
                <w:sz w:val="22"/>
                <w:szCs w:val="22"/>
                <w:color w:val="auto"/>
              </w:rPr>
            </w:pPr>
          </w:p>
        </w:tc>
        <w:tc>
          <w:tcPr>
            <w:tcW w:w="2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10,404</w:t>
            </w:r>
          </w:p>
        </w:tc>
        <w:tc>
          <w:tcPr>
            <w:tcW w:w="1300" w:type="dxa"/>
            <w:vAlign w:val="bottom"/>
            <w:gridSpan w:val="2"/>
            <w:shd w:val="clear" w:color="auto" w:fill="D5DCE4"/>
          </w:tcPr>
          <w:p>
            <w:pPr>
              <w:jc w:val="right"/>
              <w:spacing w:after="0"/>
              <w:rPr>
                <w:sz w:val="20"/>
                <w:szCs w:val="20"/>
                <w:color w:val="auto"/>
              </w:rPr>
            </w:pPr>
            <w:r>
              <w:rPr>
                <w:rFonts w:ascii="Arial" w:cs="Arial" w:eastAsia="Arial" w:hAnsi="Arial"/>
                <w:sz w:val="16"/>
                <w:szCs w:val="16"/>
                <w:color w:val="auto"/>
              </w:rPr>
              <w:t>25.7 %</w:t>
            </w:r>
          </w:p>
        </w:tc>
        <w:tc>
          <w:tcPr>
            <w:tcW w:w="80" w:type="dxa"/>
            <w:vAlign w:val="bottom"/>
            <w:shd w:val="clear" w:color="auto" w:fill="D5DCE4"/>
          </w:tcPr>
          <w:p>
            <w:pPr>
              <w:spacing w:after="0"/>
              <w:rPr>
                <w:sz w:val="22"/>
                <w:szCs w:val="22"/>
                <w:color w:val="auto"/>
              </w:rPr>
            </w:pPr>
          </w:p>
        </w:tc>
        <w:tc>
          <w:tcPr>
            <w:tcW w:w="10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8.0 %</w:t>
            </w:r>
          </w:p>
        </w:tc>
      </w:tr>
      <w:tr>
        <w:trPr>
          <w:trHeight w:val="20"/>
        </w:trPr>
        <w:tc>
          <w:tcPr>
            <w:tcW w:w="192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D5DCE4"/>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D5DCE4"/>
            </w:tcBorders>
          </w:tcPr>
          <w:p>
            <w:pPr>
              <w:spacing w:after="0" w:line="20" w:lineRule="exact"/>
              <w:rPr>
                <w:sz w:val="1"/>
                <w:szCs w:val="1"/>
                <w:color w:val="auto"/>
              </w:rPr>
            </w:pPr>
          </w:p>
        </w:tc>
        <w:tc>
          <w:tcPr>
            <w:tcW w:w="1120" w:type="dxa"/>
            <w:vAlign w:val="bottom"/>
            <w:tcBorders>
              <w:top w:val="single" w:sz="8" w:color="D5DCE4"/>
            </w:tcBorders>
          </w:tcPr>
          <w:p>
            <w:pPr>
              <w:spacing w:after="0" w:line="20" w:lineRule="exact"/>
              <w:rPr>
                <w:sz w:val="1"/>
                <w:szCs w:val="1"/>
                <w:color w:val="auto"/>
              </w:rPr>
            </w:pPr>
          </w:p>
        </w:tc>
        <w:tc>
          <w:tcPr>
            <w:tcW w:w="80" w:type="dxa"/>
            <w:vAlign w:val="bottom"/>
            <w:tcBorders>
              <w:top w:val="single" w:sz="8" w:color="D5DCE4"/>
            </w:tcBorders>
          </w:tcPr>
          <w:p>
            <w:pPr>
              <w:spacing w:after="0" w:line="20" w:lineRule="exact"/>
              <w:rPr>
                <w:sz w:val="1"/>
                <w:szCs w:val="1"/>
                <w:color w:val="auto"/>
              </w:rPr>
            </w:pPr>
          </w:p>
        </w:tc>
        <w:tc>
          <w:tcPr>
            <w:tcW w:w="1020" w:type="dxa"/>
            <w:vAlign w:val="bottom"/>
            <w:tcBorders>
              <w:top w:val="single" w:sz="8" w:color="D5DCE4"/>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VARIABLE FEES PER MILLION DOLLARS OF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40" w:type="dxa"/>
            <w:vAlign w:val="bottom"/>
            <w:gridSpan w:val="5"/>
          </w:tcPr>
          <w:p>
            <w:pPr>
              <w:ind w:left="400"/>
              <w:spacing w:after="0"/>
              <w:rPr>
                <w:sz w:val="20"/>
                <w:szCs w:val="20"/>
                <w:color w:val="auto"/>
              </w:rPr>
            </w:pPr>
            <w:r>
              <w:rPr>
                <w:rFonts w:ascii="Arial" w:cs="Arial" w:eastAsia="Arial" w:hAnsi="Arial"/>
                <w:sz w:val="16"/>
                <w:szCs w:val="16"/>
                <w:b w:val="1"/>
                <w:bCs w:val="1"/>
                <w:color w:val="auto"/>
              </w:rPr>
              <w:t>Three Months Ended</w:t>
            </w:r>
          </w:p>
        </w:tc>
        <w:tc>
          <w:tcPr>
            <w:tcW w:w="1500" w:type="dxa"/>
            <w:vAlign w:val="bottom"/>
          </w:tcPr>
          <w:p>
            <w:pPr>
              <w:spacing w:after="0"/>
              <w:rPr>
                <w:sz w:val="19"/>
                <w:szCs w:val="19"/>
                <w:color w:val="auto"/>
              </w:rPr>
            </w:pPr>
          </w:p>
        </w:tc>
      </w:tr>
      <w:tr>
        <w:trPr>
          <w:trHeight w:val="244"/>
        </w:trPr>
        <w:tc>
          <w:tcPr>
            <w:tcW w:w="65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March 31,</w:t>
            </w:r>
          </w:p>
        </w:tc>
        <w:tc>
          <w:tcPr>
            <w:tcW w:w="10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tcPr>
          <w:p>
            <w:pPr>
              <w:jc w:val="right"/>
              <w:ind w:right="519"/>
              <w:spacing w:after="0"/>
              <w:rPr>
                <w:sz w:val="20"/>
                <w:szCs w:val="20"/>
                <w:color w:val="auto"/>
              </w:rPr>
            </w:pPr>
            <w:r>
              <w:rPr>
                <w:rFonts w:ascii="Arial" w:cs="Arial" w:eastAsia="Arial" w:hAnsi="Arial"/>
                <w:sz w:val="16"/>
                <w:szCs w:val="16"/>
                <w:b w:val="1"/>
                <w:bCs w:val="1"/>
                <w:color w:val="auto"/>
              </w:rPr>
              <w:t>YoY</w:t>
            </w:r>
          </w:p>
        </w:tc>
      </w:tr>
      <w:tr>
        <w:trPr>
          <w:trHeight w:val="239"/>
        </w:trPr>
        <w:tc>
          <w:tcPr>
            <w:tcW w:w="6560" w:type="dxa"/>
            <w:vAlign w:val="bottom"/>
            <w:tcBorders>
              <w:bottom w:val="single" w:sz="8" w:color="D5DCE4"/>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D5DCE4"/>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D5DCE4"/>
            </w:tcBorders>
          </w:tcPr>
          <w:p>
            <w:pPr>
              <w:spacing w:after="0"/>
              <w:rPr>
                <w:sz w:val="20"/>
                <w:szCs w:val="20"/>
                <w:color w:val="auto"/>
              </w:rPr>
            </w:pPr>
          </w:p>
        </w:tc>
        <w:tc>
          <w:tcPr>
            <w:tcW w:w="15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 Change</w:t>
            </w:r>
          </w:p>
        </w:tc>
      </w:tr>
      <w:tr>
        <w:trPr>
          <w:trHeight w:val="240"/>
        </w:trPr>
        <w:tc>
          <w:tcPr>
            <w:tcW w:w="65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2.12</w:t>
            </w:r>
          </w:p>
        </w:tc>
        <w:tc>
          <w:tcPr>
            <w:tcW w:w="80" w:type="dxa"/>
            <w:vAlign w:val="bottom"/>
            <w:shd w:val="clear" w:color="auto" w:fill="D5DCE4"/>
          </w:tcPr>
          <w:p>
            <w:pPr>
              <w:spacing w:after="0"/>
              <w:rPr>
                <w:sz w:val="20"/>
                <w:szCs w:val="20"/>
                <w:color w:val="auto"/>
              </w:rPr>
            </w:pPr>
          </w:p>
        </w:tc>
        <w:tc>
          <w:tcPr>
            <w:tcW w:w="460" w:type="dxa"/>
            <w:vAlign w:val="bottom"/>
            <w:shd w:val="clear" w:color="auto" w:fill="D5DCE4"/>
          </w:tcPr>
          <w:p>
            <w:pPr>
              <w:jc w:val="right"/>
              <w:ind w:right="2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2.22</w:t>
            </w:r>
          </w:p>
        </w:tc>
        <w:tc>
          <w:tcPr>
            <w:tcW w:w="80" w:type="dxa"/>
            <w:vAlign w:val="bottom"/>
            <w:shd w:val="clear" w:color="auto" w:fill="D5DCE4"/>
          </w:tcPr>
          <w:p>
            <w:pPr>
              <w:spacing w:after="0"/>
              <w:rPr>
                <w:sz w:val="20"/>
                <w:szCs w:val="20"/>
                <w:color w:val="auto"/>
              </w:rPr>
            </w:pP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-4.6%</w:t>
            </w:r>
          </w:p>
        </w:tc>
      </w:tr>
      <w:tr>
        <w:trPr>
          <w:trHeight w:val="235"/>
        </w:trPr>
        <w:tc>
          <w:tcPr>
            <w:tcW w:w="6560" w:type="dxa"/>
            <w:vAlign w:val="bottom"/>
          </w:tcPr>
          <w:p>
            <w:pPr>
              <w:ind w:left="140"/>
              <w:spacing w:after="0"/>
              <w:rPr>
                <w:sz w:val="20"/>
                <w:szCs w:val="20"/>
                <w:color w:val="auto"/>
              </w:rPr>
            </w:pPr>
            <w:r>
              <w:rPr>
                <w:rFonts w:ascii="Arial" w:cs="Arial" w:eastAsia="Arial" w:hAnsi="Arial"/>
                <w:sz w:val="16"/>
                <w:szCs w:val="16"/>
                <w:color w:val="auto"/>
              </w:rPr>
              <w:t>Rates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2.30</w:t>
            </w:r>
          </w:p>
        </w:tc>
        <w:tc>
          <w:tcPr>
            <w:tcW w:w="8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2.36</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51"/>
        </w:trPr>
        <w:tc>
          <w:tcPr>
            <w:tcW w:w="65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Rates Derivatives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2.04</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2.14</w:t>
            </w:r>
          </w:p>
        </w:tc>
        <w:tc>
          <w:tcPr>
            <w:tcW w:w="80" w:type="dxa"/>
            <w:vAlign w:val="bottom"/>
            <w:shd w:val="clear" w:color="auto" w:fill="D5DCE4"/>
          </w:tcPr>
          <w:p>
            <w:pPr>
              <w:spacing w:after="0"/>
              <w:rPr>
                <w:sz w:val="21"/>
                <w:szCs w:val="21"/>
                <w:color w:val="auto"/>
              </w:rPr>
            </w:pP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-4.7%</w:t>
            </w:r>
          </w:p>
        </w:tc>
      </w:tr>
      <w:tr>
        <w:trPr>
          <w:trHeight w:val="235"/>
        </w:trPr>
        <w:tc>
          <w:tcPr>
            <w:tcW w:w="6560" w:type="dxa"/>
            <w:vAlign w:val="bottom"/>
          </w:tcPr>
          <w:p>
            <w:pPr>
              <w:ind w:left="240"/>
              <w:spacing w:after="0"/>
              <w:rPr>
                <w:sz w:val="20"/>
                <w:szCs w:val="20"/>
                <w:color w:val="auto"/>
              </w:rPr>
            </w:pPr>
            <w:r>
              <w:rPr>
                <w:rFonts w:ascii="Arial" w:cs="Arial" w:eastAsia="Arial" w:hAnsi="Arial"/>
                <w:sz w:val="16"/>
                <w:szCs w:val="16"/>
                <w:color w:val="auto"/>
              </w:rPr>
              <w:t>Rates Derivatives (≥ 1 year)</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3.85</w:t>
            </w:r>
          </w:p>
        </w:tc>
        <w:tc>
          <w:tcPr>
            <w:tcW w:w="8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3.53</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51"/>
        </w:trPr>
        <w:tc>
          <w:tcPr>
            <w:tcW w:w="6560" w:type="dxa"/>
            <w:vAlign w:val="bottom"/>
            <w:shd w:val="clear" w:color="auto" w:fill="D5DCE4"/>
          </w:tcPr>
          <w:p>
            <w:pPr>
              <w:ind w:left="240"/>
              <w:spacing w:after="0"/>
              <w:rPr>
                <w:sz w:val="20"/>
                <w:szCs w:val="20"/>
                <w:color w:val="auto"/>
              </w:rPr>
            </w:pPr>
            <w:r>
              <w:rPr>
                <w:rFonts w:ascii="Arial" w:cs="Arial" w:eastAsia="Arial" w:hAnsi="Arial"/>
                <w:sz w:val="16"/>
                <w:szCs w:val="16"/>
                <w:color w:val="auto"/>
              </w:rPr>
              <w:t xml:space="preserve">Other Rates Derivatives </w:t>
            </w:r>
            <w:r>
              <w:rPr>
                <w:rFonts w:ascii="Arial" w:cs="Arial" w:eastAsia="Arial" w:hAnsi="Arial"/>
                <w:sz w:val="21"/>
                <w:szCs w:val="21"/>
                <w:color w:val="auto"/>
                <w:vertAlign w:val="superscript"/>
              </w:rPr>
              <w:t>(1)</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0.23</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0.24</w:t>
            </w:r>
          </w:p>
        </w:tc>
        <w:tc>
          <w:tcPr>
            <w:tcW w:w="80" w:type="dxa"/>
            <w:vAlign w:val="bottom"/>
            <w:shd w:val="clear" w:color="auto" w:fill="D5DCE4"/>
          </w:tcPr>
          <w:p>
            <w:pPr>
              <w:spacing w:after="0"/>
              <w:rPr>
                <w:sz w:val="21"/>
                <w:szCs w:val="21"/>
                <w:color w:val="auto"/>
              </w:rPr>
            </w:pP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6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3"/>
        </w:trPr>
        <w:tc>
          <w:tcPr>
            <w:tcW w:w="65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28.42</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37.96</w:t>
            </w:r>
          </w:p>
        </w:tc>
        <w:tc>
          <w:tcPr>
            <w:tcW w:w="80" w:type="dxa"/>
            <w:vAlign w:val="bottom"/>
            <w:shd w:val="clear" w:color="auto" w:fill="D5DCE4"/>
          </w:tcPr>
          <w:p>
            <w:pPr>
              <w:spacing w:after="0"/>
              <w:rPr>
                <w:sz w:val="21"/>
                <w:szCs w:val="21"/>
                <w:color w:val="auto"/>
              </w:rPr>
            </w:pP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-25.1%</w:t>
            </w:r>
          </w:p>
        </w:tc>
      </w:tr>
      <w:tr>
        <w:trPr>
          <w:trHeight w:val="243"/>
        </w:trPr>
        <w:tc>
          <w:tcPr>
            <w:tcW w:w="6560" w:type="dxa"/>
            <w:vAlign w:val="bottom"/>
          </w:tcPr>
          <w:p>
            <w:pPr>
              <w:ind w:left="140"/>
              <w:spacing w:after="0"/>
              <w:rPr>
                <w:sz w:val="20"/>
                <w:szCs w:val="20"/>
                <w:color w:val="auto"/>
              </w:rPr>
            </w:pPr>
            <w:r>
              <w:rPr>
                <w:rFonts w:ascii="Arial" w:cs="Arial" w:eastAsia="Arial" w:hAnsi="Arial"/>
                <w:sz w:val="16"/>
                <w:szCs w:val="16"/>
                <w:color w:val="auto"/>
              </w:rPr>
              <w:t xml:space="preserve">Cash Credit </w:t>
            </w:r>
            <w:r>
              <w:rPr>
                <w:rFonts w:ascii="Arial" w:cs="Arial" w:eastAsia="Arial" w:hAnsi="Arial"/>
                <w:sz w:val="21"/>
                <w:szCs w:val="21"/>
                <w:color w:val="auto"/>
                <w:vertAlign w:val="superscript"/>
              </w:rPr>
              <w:t>(2)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114.51</w:t>
            </w:r>
          </w:p>
        </w:tc>
        <w:tc>
          <w:tcPr>
            <w:tcW w:w="80" w:type="dxa"/>
            <w:vAlign w:val="bottom"/>
          </w:tcPr>
          <w:p>
            <w:pPr>
              <w:spacing w:after="0"/>
              <w:rPr>
                <w:sz w:val="21"/>
                <w:szCs w:val="21"/>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134.28</w:t>
            </w:r>
          </w:p>
        </w:tc>
        <w:tc>
          <w:tcPr>
            <w:tcW w:w="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-14.7%</w:t>
            </w:r>
          </w:p>
        </w:tc>
      </w:tr>
      <w:tr>
        <w:trPr>
          <w:trHeight w:val="243"/>
        </w:trPr>
        <w:tc>
          <w:tcPr>
            <w:tcW w:w="65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Credit Derivatives, China Bonds and U.S. Cash EP</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5.88</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6.15</w:t>
            </w:r>
          </w:p>
        </w:tc>
        <w:tc>
          <w:tcPr>
            <w:tcW w:w="80" w:type="dxa"/>
            <w:vAlign w:val="bottom"/>
            <w:shd w:val="clear" w:color="auto" w:fill="D5DCE4"/>
          </w:tcPr>
          <w:p>
            <w:pPr>
              <w:spacing w:after="0"/>
              <w:rPr>
                <w:sz w:val="21"/>
                <w:szCs w:val="21"/>
                <w:color w:val="auto"/>
              </w:rPr>
            </w:pP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w:t>
            </w:r>
          </w:p>
        </w:tc>
      </w:tr>
      <w:tr>
        <w:trPr>
          <w:trHeight w:val="216"/>
        </w:trPr>
        <w:tc>
          <w:tcPr>
            <w:tcW w:w="6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3"/>
        </w:trPr>
        <w:tc>
          <w:tcPr>
            <w:tcW w:w="65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19.43</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18.16</w:t>
            </w:r>
          </w:p>
        </w:tc>
        <w:tc>
          <w:tcPr>
            <w:tcW w:w="80" w:type="dxa"/>
            <w:vAlign w:val="bottom"/>
            <w:shd w:val="clear" w:color="auto" w:fill="D5DCE4"/>
          </w:tcPr>
          <w:p>
            <w:pPr>
              <w:spacing w:after="0"/>
              <w:rPr>
                <w:sz w:val="21"/>
                <w:szCs w:val="21"/>
                <w:color w:val="auto"/>
              </w:rPr>
            </w:pP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7.0%</w:t>
            </w:r>
          </w:p>
        </w:tc>
      </w:tr>
      <w:tr>
        <w:trPr>
          <w:trHeight w:val="235"/>
        </w:trPr>
        <w:tc>
          <w:tcPr>
            <w:tcW w:w="6560" w:type="dxa"/>
            <w:vAlign w:val="bottom"/>
          </w:tcPr>
          <w:p>
            <w:pPr>
              <w:ind w:left="140"/>
              <w:spacing w:after="0"/>
              <w:rPr>
                <w:sz w:val="20"/>
                <w:szCs w:val="20"/>
                <w:color w:val="auto"/>
              </w:rPr>
            </w:pPr>
            <w:r>
              <w:rPr>
                <w:rFonts w:ascii="Arial" w:cs="Arial" w:eastAsia="Arial" w:hAnsi="Arial"/>
                <w:sz w:val="16"/>
                <w:szCs w:val="16"/>
                <w:color w:val="auto"/>
              </w:rPr>
              <w:t>Equities Cash</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29.94</w:t>
            </w:r>
          </w:p>
        </w:tc>
        <w:tc>
          <w:tcPr>
            <w:tcW w:w="80" w:type="dxa"/>
            <w:vAlign w:val="bottom"/>
          </w:tcPr>
          <w:p>
            <w:pPr>
              <w:spacing w:after="0"/>
              <w:rPr>
                <w:sz w:val="20"/>
                <w:szCs w:val="20"/>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30.39</w:t>
            </w:r>
          </w:p>
        </w:tc>
        <w:tc>
          <w:tcPr>
            <w:tcW w:w="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51"/>
        </w:trPr>
        <w:tc>
          <w:tcPr>
            <w:tcW w:w="6560" w:type="dxa"/>
            <w:vAlign w:val="bottom"/>
            <w:shd w:val="clear" w:color="auto" w:fill="D5DCE4"/>
          </w:tcPr>
          <w:p>
            <w:pPr>
              <w:ind w:left="140"/>
              <w:spacing w:after="0"/>
              <w:rPr>
                <w:sz w:val="20"/>
                <w:szCs w:val="20"/>
                <w:color w:val="auto"/>
              </w:rPr>
            </w:pPr>
            <w:r>
              <w:rPr>
                <w:rFonts w:ascii="Arial" w:cs="Arial" w:eastAsia="Arial" w:hAnsi="Arial"/>
                <w:sz w:val="16"/>
                <w:szCs w:val="16"/>
                <w:color w:val="auto"/>
              </w:rPr>
              <w:t>Equities Derivatives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7.57</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59"/>
              <w:spacing w:after="0"/>
              <w:rPr>
                <w:sz w:val="20"/>
                <w:szCs w:val="20"/>
                <w:color w:val="auto"/>
              </w:rPr>
            </w:pPr>
            <w:r>
              <w:rPr>
                <w:rFonts w:ascii="Arial" w:cs="Arial" w:eastAsia="Arial" w:hAnsi="Arial"/>
                <w:sz w:val="16"/>
                <w:szCs w:val="16"/>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7.27</w:t>
            </w:r>
          </w:p>
        </w:tc>
        <w:tc>
          <w:tcPr>
            <w:tcW w:w="80" w:type="dxa"/>
            <w:vAlign w:val="bottom"/>
            <w:shd w:val="clear" w:color="auto" w:fill="D5DCE4"/>
          </w:tcPr>
          <w:p>
            <w:pPr>
              <w:spacing w:after="0"/>
              <w:rPr>
                <w:sz w:val="21"/>
                <w:szCs w:val="21"/>
                <w:color w:val="auto"/>
              </w:rPr>
            </w:pP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4.1%</w:t>
            </w:r>
          </w:p>
        </w:tc>
      </w:tr>
      <w:tr>
        <w:trPr>
          <w:trHeight w:val="216"/>
        </w:trPr>
        <w:tc>
          <w:tcPr>
            <w:tcW w:w="6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3"/>
        </w:trPr>
        <w:tc>
          <w:tcPr>
            <w:tcW w:w="65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Money Markets</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0.53</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0.55</w:t>
            </w:r>
          </w:p>
        </w:tc>
        <w:tc>
          <w:tcPr>
            <w:tcW w:w="80" w:type="dxa"/>
            <w:vAlign w:val="bottom"/>
            <w:shd w:val="clear" w:color="auto" w:fill="D5DCE4"/>
          </w:tcPr>
          <w:p>
            <w:pPr>
              <w:spacing w:after="0"/>
              <w:rPr>
                <w:sz w:val="21"/>
                <w:szCs w:val="21"/>
                <w:color w:val="auto"/>
              </w:rPr>
            </w:pP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-3.6%</w:t>
            </w:r>
          </w:p>
        </w:tc>
      </w:tr>
      <w:tr>
        <w:trPr>
          <w:trHeight w:val="216"/>
        </w:trPr>
        <w:tc>
          <w:tcPr>
            <w:tcW w:w="6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3"/>
        </w:trPr>
        <w:tc>
          <w:tcPr>
            <w:tcW w:w="65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Total</w:t>
            </w:r>
          </w:p>
        </w:tc>
        <w:tc>
          <w:tcPr>
            <w:tcW w:w="340" w:type="dxa"/>
            <w:vAlign w:val="bottom"/>
            <w:shd w:val="clear" w:color="auto" w:fill="D5DCE4"/>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2.21</w:t>
            </w:r>
          </w:p>
        </w:tc>
        <w:tc>
          <w:tcPr>
            <w:tcW w:w="80" w:type="dxa"/>
            <w:vAlign w:val="bottom"/>
            <w:shd w:val="clear" w:color="auto" w:fill="D5DCE4"/>
          </w:tcPr>
          <w:p>
            <w:pPr>
              <w:spacing w:after="0"/>
              <w:rPr>
                <w:sz w:val="21"/>
                <w:szCs w:val="21"/>
                <w:color w:val="auto"/>
              </w:rPr>
            </w:pPr>
          </w:p>
        </w:tc>
        <w:tc>
          <w:tcPr>
            <w:tcW w:w="460" w:type="dxa"/>
            <w:vAlign w:val="bottom"/>
            <w:shd w:val="clear" w:color="auto" w:fill="D5DCE4"/>
          </w:tcPr>
          <w:p>
            <w:pPr>
              <w:jc w:val="right"/>
              <w:ind w:right="259"/>
              <w:spacing w:after="0"/>
              <w:rPr>
                <w:sz w:val="20"/>
                <w:szCs w:val="20"/>
                <w:color w:val="auto"/>
              </w:rPr>
            </w:pPr>
            <w:r>
              <w:rPr>
                <w:rFonts w:ascii="Arial" w:cs="Arial" w:eastAsia="Arial" w:hAnsi="Arial"/>
                <w:sz w:val="16"/>
                <w:szCs w:val="16"/>
                <w:b w:val="1"/>
                <w:bCs w:val="1"/>
                <w:color w:val="auto"/>
              </w:rPr>
              <w:t>$</w:t>
            </w:r>
          </w:p>
        </w:tc>
        <w:tc>
          <w:tcPr>
            <w:tcW w:w="106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2.31</w:t>
            </w:r>
          </w:p>
        </w:tc>
        <w:tc>
          <w:tcPr>
            <w:tcW w:w="80" w:type="dxa"/>
            <w:vAlign w:val="bottom"/>
            <w:shd w:val="clear" w:color="auto" w:fill="D5DCE4"/>
          </w:tcPr>
          <w:p>
            <w:pPr>
              <w:spacing w:after="0"/>
              <w:rPr>
                <w:sz w:val="21"/>
                <w:szCs w:val="21"/>
                <w:color w:val="auto"/>
              </w:rPr>
            </w:pPr>
          </w:p>
        </w:tc>
        <w:tc>
          <w:tcPr>
            <w:tcW w:w="150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-4.1%</w:t>
            </w:r>
          </w:p>
        </w:tc>
      </w:tr>
      <w:tr>
        <w:trPr>
          <w:trHeight w:val="302"/>
        </w:trPr>
        <w:tc>
          <w:tcPr>
            <w:tcW w:w="6560" w:type="dxa"/>
            <w:vAlign w:val="bottom"/>
          </w:tcPr>
          <w:p>
            <w:pPr>
              <w:ind w:left="20"/>
              <w:spacing w:after="0"/>
              <w:rPr>
                <w:sz w:val="20"/>
                <w:szCs w:val="20"/>
                <w:color w:val="auto"/>
              </w:rPr>
            </w:pPr>
            <w:r>
              <w:rPr>
                <w:rFonts w:ascii="Arial" w:cs="Arial" w:eastAsia="Arial" w:hAnsi="Arial"/>
                <w:sz w:val="16"/>
                <w:szCs w:val="16"/>
                <w:b w:val="1"/>
                <w:bCs w:val="1"/>
                <w:color w:val="auto"/>
              </w:rPr>
              <w:t xml:space="preserve">Total excluding Other Rates Derivatives </w:t>
            </w:r>
            <w:r>
              <w:rPr>
                <w:rFonts w:ascii="Arial" w:cs="Arial" w:eastAsia="Arial" w:hAnsi="Arial"/>
                <w:sz w:val="21"/>
                <w:szCs w:val="21"/>
                <w:b w:val="1"/>
                <w:bCs w:val="1"/>
                <w:color w:val="auto"/>
                <w:vertAlign w:val="superscript"/>
              </w:rPr>
              <w:t>(3)</w:t>
            </w:r>
          </w:p>
        </w:tc>
        <w:tc>
          <w:tcPr>
            <w:tcW w:w="340" w:type="dxa"/>
            <w:vAlign w:val="bottom"/>
          </w:tcPr>
          <w:p>
            <w:pPr>
              <w:jc w:val="right"/>
              <w:ind w:right="15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rPr>
              <w:t>2.72</w:t>
            </w:r>
          </w:p>
        </w:tc>
        <w:tc>
          <w:tcPr>
            <w:tcW w:w="80" w:type="dxa"/>
            <w:vAlign w:val="bottom"/>
          </w:tcPr>
          <w:p>
            <w:pPr>
              <w:spacing w:after="0"/>
              <w:rPr>
                <w:sz w:val="24"/>
                <w:szCs w:val="24"/>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2.64</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6"/>
                <w:szCs w:val="16"/>
                <w:b w:val="1"/>
                <w:bCs w:val="1"/>
                <w:color w:val="auto"/>
              </w:rPr>
              <w:t>2.8%</w:t>
            </w:r>
          </w:p>
        </w:tc>
      </w:tr>
    </w:tbl>
    <w:p>
      <w:pPr>
        <w:spacing w:after="0" w:line="76" w:lineRule="exact"/>
        <w:rPr>
          <w:sz w:val="20"/>
          <w:szCs w:val="20"/>
          <w:color w:val="auto"/>
        </w:rPr>
      </w:pPr>
    </w:p>
    <w:p>
      <w:pPr>
        <w:ind w:left="440" w:hanging="414"/>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Includes Swaps/Swaptions of tenor less than 1 year and Rates Futures.</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“Cash Credit” category represents the “Credit” asset class excluding (1) Credit Derivatives (2) China Bonds and (3) U.S. High Grade and High Yield electronically processed (“EP”) activity.</w:t>
      </w:r>
    </w:p>
    <w:p>
      <w:pPr>
        <w:spacing w:after="0" w:line="64" w:lineRule="exact"/>
        <w:rPr>
          <w:rFonts w:ascii="Arial" w:cs="Arial" w:eastAsia="Arial" w:hAnsi="Arial"/>
          <w:sz w:val="12"/>
          <w:szCs w:val="12"/>
          <w:color w:val="auto"/>
        </w:rPr>
      </w:pPr>
    </w:p>
    <w:p>
      <w:pPr>
        <w:ind w:left="440" w:hanging="414"/>
        <w:spacing w:after="0"/>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Included to contextualize the impact of short-tenored Swaps/Swaptions and Rates Futures on blended fees per million across all periods presented.</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9</w:t>
      </w:r>
    </w:p>
    <w:p>
      <w:pPr>
        <w:sectPr>
          <w:pgSz w:w="11900" w:h="16838" w:orient="portrait"/>
          <w:cols w:equalWidth="0" w:num="1">
            <w:col w:w="11240"/>
          </w:cols>
          <w:pgMar w:left="320" w:top="773"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083566"/>
        </w:rPr>
        <w:t>TRADEWEB MARKETS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AVERAGE DAILY VOLUME (UNAUDITED)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gridSpan w:val="2"/>
          </w:tcPr>
          <w:p>
            <w:pPr>
              <w:ind w:left="740"/>
              <w:spacing w:after="0"/>
              <w:rPr>
                <w:sz w:val="20"/>
                <w:szCs w:val="20"/>
                <w:color w:val="auto"/>
              </w:rPr>
            </w:pPr>
            <w:r>
              <w:rPr>
                <w:rFonts w:ascii="Arial" w:cs="Arial" w:eastAsia="Arial" w:hAnsi="Arial"/>
                <w:sz w:val="16"/>
                <w:szCs w:val="16"/>
                <w:b w:val="1"/>
                <w:bCs w:val="1"/>
                <w:color w:val="auto"/>
              </w:rPr>
              <w:t>2026 Q1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ind w:left="760"/>
              <w:spacing w:after="0"/>
              <w:rPr>
                <w:sz w:val="20"/>
                <w:szCs w:val="20"/>
                <w:color w:val="auto"/>
              </w:rPr>
            </w:pPr>
            <w:r>
              <w:rPr>
                <w:rFonts w:ascii="Arial" w:cs="Arial" w:eastAsia="Arial" w:hAnsi="Arial"/>
                <w:sz w:val="16"/>
                <w:szCs w:val="16"/>
                <w:b w:val="1"/>
                <w:bCs w:val="1"/>
                <w:color w:val="auto"/>
              </w:rPr>
              <w:t>2025 Q1</w:t>
            </w: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Asset Class</w:t>
            </w:r>
          </w:p>
        </w:tc>
        <w:tc>
          <w:tcPr>
            <w:tcW w:w="240" w:type="dxa"/>
            <w:vAlign w:val="bottom"/>
            <w:tcBorders>
              <w:bottom w:val="single" w:sz="8" w:color="auto"/>
            </w:tcBorders>
          </w:tcPr>
          <w:p>
            <w:pPr>
              <w:spacing w:after="0"/>
              <w:rPr>
                <w:sz w:val="21"/>
                <w:szCs w:val="21"/>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Product</w:t>
            </w:r>
          </w:p>
        </w:tc>
        <w:tc>
          <w:tcPr>
            <w:tcW w:w="100" w:type="dxa"/>
            <w:vAlign w:val="bottom"/>
            <w:tcBorders>
              <w:bottom w:val="single" w:sz="8" w:color="D5DCE4"/>
            </w:tcBorders>
          </w:tcPr>
          <w:p>
            <w:pPr>
              <w:spacing w:after="0"/>
              <w:rPr>
                <w:sz w:val="21"/>
                <w:szCs w:val="21"/>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280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b w:val="1"/>
                <w:bCs w:val="1"/>
                <w:color w:val="auto"/>
              </w:rPr>
              <w:t>ADV (USD mm)  Volume (USD mm)</w:t>
            </w:r>
          </w:p>
        </w:tc>
        <w:tc>
          <w:tcPr>
            <w:tcW w:w="100" w:type="dxa"/>
            <w:vAlign w:val="bottom"/>
            <w:tcBorders>
              <w:bottom w:val="single" w:sz="8" w:color="D5DCE4"/>
            </w:tcBorders>
          </w:tcPr>
          <w:p>
            <w:pPr>
              <w:spacing w:after="0"/>
              <w:rPr>
                <w:sz w:val="21"/>
                <w:szCs w:val="21"/>
                <w:color w:val="auto"/>
              </w:rPr>
            </w:pPr>
          </w:p>
        </w:tc>
        <w:tc>
          <w:tcPr>
            <w:tcW w:w="12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ADV</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Rates</w:t>
            </w:r>
          </w:p>
        </w:tc>
        <w:tc>
          <w:tcPr>
            <w:tcW w:w="240" w:type="dxa"/>
            <w:vAlign w:val="bottom"/>
            <w:tcBorders>
              <w:right w:val="single" w:sz="8" w:color="D5DCE4"/>
            </w:tcBorders>
            <w:shd w:val="clear" w:color="auto" w:fill="D5DCE4"/>
          </w:tcPr>
          <w:p>
            <w:pPr>
              <w:spacing w:after="0"/>
              <w:rPr>
                <w:sz w:val="20"/>
                <w:szCs w:val="20"/>
                <w:color w:val="auto"/>
              </w:rPr>
            </w:pPr>
          </w:p>
        </w:tc>
        <w:tc>
          <w:tcPr>
            <w:tcW w:w="29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670,125</w:t>
            </w:r>
          </w:p>
        </w:tc>
        <w:tc>
          <w:tcPr>
            <w:tcW w:w="40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41,021,925</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558,883</w:t>
            </w:r>
          </w:p>
        </w:tc>
        <w:tc>
          <w:tcPr>
            <w:tcW w:w="400" w:type="dxa"/>
            <w:vAlign w:val="bottom"/>
            <w:shd w:val="clear" w:color="auto" w:fill="D5DCE4"/>
          </w:tcPr>
          <w:p>
            <w:pPr>
              <w:spacing w:after="0"/>
              <w:rPr>
                <w:sz w:val="20"/>
                <w:szCs w:val="20"/>
                <w:color w:val="auto"/>
              </w:rPr>
            </w:pPr>
            <w:r>
              <w:rPr>
                <w:rFonts w:ascii="Arial" w:cs="Arial" w:eastAsia="Arial" w:hAnsi="Arial"/>
                <w:sz w:val="16"/>
                <w:szCs w:val="16"/>
                <w:b w:val="1"/>
                <w:bCs w:val="1"/>
                <w:color w:val="auto"/>
              </w:rPr>
              <w:t>$</w:t>
            </w: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34,192,846</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19.90 %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Government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283,205</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17,275,514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244,269</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14,900,433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European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79,206</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4,989,957</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59,757</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3,764,712</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32.55 %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Mortgages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293,179</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17,883,923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243,352</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14,844,482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20.48 %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Government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14,535</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872,532</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11,504</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683,219</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26.35 %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1,410,838</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87,143,673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884,151</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54,575,779</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59.57 %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Swaps/Swaptions ≥ 1Y</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706,375</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43,554,189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511,006</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31,417,062</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38.23 %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Swaps/Swaptions &lt; 1Y</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692,836</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42,875,415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365,224</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22,651,641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89.70 %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11,627</w:t>
            </w:r>
          </w:p>
        </w:tc>
        <w:tc>
          <w:tcPr>
            <w:tcW w:w="4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714,069</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7,921</w:t>
            </w:r>
          </w:p>
        </w:tc>
        <w:tc>
          <w:tcPr>
            <w:tcW w:w="4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507,075</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46.78 %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298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2,080,963</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128,165,598</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1,443,034</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88,768,625</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44.21 %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Credit</w:t>
            </w:r>
          </w:p>
        </w:tc>
        <w:tc>
          <w:tcPr>
            <w:tcW w:w="240" w:type="dxa"/>
            <w:vAlign w:val="bottom"/>
            <w:tcBorders>
              <w:right w:val="single" w:sz="8" w:color="D5DCE4"/>
            </w:tcBorders>
            <w:shd w:val="clear" w:color="auto" w:fill="D5DCE4"/>
          </w:tcPr>
          <w:p>
            <w:pPr>
              <w:spacing w:after="0"/>
              <w:rPr>
                <w:sz w:val="20"/>
                <w:szCs w:val="20"/>
                <w:color w:val="auto"/>
              </w:rPr>
            </w:pPr>
          </w:p>
        </w:tc>
        <w:tc>
          <w:tcPr>
            <w:tcW w:w="29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20,401</w:t>
            </w:r>
          </w:p>
        </w:tc>
        <w:tc>
          <w:tcPr>
            <w:tcW w:w="40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1,241,920</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18,264</w:t>
            </w:r>
          </w:p>
        </w:tc>
        <w:tc>
          <w:tcPr>
            <w:tcW w:w="40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1,110,470</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11.70 %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ind w:left="500"/>
              <w:spacing w:after="0"/>
              <w:rPr>
                <w:sz w:val="20"/>
                <w:szCs w:val="20"/>
                <w:color w:val="auto"/>
              </w:rPr>
            </w:pPr>
            <w:r>
              <w:rPr>
                <w:rFonts w:ascii="Arial" w:cs="Arial" w:eastAsia="Arial" w:hAnsi="Arial"/>
                <w:sz w:val="16"/>
                <w:szCs w:val="16"/>
                <w:i w:val="1"/>
                <w:iCs w:val="1"/>
                <w:color w:val="auto"/>
              </w:rPr>
              <w:t>U.S. High Grade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8,869</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541,012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7,662</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467,365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322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Grade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3,744</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228,360</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3,474</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211,901</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7.77 %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High Yield - Fully Electronic</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1,120</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68,302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915</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55,820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22.36 %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3220" w:type="dxa"/>
            <w:vAlign w:val="bottom"/>
            <w:tcBorders>
              <w:right w:val="single" w:sz="8" w:color="D5DCE4"/>
            </w:tcBorders>
            <w:gridSpan w:val="3"/>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U.S. High Yield - Electronically Processed</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373</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22,768</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322</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19,654</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15.84 %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European Credit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3,393</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213,729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2,800</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176,415</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21.15 %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Municipal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434</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26,504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414</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25,238</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5.02 %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Chinese Bonds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1,963</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109,921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2,390</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136,250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Other Credit Bonds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505</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31,324</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287</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17,827</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76.03 %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48,523</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3,002,545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30,427</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1,880,661</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59.47 %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Swaps</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48,523</w:t>
            </w:r>
          </w:p>
        </w:tc>
        <w:tc>
          <w:tcPr>
            <w:tcW w:w="4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3,002,545</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30,427</w:t>
            </w:r>
          </w:p>
        </w:tc>
        <w:tc>
          <w:tcPr>
            <w:tcW w:w="4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1,880,661</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color w:val="auto"/>
              </w:rPr>
              <w:t>59.47 %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2980" w:type="dxa"/>
            <w:vAlign w:val="bottom"/>
            <w:tcBorders>
              <w:bottom w:val="single" w:sz="8" w:color="D5DCE4"/>
            </w:tcBorders>
            <w:gridSpan w:val="2"/>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68,924</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4,244,465</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48,692</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2,991,131</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41.55 %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0" w:type="dxa"/>
            <w:vAlign w:val="bottom"/>
            <w:shd w:val="clear" w:color="auto" w:fill="D5DCE4"/>
          </w:tcPr>
          <w:p>
            <w:pPr>
              <w:ind w:left="20"/>
              <w:spacing w:after="0"/>
              <w:rPr>
                <w:sz w:val="20"/>
                <w:szCs w:val="20"/>
                <w:color w:val="auto"/>
              </w:rPr>
            </w:pPr>
            <w:r>
              <w:rPr>
                <w:rFonts w:ascii="Arial" w:cs="Arial" w:eastAsia="Arial" w:hAnsi="Arial"/>
                <w:sz w:val="16"/>
                <w:szCs w:val="16"/>
                <w:b w:val="1"/>
                <w:bCs w:val="1"/>
                <w:color w:val="auto"/>
              </w:rPr>
              <w:t>Equities</w:t>
            </w:r>
          </w:p>
        </w:tc>
        <w:tc>
          <w:tcPr>
            <w:tcW w:w="240" w:type="dxa"/>
            <w:vAlign w:val="bottom"/>
            <w:tcBorders>
              <w:right w:val="single" w:sz="8" w:color="D5DCE4"/>
            </w:tcBorders>
            <w:shd w:val="clear" w:color="auto" w:fill="D5DCE4"/>
          </w:tcPr>
          <w:p>
            <w:pPr>
              <w:spacing w:after="0"/>
              <w:rPr>
                <w:sz w:val="20"/>
                <w:szCs w:val="20"/>
                <w:color w:val="auto"/>
              </w:rPr>
            </w:pPr>
          </w:p>
        </w:tc>
        <w:tc>
          <w:tcPr>
            <w:tcW w:w="29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shd w:val="clear" w:color="auto" w:fill="D5DCE4"/>
          </w:tcPr>
          <w:p>
            <w:pPr>
              <w:spacing w:after="0"/>
              <w:rPr>
                <w:sz w:val="20"/>
                <w:szCs w:val="20"/>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17,202</w:t>
            </w:r>
          </w:p>
        </w:tc>
        <w:tc>
          <w:tcPr>
            <w:tcW w:w="40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1,059,883</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shd w:val="clear" w:color="auto" w:fill="D5DCE4"/>
          </w:tcPr>
          <w:p>
            <w:pPr>
              <w:spacing w:after="0"/>
              <w:rPr>
                <w:sz w:val="20"/>
                <w:szCs w:val="20"/>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12,449</w:t>
            </w:r>
          </w:p>
        </w:tc>
        <w:tc>
          <w:tcPr>
            <w:tcW w:w="400" w:type="dxa"/>
            <w:vAlign w:val="bottom"/>
            <w:shd w:val="clear" w:color="auto" w:fill="D5DCE4"/>
          </w:tcPr>
          <w:p>
            <w:pPr>
              <w:spacing w:after="0"/>
              <w:rPr>
                <w:sz w:val="20"/>
                <w:szCs w:val="20"/>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757,839</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b w:val="1"/>
                <w:bCs w:val="1"/>
                <w:color w:val="auto"/>
              </w:rPr>
              <w:t>38.19 %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Arial" w:cs="Arial" w:eastAsia="Arial" w:hAnsi="Arial"/>
                <w:sz w:val="16"/>
                <w:szCs w:val="16"/>
                <w:i w:val="1"/>
                <w:iCs w:val="1"/>
                <w:color w:val="auto"/>
              </w:rPr>
              <w:t>U.S. ETFs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11,929</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727,663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8,807</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528,448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35.44 %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International ETFs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5,273</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332,220</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3,641</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229,391</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44.83 %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2"/>
          </w:tcPr>
          <w:p>
            <w:pPr>
              <w:spacing w:after="0"/>
              <w:rPr>
                <w:sz w:val="20"/>
                <w:szCs w:val="20"/>
                <w:color w:val="auto"/>
              </w:rPr>
            </w:pPr>
            <w:r>
              <w:rPr>
                <w:rFonts w:ascii="Arial" w:cs="Arial" w:eastAsia="Arial" w:hAnsi="Arial"/>
                <w:sz w:val="16"/>
                <w:szCs w:val="16"/>
                <w:b w:val="1"/>
                <w:bCs w:val="1"/>
                <w:color w:val="auto"/>
              </w:rPr>
              <w:t>Derivatives</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15,338</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938,652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14,102</w:t>
            </w: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850,083</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8.77 %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Convertibles/Swaps/Options</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10,482</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641,452</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10,637</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641,758</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298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Futures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4,856</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297,200</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3,465</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208,325</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40.16 %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1"/>
                <w:szCs w:val="21"/>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32,540</w:t>
            </w:r>
          </w:p>
        </w:tc>
        <w:tc>
          <w:tcPr>
            <w:tcW w:w="4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1,998,535</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26,550</w:t>
            </w:r>
          </w:p>
        </w:tc>
        <w:tc>
          <w:tcPr>
            <w:tcW w:w="400" w:type="dxa"/>
            <w:vAlign w:val="bottom"/>
            <w:tcBorders>
              <w:bottom w:val="single" w:sz="8" w:color="auto"/>
            </w:tcBorders>
            <w:shd w:val="clear" w:color="auto" w:fill="D5DCE4"/>
          </w:tcPr>
          <w:p>
            <w:pPr>
              <w:spacing w:after="0"/>
              <w:rPr>
                <w:sz w:val="21"/>
                <w:szCs w:val="21"/>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1,607,922</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22.56 %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96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Money</w:t>
            </w:r>
          </w:p>
        </w:tc>
        <w:tc>
          <w:tcPr>
            <w:tcW w:w="240" w:type="dxa"/>
            <w:vAlign w:val="bottom"/>
          </w:tcPr>
          <w:p>
            <w:pPr>
              <w:spacing w:after="0"/>
              <w:rPr>
                <w:sz w:val="15"/>
                <w:szCs w:val="15"/>
                <w:color w:val="auto"/>
              </w:rPr>
            </w:pPr>
          </w:p>
        </w:tc>
        <w:tc>
          <w:tcPr>
            <w:tcW w:w="29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Cash</w:t>
            </w:r>
          </w:p>
        </w:tc>
        <w:tc>
          <w:tcPr>
            <w:tcW w:w="32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1,165,165</w:t>
            </w: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79,862,965</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1,029,045</w:t>
            </w:r>
          </w:p>
        </w:tc>
        <w:tc>
          <w:tcPr>
            <w:tcW w:w="40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71,157,452</w:t>
            </w: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13.23 %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9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Markets</w:t>
            </w:r>
          </w:p>
        </w:tc>
        <w:tc>
          <w:tcPr>
            <w:tcW w:w="240" w:type="dxa"/>
            <w:vAlign w:val="bottom"/>
          </w:tcPr>
          <w:p>
            <w:pPr>
              <w:spacing w:after="0"/>
              <w:rPr>
                <w:sz w:val="12"/>
                <w:szCs w:val="12"/>
                <w:color w:val="auto"/>
              </w:rPr>
            </w:pPr>
          </w:p>
        </w:tc>
        <w:tc>
          <w:tcPr>
            <w:tcW w:w="29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2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60" w:type="dxa"/>
            <w:vAlign w:val="bottom"/>
            <w:shd w:val="clear" w:color="auto" w:fill="D5DCE4"/>
          </w:tcPr>
          <w:p>
            <w:pPr>
              <w:spacing w:after="0"/>
              <w:rPr>
                <w:sz w:val="21"/>
                <w:szCs w:val="21"/>
                <w:color w:val="auto"/>
              </w:rPr>
            </w:pPr>
          </w:p>
        </w:tc>
        <w:tc>
          <w:tcPr>
            <w:tcW w:w="240" w:type="dxa"/>
            <w:vAlign w:val="bottom"/>
            <w:tcBorders>
              <w:right w:val="single" w:sz="8" w:color="D5DCE4"/>
            </w:tcBorders>
            <w:shd w:val="clear" w:color="auto" w:fill="D5DCE4"/>
          </w:tcPr>
          <w:p>
            <w:pPr>
              <w:spacing w:after="0"/>
              <w:rPr>
                <w:sz w:val="21"/>
                <w:szCs w:val="21"/>
                <w:color w:val="auto"/>
              </w:rPr>
            </w:pPr>
          </w:p>
        </w:tc>
        <w:tc>
          <w:tcPr>
            <w:tcW w:w="2980" w:type="dxa"/>
            <w:vAlign w:val="bottom"/>
            <w:tcBorders>
              <w:right w:val="single" w:sz="8" w:color="D5DCE4"/>
            </w:tcBorders>
            <w:gridSpan w:val="2"/>
            <w:shd w:val="clear" w:color="auto" w:fill="D5DCE4"/>
          </w:tcPr>
          <w:p>
            <w:pPr>
              <w:jc w:val="right"/>
              <w:ind w:right="120"/>
              <w:spacing w:after="0"/>
              <w:rPr>
                <w:sz w:val="20"/>
                <w:szCs w:val="20"/>
                <w:color w:val="auto"/>
              </w:rPr>
            </w:pPr>
            <w:r>
              <w:rPr>
                <w:rFonts w:ascii="Arial" w:cs="Arial" w:eastAsia="Arial" w:hAnsi="Arial"/>
                <w:sz w:val="16"/>
                <w:szCs w:val="16"/>
                <w:i w:val="1"/>
                <w:iCs w:val="1"/>
                <w:color w:val="auto"/>
              </w:rPr>
              <w:t>Repurchase Agreements (Repo)</w:t>
            </w:r>
          </w:p>
        </w:tc>
        <w:tc>
          <w:tcPr>
            <w:tcW w:w="320" w:type="dxa"/>
            <w:vAlign w:val="bottom"/>
            <w:shd w:val="clear" w:color="auto" w:fill="D5DCE4"/>
          </w:tcPr>
          <w:p>
            <w:pPr>
              <w:spacing w:after="0"/>
              <w:rPr>
                <w:sz w:val="21"/>
                <w:szCs w:val="21"/>
                <w:color w:val="auto"/>
              </w:rPr>
            </w:pPr>
          </w:p>
        </w:tc>
        <w:tc>
          <w:tcPr>
            <w:tcW w:w="102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861,006</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52,921,062</w:t>
            </w:r>
          </w:p>
        </w:tc>
        <w:tc>
          <w:tcPr>
            <w:tcW w:w="100" w:type="dxa"/>
            <w:vAlign w:val="bottom"/>
            <w:tcBorders>
              <w:right w:val="single" w:sz="8" w:color="D5DCE4"/>
            </w:tcBorders>
            <w:shd w:val="clear" w:color="auto" w:fill="D5DCE4"/>
          </w:tcPr>
          <w:p>
            <w:pPr>
              <w:spacing w:after="0"/>
              <w:rPr>
                <w:sz w:val="21"/>
                <w:szCs w:val="21"/>
                <w:color w:val="auto"/>
              </w:rPr>
            </w:pPr>
          </w:p>
        </w:tc>
        <w:tc>
          <w:tcPr>
            <w:tcW w:w="320" w:type="dxa"/>
            <w:vAlign w:val="bottom"/>
            <w:shd w:val="clear" w:color="auto" w:fill="D5DCE4"/>
          </w:tcPr>
          <w:p>
            <w:pPr>
              <w:spacing w:after="0"/>
              <w:rPr>
                <w:sz w:val="21"/>
                <w:szCs w:val="21"/>
                <w:color w:val="auto"/>
              </w:rPr>
            </w:pPr>
          </w:p>
        </w:tc>
        <w:tc>
          <w:tcPr>
            <w:tcW w:w="1040" w:type="dxa"/>
            <w:vAlign w:val="bottom"/>
            <w:tcBorders>
              <w:right w:val="single" w:sz="8" w:color="D5DCE4"/>
            </w:tcBorders>
            <w:shd w:val="clear" w:color="auto" w:fill="D5DCE4"/>
          </w:tcPr>
          <w:p>
            <w:pPr>
              <w:jc w:val="right"/>
              <w:spacing w:after="0"/>
              <w:rPr>
                <w:sz w:val="20"/>
                <w:szCs w:val="20"/>
                <w:color w:val="auto"/>
              </w:rPr>
            </w:pPr>
            <w:r>
              <w:rPr>
                <w:rFonts w:ascii="Arial" w:cs="Arial" w:eastAsia="Arial" w:hAnsi="Arial"/>
                <w:sz w:val="16"/>
                <w:szCs w:val="16"/>
                <w:color w:val="auto"/>
              </w:rPr>
              <w:t>729,646</w:t>
            </w:r>
          </w:p>
        </w:tc>
        <w:tc>
          <w:tcPr>
            <w:tcW w:w="400" w:type="dxa"/>
            <w:vAlign w:val="bottom"/>
            <w:shd w:val="clear" w:color="auto" w:fill="D5DCE4"/>
          </w:tcPr>
          <w:p>
            <w:pPr>
              <w:spacing w:after="0"/>
              <w:rPr>
                <w:sz w:val="21"/>
                <w:szCs w:val="21"/>
                <w:color w:val="auto"/>
              </w:rPr>
            </w:pPr>
          </w:p>
        </w:tc>
        <w:tc>
          <w:tcPr>
            <w:tcW w:w="1040" w:type="dxa"/>
            <w:vAlign w:val="bottom"/>
            <w:shd w:val="clear" w:color="auto" w:fill="D5DCE4"/>
          </w:tcPr>
          <w:p>
            <w:pPr>
              <w:jc w:val="right"/>
              <w:spacing w:after="0"/>
              <w:rPr>
                <w:sz w:val="20"/>
                <w:szCs w:val="20"/>
                <w:color w:val="auto"/>
              </w:rPr>
            </w:pPr>
            <w:r>
              <w:rPr>
                <w:rFonts w:ascii="Arial" w:cs="Arial" w:eastAsia="Arial" w:hAnsi="Arial"/>
                <w:sz w:val="16"/>
                <w:szCs w:val="16"/>
                <w:color w:val="auto"/>
              </w:rPr>
              <w:t>44,825,803</w:t>
            </w:r>
          </w:p>
        </w:tc>
        <w:tc>
          <w:tcPr>
            <w:tcW w:w="100" w:type="dxa"/>
            <w:vAlign w:val="bottom"/>
            <w:tcBorders>
              <w:right w:val="single" w:sz="8" w:color="D5DCE4"/>
            </w:tcBorders>
            <w:shd w:val="clear" w:color="auto" w:fill="D5DCE4"/>
          </w:tcPr>
          <w:p>
            <w:pPr>
              <w:spacing w:after="0"/>
              <w:rPr>
                <w:sz w:val="21"/>
                <w:szCs w:val="21"/>
                <w:color w:val="auto"/>
              </w:rPr>
            </w:pPr>
          </w:p>
        </w:tc>
        <w:tc>
          <w:tcPr>
            <w:tcW w:w="1220" w:type="dxa"/>
            <w:vAlign w:val="bottom"/>
            <w:shd w:val="clear" w:color="auto" w:fill="D5DCE4"/>
          </w:tcPr>
          <w:p>
            <w:pPr>
              <w:jc w:val="right"/>
              <w:spacing w:after="0"/>
              <w:rPr>
                <w:sz w:val="20"/>
                <w:szCs w:val="20"/>
                <w:color w:val="auto"/>
              </w:rPr>
            </w:pPr>
            <w:r>
              <w:rPr>
                <w:rFonts w:ascii="Arial" w:cs="Arial" w:eastAsia="Arial" w:hAnsi="Arial"/>
                <w:sz w:val="16"/>
                <w:szCs w:val="16"/>
                <w:color w:val="auto"/>
              </w:rPr>
              <w:t>18.00 %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960" w:type="dxa"/>
            <w:vAlign w:val="bottom"/>
            <w:tcBorders>
              <w:bottom w:val="single" w:sz="8" w:color="D5DCE4"/>
            </w:tcBorders>
          </w:tcPr>
          <w:p>
            <w:pPr>
              <w:spacing w:after="0"/>
              <w:rPr>
                <w:sz w:val="20"/>
                <w:szCs w:val="20"/>
                <w:color w:val="auto"/>
              </w:rPr>
            </w:pPr>
          </w:p>
        </w:tc>
        <w:tc>
          <w:tcPr>
            <w:tcW w:w="240" w:type="dxa"/>
            <w:vAlign w:val="bottom"/>
            <w:tcBorders>
              <w:bottom w:val="single" w:sz="8" w:color="D5DCE4"/>
            </w:tcBorders>
          </w:tcPr>
          <w:p>
            <w:pPr>
              <w:spacing w:after="0"/>
              <w:rPr>
                <w:sz w:val="20"/>
                <w:szCs w:val="20"/>
                <w:color w:val="auto"/>
              </w:rPr>
            </w:pPr>
          </w:p>
        </w:tc>
        <w:tc>
          <w:tcPr>
            <w:tcW w:w="2980" w:type="dxa"/>
            <w:vAlign w:val="bottom"/>
            <w:tcBorders>
              <w:bottom w:val="single" w:sz="8" w:color="D5DCE4"/>
            </w:tcBorders>
            <w:gridSpan w:val="2"/>
          </w:tcPr>
          <w:p>
            <w:pPr>
              <w:jc w:val="right"/>
              <w:ind w:right="120"/>
              <w:spacing w:after="0"/>
              <w:rPr>
                <w:sz w:val="20"/>
                <w:szCs w:val="20"/>
                <w:color w:val="auto"/>
              </w:rPr>
            </w:pPr>
            <w:r>
              <w:rPr>
                <w:rFonts w:ascii="Arial" w:cs="Arial" w:eastAsia="Arial" w:hAnsi="Arial"/>
                <w:sz w:val="16"/>
                <w:szCs w:val="16"/>
                <w:i w:val="1"/>
                <w:iCs w:val="1"/>
                <w:color w:val="auto"/>
              </w:rPr>
              <w:t>Other Money Markets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304,158</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26,941,903</w:t>
            </w:r>
          </w:p>
        </w:tc>
        <w:tc>
          <w:tcPr>
            <w:tcW w:w="100" w:type="dxa"/>
            <w:vAlign w:val="bottom"/>
            <w:tcBorders>
              <w:bottom w:val="single" w:sz="8" w:color="D5DCE4"/>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299,399</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26,331,649</w:t>
            </w:r>
          </w:p>
        </w:tc>
        <w:tc>
          <w:tcPr>
            <w:tcW w:w="100" w:type="dxa"/>
            <w:vAlign w:val="bottom"/>
            <w:tcBorders>
              <w:bottom w:val="single" w:sz="8" w:color="D5DCE4"/>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60" w:type="dxa"/>
            <w:vAlign w:val="bottom"/>
            <w:shd w:val="clear" w:color="auto" w:fill="D5DCE4"/>
          </w:tcPr>
          <w:p>
            <w:pPr>
              <w:spacing w:after="0"/>
              <w:rPr>
                <w:sz w:val="20"/>
                <w:szCs w:val="20"/>
                <w:color w:val="auto"/>
              </w:rPr>
            </w:pPr>
          </w:p>
        </w:tc>
        <w:tc>
          <w:tcPr>
            <w:tcW w:w="240" w:type="dxa"/>
            <w:vAlign w:val="bottom"/>
            <w:tcBorders>
              <w:right w:val="single" w:sz="8" w:color="D5DCE4"/>
            </w:tcBorders>
            <w:shd w:val="clear" w:color="auto" w:fill="D5DCE4"/>
          </w:tcPr>
          <w:p>
            <w:pPr>
              <w:spacing w:after="0"/>
              <w:rPr>
                <w:sz w:val="20"/>
                <w:szCs w:val="20"/>
                <w:color w:val="auto"/>
              </w:rPr>
            </w:pPr>
          </w:p>
        </w:tc>
        <w:tc>
          <w:tcPr>
            <w:tcW w:w="2980" w:type="dxa"/>
            <w:vAlign w:val="bottom"/>
            <w:tcBorders>
              <w:right w:val="single" w:sz="8" w:color="D5DCE4"/>
            </w:tcBorders>
            <w:gridSpan w:val="2"/>
            <w:shd w:val="clear" w:color="auto" w:fill="D5DCE4"/>
          </w:tcPr>
          <w:p>
            <w:pPr>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5DCE4"/>
          </w:tcPr>
          <w:p>
            <w:pPr>
              <w:spacing w:after="0"/>
              <w:rPr>
                <w:sz w:val="20"/>
                <w:szCs w:val="20"/>
                <w:color w:val="auto"/>
              </w:rPr>
            </w:pPr>
          </w:p>
        </w:tc>
        <w:tc>
          <w:tcPr>
            <w:tcW w:w="102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1,165,165</w:t>
            </w:r>
          </w:p>
        </w:tc>
        <w:tc>
          <w:tcPr>
            <w:tcW w:w="40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79,862,965</w:t>
            </w:r>
          </w:p>
        </w:tc>
        <w:tc>
          <w:tcPr>
            <w:tcW w:w="100" w:type="dxa"/>
            <w:vAlign w:val="bottom"/>
            <w:tcBorders>
              <w:right w:val="single" w:sz="8" w:color="D5DCE4"/>
            </w:tcBorders>
            <w:shd w:val="clear" w:color="auto" w:fill="D5DCE4"/>
          </w:tcPr>
          <w:p>
            <w:pPr>
              <w:spacing w:after="0"/>
              <w:rPr>
                <w:sz w:val="20"/>
                <w:szCs w:val="20"/>
                <w:color w:val="auto"/>
              </w:rPr>
            </w:pPr>
          </w:p>
        </w:tc>
        <w:tc>
          <w:tcPr>
            <w:tcW w:w="32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right w:val="single" w:sz="8" w:color="D5DCE4"/>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1,029,045</w:t>
            </w:r>
          </w:p>
        </w:tc>
        <w:tc>
          <w:tcPr>
            <w:tcW w:w="400" w:type="dxa"/>
            <w:vAlign w:val="bottom"/>
            <w:tcBorders>
              <w:bottom w:val="single" w:sz="8" w:color="auto"/>
            </w:tcBorders>
            <w:shd w:val="clear" w:color="auto" w:fill="D5DCE4"/>
          </w:tcPr>
          <w:p>
            <w:pPr>
              <w:spacing w:after="0"/>
              <w:rPr>
                <w:sz w:val="20"/>
                <w:szCs w:val="20"/>
                <w:color w:val="auto"/>
              </w:rPr>
            </w:pPr>
          </w:p>
        </w:tc>
        <w:tc>
          <w:tcPr>
            <w:tcW w:w="104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71,157,452</w:t>
            </w:r>
          </w:p>
        </w:tc>
        <w:tc>
          <w:tcPr>
            <w:tcW w:w="100" w:type="dxa"/>
            <w:vAlign w:val="bottom"/>
            <w:tcBorders>
              <w:right w:val="single" w:sz="8" w:color="D5DCE4"/>
            </w:tcBorders>
            <w:shd w:val="clear" w:color="auto" w:fill="D5DCE4"/>
          </w:tcPr>
          <w:p>
            <w:pPr>
              <w:spacing w:after="0"/>
              <w:rPr>
                <w:sz w:val="20"/>
                <w:szCs w:val="20"/>
                <w:color w:val="auto"/>
              </w:rPr>
            </w:pPr>
          </w:p>
        </w:tc>
        <w:tc>
          <w:tcPr>
            <w:tcW w:w="1220" w:type="dxa"/>
            <w:vAlign w:val="bottom"/>
            <w:tcBorders>
              <w:bottom w:val="single" w:sz="8" w:color="auto"/>
            </w:tcBorders>
            <w:shd w:val="clear" w:color="auto" w:fill="D5DCE4"/>
          </w:tcPr>
          <w:p>
            <w:pPr>
              <w:jc w:val="right"/>
              <w:spacing w:after="0"/>
              <w:rPr>
                <w:sz w:val="20"/>
                <w:szCs w:val="20"/>
                <w:color w:val="auto"/>
              </w:rPr>
            </w:pPr>
            <w:r>
              <w:rPr>
                <w:rFonts w:ascii="Arial" w:cs="Arial" w:eastAsia="Arial" w:hAnsi="Arial"/>
                <w:sz w:val="16"/>
                <w:szCs w:val="16"/>
                <w:b w:val="1"/>
                <w:bCs w:val="1"/>
                <w:color w:val="auto"/>
              </w:rPr>
              <w:t>13.23 %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960" w:type="dxa"/>
            <w:vAlign w:val="bottom"/>
            <w:tcBorders>
              <w:bottom w:val="single" w:sz="8" w:color="D5DCE4"/>
            </w:tcBorders>
          </w:tcPr>
          <w:p>
            <w:pPr>
              <w:spacing w:after="0"/>
              <w:rPr>
                <w:sz w:val="17"/>
                <w:szCs w:val="17"/>
                <w:color w:val="auto"/>
              </w:rPr>
            </w:pPr>
          </w:p>
        </w:tc>
        <w:tc>
          <w:tcPr>
            <w:tcW w:w="240" w:type="dxa"/>
            <w:vAlign w:val="bottom"/>
            <w:tcBorders>
              <w:bottom w:val="single" w:sz="8" w:color="D5DCE4"/>
            </w:tcBorders>
          </w:tcPr>
          <w:p>
            <w:pPr>
              <w:spacing w:after="0"/>
              <w:rPr>
                <w:sz w:val="17"/>
                <w:szCs w:val="17"/>
                <w:color w:val="auto"/>
              </w:rPr>
            </w:pPr>
          </w:p>
        </w:tc>
        <w:tc>
          <w:tcPr>
            <w:tcW w:w="2880" w:type="dxa"/>
            <w:vAlign w:val="bottom"/>
            <w:tcBorders>
              <w:bottom w:val="single" w:sz="8" w:color="D5DCE4"/>
            </w:tcBorders>
          </w:tcPr>
          <w:p>
            <w:pPr>
              <w:spacing w:after="0"/>
              <w:rPr>
                <w:sz w:val="17"/>
                <w:szCs w:val="17"/>
                <w:color w:val="auto"/>
              </w:rPr>
            </w:pPr>
          </w:p>
        </w:tc>
        <w:tc>
          <w:tcPr>
            <w:tcW w:w="100" w:type="dxa"/>
            <w:vAlign w:val="bottom"/>
            <w:tcBorders>
              <w:bottom w:val="single" w:sz="8" w:color="D5DCE4"/>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960" w:type="dxa"/>
            <w:vAlign w:val="bottom"/>
            <w:shd w:val="clear" w:color="auto" w:fill="D5DCE4"/>
          </w:tcPr>
          <w:p>
            <w:pPr>
              <w:spacing w:after="0"/>
              <w:rPr>
                <w:sz w:val="20"/>
                <w:szCs w:val="20"/>
                <w:color w:val="auto"/>
              </w:rPr>
            </w:pPr>
          </w:p>
        </w:tc>
        <w:tc>
          <w:tcPr>
            <w:tcW w:w="240" w:type="dxa"/>
            <w:vAlign w:val="bottom"/>
            <w:tcBorders>
              <w:right w:val="single" w:sz="8" w:color="D5DCE4"/>
            </w:tcBorders>
            <w:shd w:val="clear" w:color="auto" w:fill="D5DCE4"/>
          </w:tcPr>
          <w:p>
            <w:pPr>
              <w:spacing w:after="0"/>
              <w:rPr>
                <w:sz w:val="20"/>
                <w:szCs w:val="20"/>
                <w:color w:val="auto"/>
              </w:rPr>
            </w:pPr>
          </w:p>
        </w:tc>
        <w:tc>
          <w:tcPr>
            <w:tcW w:w="2880" w:type="dxa"/>
            <w:vAlign w:val="bottom"/>
            <w:tcBorders>
              <w:bottom w:val="single" w:sz="8" w:color="auto"/>
            </w:tcBorders>
            <w:shd w:val="clear" w:color="auto" w:fill="D5DCE4"/>
          </w:tcPr>
          <w:p>
            <w:pPr>
              <w:spacing w:after="0"/>
              <w:rPr>
                <w:sz w:val="20"/>
                <w:szCs w:val="20"/>
                <w:color w:val="auto"/>
              </w:rPr>
            </w:pPr>
          </w:p>
        </w:tc>
        <w:tc>
          <w:tcPr>
            <w:tcW w:w="100" w:type="dxa"/>
            <w:vAlign w:val="bottom"/>
            <w:tcBorders>
              <w:bottom w:val="single" w:sz="8" w:color="auto"/>
              <w:right w:val="single" w:sz="8" w:color="auto"/>
            </w:tcBorders>
            <w:shd w:val="clear" w:color="auto" w:fill="D5DCE4"/>
          </w:tcPr>
          <w:p>
            <w:pPr>
              <w:spacing w:after="0"/>
              <w:rPr>
                <w:sz w:val="20"/>
                <w:szCs w:val="20"/>
                <w:color w:val="auto"/>
              </w:rPr>
            </w:pPr>
          </w:p>
        </w:tc>
        <w:tc>
          <w:tcPr>
            <w:tcW w:w="1340" w:type="dxa"/>
            <w:vAlign w:val="bottom"/>
            <w:tcBorders>
              <w:bottom w:val="single" w:sz="8" w:color="auto"/>
              <w:right w:val="single" w:sz="8" w:color="auto"/>
            </w:tcBorders>
            <w:gridSpan w:val="2"/>
            <w:shd w:val="clear" w:color="auto" w:fill="D5DCE4"/>
          </w:tcPr>
          <w:p>
            <w:pPr>
              <w:jc w:val="right"/>
              <w:ind w:right="19"/>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360" w:type="dxa"/>
            <w:vAlign w:val="bottom"/>
            <w:tcBorders>
              <w:bottom w:val="single" w:sz="8" w:color="auto"/>
              <w:right w:val="single" w:sz="8" w:color="auto"/>
            </w:tcBorders>
            <w:gridSpan w:val="2"/>
            <w:shd w:val="clear" w:color="auto" w:fill="D5DCE4"/>
          </w:tcPr>
          <w:p>
            <w:pPr>
              <w:ind w:left="80"/>
              <w:spacing w:after="0"/>
              <w:rPr>
                <w:sz w:val="20"/>
                <w:szCs w:val="20"/>
                <w:color w:val="auto"/>
              </w:rPr>
            </w:pPr>
            <w:r>
              <w:rPr>
                <w:rFonts w:ascii="Arial" w:cs="Arial" w:eastAsia="Arial" w:hAnsi="Arial"/>
                <w:sz w:val="16"/>
                <w:szCs w:val="16"/>
                <w:b w:val="1"/>
                <w:bCs w:val="1"/>
                <w:color w:val="auto"/>
              </w:rPr>
              <w:t>ADV (USD mm)</w:t>
            </w:r>
          </w:p>
        </w:tc>
        <w:tc>
          <w:tcPr>
            <w:tcW w:w="1540" w:type="dxa"/>
            <w:vAlign w:val="bottom"/>
            <w:tcBorders>
              <w:bottom w:val="single" w:sz="8" w:color="auto"/>
              <w:right w:val="single" w:sz="8" w:color="auto"/>
            </w:tcBorders>
            <w:gridSpan w:val="3"/>
            <w:shd w:val="clear" w:color="auto" w:fill="D5DCE4"/>
          </w:tcPr>
          <w:p>
            <w:pPr>
              <w:ind w:left="20"/>
              <w:spacing w:after="0"/>
              <w:rPr>
                <w:sz w:val="20"/>
                <w:szCs w:val="20"/>
                <w:color w:val="auto"/>
              </w:rPr>
            </w:pPr>
            <w:r>
              <w:rPr>
                <w:rFonts w:ascii="Arial" w:cs="Arial" w:eastAsia="Arial" w:hAnsi="Arial"/>
                <w:sz w:val="16"/>
                <w:szCs w:val="16"/>
                <w:b w:val="1"/>
                <w:bCs w:val="1"/>
                <w:color w:val="auto"/>
              </w:rPr>
              <w:t>Volume (USD mm)</w:t>
            </w:r>
          </w:p>
        </w:tc>
        <w:tc>
          <w:tcPr>
            <w:tcW w:w="1220" w:type="dxa"/>
            <w:vAlign w:val="bottom"/>
            <w:tcBorders>
              <w:bottom w:val="single" w:sz="8" w:color="auto"/>
            </w:tcBorders>
            <w:shd w:val="clear" w:color="auto" w:fill="D5DCE4"/>
          </w:tcPr>
          <w:p>
            <w:pPr>
              <w:ind w:left="460"/>
              <w:spacing w:after="0"/>
              <w:rPr>
                <w:sz w:val="20"/>
                <w:szCs w:val="20"/>
                <w:color w:val="auto"/>
              </w:rPr>
            </w:pPr>
            <w:r>
              <w:rPr>
                <w:rFonts w:ascii="Arial" w:cs="Arial" w:eastAsia="Arial" w:hAnsi="Arial"/>
                <w:sz w:val="16"/>
                <w:szCs w:val="16"/>
                <w:b w:val="1"/>
                <w:bCs w:val="1"/>
                <w:color w:val="auto"/>
              </w:rPr>
              <w:t>YoY</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98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3,347,592</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214,271,563</w:t>
            </w:r>
          </w:p>
        </w:tc>
        <w:tc>
          <w:tcPr>
            <w:tcW w:w="10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6"/>
                <w:szCs w:val="16"/>
                <w:b w:val="1"/>
                <w:bCs w:val="1"/>
                <w:color w:val="auto"/>
              </w:rPr>
              <w:t>2,547,321</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164,525,130</w:t>
            </w:r>
          </w:p>
        </w:tc>
        <w:tc>
          <w:tcPr>
            <w:tcW w:w="10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31.42 %</w:t>
            </w: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 access historical traded volumes, go to </w:t>
      </w:r>
      <w:r>
        <w:rPr>
          <w:rFonts w:ascii="Arial" w:cs="Arial" w:eastAsia="Arial" w:hAnsi="Arial"/>
          <w:sz w:val="16"/>
          <w:szCs w:val="16"/>
          <w:u w:val="single" w:color="auto"/>
          <w:color w:val="0E32E1"/>
        </w:rPr>
        <w:t>https://www.tradeweb.com/newsroom/monthly-activity-reports/</w:t>
      </w: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10</w:t>
      </w:r>
    </w:p>
    <w:p>
      <w:pPr>
        <w:sectPr>
          <w:pgSz w:w="11900" w:h="16838" w:orient="portrait"/>
          <w:cols w:equalWidth="0" w:num="1">
            <w:col w:w="11240"/>
          </w:cols>
          <w:pgMar w:left="320" w:top="773"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083566"/>
        </w:rPr>
        <w:t>BASIS OF PRESENTATION</w:t>
      </w:r>
    </w:p>
    <w:p>
      <w:pPr>
        <w:spacing w:after="0" w:line="221"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Tradeweb Markets Inc. (unless the context otherwise requires, together with its subsidiaries, referred to as “we,” “our,” “Tradeweb,” “Tradeweb Markets” or the “Company”) closed its IPO on April 8, 2019. As a result of certain reorganization transactions (the “Reorganization Transactions”) completed in connection with the IPO, on April 4, 2019, Tradeweb Markets Inc. became a holding company whose principal assets consist of its direct and indirect equity interest in Tradeweb Markets LLC (“TWM LLC”) and related deferred tax assets. As the sole manager of TWM LLC, Tradeweb Markets Inc. operates and controls all of the business and affairs of TWM LLC and, through TWM LLC and its subsidiaries, conducts its business. As a result of this control, and because Tradeweb Markets Inc. has a substantial financial interest in TWM LLC, Tradeweb Markets Inc. consolidates the financial results of TWM LLC and its subsidiaries.</w:t>
      </w:r>
    </w:p>
    <w:p>
      <w:pPr>
        <w:spacing w:after="0" w:line="201"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Numerical figures included in this release have been subject to rounding adjustments and as a result totals may not be the arithmetic aggregation of the amounts that precede them and figures expressed as percentages may not total 100%.</w:t>
      </w:r>
    </w:p>
    <w:p>
      <w:pPr>
        <w:spacing w:after="0" w:line="14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Please refer to the Company's previously filed Quarterly Reports on Form 10-Q and Annual Report on Form 10-K for capitalized terms not otherwise defined herein.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UNAUDITED INTERIM RESULTS</w:t>
      </w:r>
    </w:p>
    <w:p>
      <w:pPr>
        <w:spacing w:after="0" w:line="22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interim financial results presented herein for the three months ended March 31, 2026 and 2025 are unaudited. Operating results for interim periods are not necessarily indicative of the results that may be expected for the full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FORWARD-LOOKING STATEMENTS</w:t>
      </w:r>
    </w:p>
    <w:p>
      <w:pPr>
        <w:spacing w:after="0" w:line="22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This release contains forward-looking statements within the meaning of the federal securities laws. Statements related to, among other things, our guidance, including full-year 2026 guidance and full-year 2026 revenue guidance related to the LSEG market data license agreement, any acquisitions, investments, partnerships and collaborations, future performance, the industry and markets in which we operate, our expectations, beliefs, plans, strategies, objectives, prospects and assumptions and future events are forward-looking statements.</w:t>
      </w:r>
    </w:p>
    <w:p>
      <w:pPr>
        <w:spacing w:after="0" w:line="186"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We have based these forward-looking statements on our current expectations, assumptions, estimates and projections. While we believe these expectations, assumptions, estimates and projections are reasonable, such forward-looking statements are only predictions and involve known and unknown risks and uncertainties, many of which are beyond our control. These and other important factors, including those discussed under the heading “Risk Factors” in the documents of Tradeweb Markets Inc. on file with or furnished to the SEC, may cause our actual results, performance or achievements to differ materially from those expressed or implied by these forward-looking statements. Given these risks and uncertainties, you are cautioned not to place undue reliance on such forward-looking statements. The forward-looking statements contained in this release are not guarantees of future events or performance and future events, our actual results of operations, financial condition or liquidity, and the development of the industry and markets in which we operate, may differ materially from the forward-looking statements contained in this release. In addition, even if future events, our results of operations, financial condition, or liquidity, and events in the industry and markets in which we operate, are consistent with the forward-looking statements contained in this release, they may not be predictive of events, results or developments in future periods. Any forward-looking statement that we make in this release speaks only as of the date of such statement. Except as required by law, we do not undertake any obligation to update or revise, or to publicly announce any update or revision to, any of the forward-looking statements, whether as a result of new information, future events or otherwise, after the date of this release.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NON-GAAP FINANCIAL MEASURES</w:t>
      </w:r>
    </w:p>
    <w:p>
      <w:pPr>
        <w:spacing w:after="0" w:line="221"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This release contains “non-GAAP financial measures,” including Adjusted EBITDA, Adjusted EBITDA margin, Adjusted EBIT, Adjusted EBIT margin, Adjusted Net Income, Adjusted Net Income per diluted share ("Adjusted Diluted EPS"), Adjusted Expenses, Free Cash Flow and constant currency change, which are supplemental financial measures that are not calculated and presented in accordance with GAAP. We make use of non-GAAP financial measures in evaluating our past results and future prospects. We present these non-GAAP financial measures because we believe they assist investors and analysts in comparing our operating performance across reporting periods on a consistent basis by excluding items that we do not believe are indicative of our core operating performance.</w:t>
      </w:r>
    </w:p>
    <w:p>
      <w:pPr>
        <w:spacing w:after="0" w:line="17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Management and our board of directors use Adjusted EBITDA, Adjusted EBITDA margin, Adjusted EBIT and Adjusted EBIT margin to assess our financial performance and believe they are helpful in highlighting trends in our core operating performance, while other measures can differ significantly depending on long-term strategic decisions regarding capital structure, the tax jurisdictions in which we operate and capital investments. Further, our executive incentive compensation is based in part on components of Adjusted EBITDA.</w:t>
      </w:r>
    </w:p>
    <w:p>
      <w:pPr>
        <w:spacing w:after="0" w:line="186" w:lineRule="exact"/>
        <w:rPr>
          <w:sz w:val="20"/>
          <w:szCs w:val="20"/>
          <w:color w:val="auto"/>
        </w:rPr>
      </w:pPr>
    </w:p>
    <w:p>
      <w:pPr>
        <w:ind w:right="360"/>
        <w:spacing w:after="0" w:line="265" w:lineRule="auto"/>
        <w:rPr>
          <w:sz w:val="20"/>
          <w:szCs w:val="20"/>
          <w:color w:val="auto"/>
        </w:rPr>
      </w:pPr>
      <w:r>
        <w:rPr>
          <w:rFonts w:ascii="Arial" w:cs="Arial" w:eastAsia="Arial" w:hAnsi="Arial"/>
          <w:sz w:val="16"/>
          <w:szCs w:val="16"/>
          <w:color w:val="auto"/>
        </w:rPr>
        <w:t>We use Adjusted Net Income and Adjusted Diluted EPS as supplemental metrics to evaluate our business performance in a way that also considers our ability to generate profit without the impact of certain items. Each of the normal recurring adjustments and other adjustments included in Adjusted Net Income and Adjusted Diluted EPS help to provide management with a measure of our operating performance over time by removing items that are not related to day-to-day operations or are non-cash expenses.</w:t>
      </w:r>
    </w:p>
    <w:p>
      <w:pPr>
        <w:spacing w:after="0" w:line="2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11</w:t>
      </w:r>
    </w:p>
    <w:p>
      <w:pPr>
        <w:sectPr>
          <w:pgSz w:w="11900" w:h="16838" w:orient="portrait"/>
          <w:cols w:equalWidth="0" w:num="1">
            <w:col w:w="11240"/>
          </w:cols>
          <w:pgMar w:left="320" w:top="989" w:right="339" w:bottom="1440" w:gutter="0" w:footer="0" w:header="0"/>
        </w:sectPr>
      </w:pPr>
    </w:p>
    <w:bookmarkStart w:id="14" w:name="page15"/>
    <w:bookmarkEnd w:id="14"/>
    <w:p>
      <w:pPr>
        <w:ind w:right="160"/>
        <w:spacing w:after="0" w:line="286" w:lineRule="auto"/>
        <w:rPr>
          <w:sz w:val="20"/>
          <w:szCs w:val="20"/>
          <w:color w:val="auto"/>
        </w:rPr>
      </w:pPr>
      <w:r>
        <w:rPr>
          <w:rFonts w:ascii="Arial" w:cs="Arial" w:eastAsia="Arial" w:hAnsi="Arial"/>
          <w:sz w:val="16"/>
          <w:szCs w:val="16"/>
          <w:color w:val="auto"/>
        </w:rPr>
        <w:t>We use Adjusted Expenses as a supplemental metric to evaluate our underlying operating performance over time by removing items that are not related to day-to-day operations or are non-cash expenses.</w:t>
      </w:r>
    </w:p>
    <w:p>
      <w:pPr>
        <w:spacing w:after="0" w:line="16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We use Free Cash Flow to assess our liquidity in a way that considers the amount of cash generated from our core operations after non-acquisition related expenditures for capitalized software development costs and furniture, equipment and leasehold improvements.</w:t>
      </w:r>
    </w:p>
    <w:p>
      <w:pPr>
        <w:spacing w:after="0" w:line="16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present certain changes on a “constant currency” basis. Since our consolidated financial statements are presented in U.S. dollars, we must translate non-U.S. dollar revenues and expenses into U.S. dollars. Constant currency change, which is a non-GAAP financial measure, is defined as change excluding the effects of foreign currency fluctuations. Constant currency information is calculated by translating the current period and prior period’s results using the annual average exchange rates for the prior period. We use constant currency change as a supplemental metric to evaluate our underlying performance between periods by removing the impact of foreign currency fluctuations. We present certain constant currency change information because we believe it provides investors and analysts a useful comparison of our results and trends between periods. This information should be considered in addition to, not as a substitute for, results reported in accordance with GAAP.</w:t>
      </w:r>
    </w:p>
    <w:p>
      <w:pPr>
        <w:spacing w:after="0" w:line="17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See the attached schedules for reconciliations of the non-GAAP financial measures contained in this release to their most comparable GAAP financial measure. Non-GAAP financial measures have limitations as analytical tools, and you should not consider these non-GAAP financial measures in isolation or as alternatives to net income attributable to Tradeweb Markets Inc., net income, net income margin, earnings per share, operating income, operating expenses, cash flow from operating activities or any other financial measure prepared or derived in accordance with GAAP. You are encouraged to evaluate each adjustment included in the reconciliations. In addition, in evaluating Adjusted EBITDA, Adjusted EBITDA margin, Adjusted EBIT, Adjusted EBIT margin, Adjusted EBT, Adjusted Net Income, Adjusted Diluted EPS, Adjusted Expenses and Free Cash Flow, you should be aware that in the future, we may incur expenses similar to the adjustments in the presentation of these non-GAAP financial measures.</w:t>
      </w:r>
    </w:p>
    <w:p>
      <w:pPr>
        <w:spacing w:after="0" w:line="174"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Our presentation of non-GAAP financial measures should not be construed as an inference that our future results will be unaffected by unusual or non-recurring items. In addition, the non-GAAP financial measures contained in this release may not be comparable to similarly titled measures used by other companies in our industry or across different industries.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MARKET AND INDUSTRY DATA</w:t>
      </w:r>
    </w:p>
    <w:p>
      <w:pPr>
        <w:spacing w:after="0" w:line="23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This release includes estimates regarding market and industry data that we prepared based on our management’s knowledge and experience in the markets in which we operate, together with information obtained from various sources, including publicly available information, industry reports and publications, surveys, our clients, trade and business organizations and other contacts in the markets in which we operate. In presenting this information, we have made certain assumptions that we believe to be reasonable based on such data and other similar sources and on our knowledge of, and our experience to date in, the markets in which we operate. While such information is believed to be reliable for the purposes used herein, no representations are made as to the accuracy or completeness thereof and we take no responsibility for such information.</w:t>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color w:val="083566"/>
        </w:rPr>
        <w:t>TRADEWEB SOCIAL MEDIA</w:t>
      </w:r>
    </w:p>
    <w:p>
      <w:pPr>
        <w:spacing w:after="0" w:line="22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Investors and others should note that Tradeweb announces material financial and operational information using its investor relations website, press releases, SEC filings and public conference calls and webcasts. Information about Tradeweb, its business and its results of operations may also be announced by posts on the Company’s accounts on the following social media channels: Instagram, LinkedIn and X. The information that we post through these social media channels may be deemed material. As a result, we encourage investors, the media, and others interested in Tradeweb to monitor these social media channels in addition to following our investor relations website, press releases, SEC filings and public conference calls and webcasts. These social media channels may be updated from time to time on our investor relations website.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 #</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 12</w:t>
      </w:r>
    </w:p>
    <w:sectPr>
      <w:pgSz w:w="11900" w:h="16838" w:orient="portrait"/>
      <w:cols w:equalWidth="0" w:num="1">
        <w:col w:w="11240"/>
      </w:cols>
      <w:pgMar w:left="320" w:top="9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2026-04-29T06:06:32Z</dcterms:created>
  <dcterms:modified xsi:type="dcterms:W3CDTF">2026-04-29T06:06:32Z</dcterms:modified>
</cp:coreProperties>
</file>