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5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422910</wp:posOffset>
            </wp:positionH>
            <wp:positionV relativeFrom="page">
              <wp:posOffset>895350</wp:posOffset>
            </wp:positionV>
            <wp:extent cx="66922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9226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857250</wp:posOffset>
            </wp:positionV>
            <wp:extent cx="6692265"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92265" cy="1524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ind w:left="3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w:t>
      </w:r>
    </w:p>
    <w:p>
      <w:pPr>
        <w:spacing w:after="0" w:line="1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6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Date of Report (Date of earliest event reported): October 29, 2025</w:t>
      </w:r>
    </w:p>
    <w:p>
      <w:pPr>
        <w:spacing w:after="0" w:line="1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w:t>
      </w: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Tradeweb Markets Inc.</w:t>
      </w:r>
    </w:p>
    <w:p>
      <w:pPr>
        <w:spacing w:after="0" w:line="4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w:t>
      </w:r>
    </w:p>
    <w:p>
      <w:pPr>
        <w:spacing w:after="0" w:line="257" w:lineRule="exact"/>
        <w:rPr>
          <w:sz w:val="24"/>
          <w:szCs w:val="24"/>
          <w:color w:val="auto"/>
        </w:rPr>
      </w:pPr>
    </w:p>
    <w:tbl>
      <w:tblPr>
        <w:tblLayout w:type="fixed"/>
        <w:tblInd w:w="920" w:type="dxa"/>
        <w:tblCellMar>
          <w:top w:w="0" w:type="dxa"/>
          <w:left w:w="0" w:type="dxa"/>
          <w:bottom w:w="0" w:type="dxa"/>
          <w:right w:w="0" w:type="dxa"/>
        </w:tblCellMar>
      </w:tblPr>
      <w:tr>
        <w:trPr>
          <w:trHeight w:val="217"/>
        </w:trPr>
        <w:tc>
          <w:tcPr>
            <w:tcW w:w="3920" w:type="dxa"/>
            <w:vAlign w:val="bottom"/>
          </w:tcPr>
          <w:p>
            <w:pPr>
              <w:jc w:val="center"/>
              <w:ind w:right="2142"/>
              <w:spacing w:after="0"/>
              <w:rPr>
                <w:sz w:val="20"/>
                <w:szCs w:val="20"/>
                <w:color w:val="auto"/>
              </w:rPr>
            </w:pPr>
            <w:r>
              <w:rPr>
                <w:rFonts w:ascii="Times New Roman" w:cs="Times New Roman" w:eastAsia="Times New Roman" w:hAnsi="Times New Roman"/>
                <w:sz w:val="16"/>
                <w:szCs w:val="16"/>
                <w:b w:val="1"/>
                <w:bCs w:val="1"/>
                <w:color w:val="auto"/>
                <w:w w:val="95"/>
              </w:rPr>
              <w:t>Delaware</w:t>
            </w:r>
          </w:p>
        </w:tc>
        <w:tc>
          <w:tcPr>
            <w:tcW w:w="2120" w:type="dxa"/>
            <w:vAlign w:val="bottom"/>
          </w:tcPr>
          <w:p>
            <w:pPr>
              <w:jc w:val="center"/>
              <w:ind w:right="1162"/>
              <w:spacing w:after="0"/>
              <w:rPr>
                <w:sz w:val="20"/>
                <w:szCs w:val="20"/>
                <w:color w:val="auto"/>
              </w:rPr>
            </w:pPr>
            <w:r>
              <w:rPr>
                <w:rFonts w:ascii="Times New Roman" w:cs="Times New Roman" w:eastAsia="Times New Roman" w:hAnsi="Times New Roman"/>
                <w:sz w:val="16"/>
                <w:szCs w:val="16"/>
                <w:b w:val="1"/>
                <w:bCs w:val="1"/>
                <w:color w:val="auto"/>
                <w:w w:val="98"/>
              </w:rPr>
              <w:t>001-38860</w:t>
            </w:r>
          </w:p>
        </w:tc>
        <w:tc>
          <w:tcPr>
            <w:tcW w:w="242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83-2456358</w:t>
            </w:r>
          </w:p>
        </w:tc>
      </w:tr>
      <w:tr>
        <w:trPr>
          <w:trHeight w:val="170"/>
        </w:trPr>
        <w:tc>
          <w:tcPr>
            <w:tcW w:w="3920" w:type="dxa"/>
            <w:vAlign w:val="bottom"/>
          </w:tcPr>
          <w:p>
            <w:pPr>
              <w:jc w:val="center"/>
              <w:ind w:right="2142"/>
              <w:spacing w:after="0" w:line="170" w:lineRule="exact"/>
              <w:rPr>
                <w:sz w:val="20"/>
                <w:szCs w:val="20"/>
                <w:color w:val="auto"/>
              </w:rPr>
            </w:pPr>
            <w:r>
              <w:rPr>
                <w:rFonts w:ascii="Times New Roman" w:cs="Times New Roman" w:eastAsia="Times New Roman" w:hAnsi="Times New Roman"/>
                <w:sz w:val="16"/>
                <w:szCs w:val="16"/>
                <w:color w:val="auto"/>
                <w:w w:val="97"/>
              </w:rPr>
              <w:t>(State or Other Jurisdiction</w:t>
            </w:r>
          </w:p>
        </w:tc>
        <w:tc>
          <w:tcPr>
            <w:tcW w:w="2120" w:type="dxa"/>
            <w:vAlign w:val="bottom"/>
          </w:tcPr>
          <w:p>
            <w:pPr>
              <w:jc w:val="center"/>
              <w:ind w:right="1162"/>
              <w:spacing w:after="0" w:line="170" w:lineRule="exact"/>
              <w:rPr>
                <w:sz w:val="20"/>
                <w:szCs w:val="20"/>
                <w:color w:val="auto"/>
              </w:rPr>
            </w:pPr>
            <w:r>
              <w:rPr>
                <w:rFonts w:ascii="Times New Roman" w:cs="Times New Roman" w:eastAsia="Times New Roman" w:hAnsi="Times New Roman"/>
                <w:sz w:val="16"/>
                <w:szCs w:val="16"/>
                <w:color w:val="auto"/>
                <w:w w:val="97"/>
              </w:rPr>
              <w:t>(Commission</w:t>
            </w:r>
          </w:p>
        </w:tc>
        <w:tc>
          <w:tcPr>
            <w:tcW w:w="2420" w:type="dxa"/>
            <w:vAlign w:val="bottom"/>
          </w:tcPr>
          <w:p>
            <w:pPr>
              <w:jc w:val="center"/>
              <w:ind w:left="1202"/>
              <w:spacing w:after="0" w:line="170" w:lineRule="exact"/>
              <w:rPr>
                <w:sz w:val="20"/>
                <w:szCs w:val="20"/>
                <w:color w:val="auto"/>
              </w:rPr>
            </w:pPr>
            <w:r>
              <w:rPr>
                <w:rFonts w:ascii="Times New Roman" w:cs="Times New Roman" w:eastAsia="Times New Roman" w:hAnsi="Times New Roman"/>
                <w:sz w:val="16"/>
                <w:szCs w:val="16"/>
                <w:color w:val="auto"/>
                <w:w w:val="96"/>
              </w:rPr>
              <w:t>(I.R.S. Employer</w:t>
            </w:r>
          </w:p>
        </w:tc>
      </w:tr>
      <w:tr>
        <w:trPr>
          <w:trHeight w:val="214"/>
        </w:trPr>
        <w:tc>
          <w:tcPr>
            <w:tcW w:w="3920" w:type="dxa"/>
            <w:vAlign w:val="bottom"/>
          </w:tcPr>
          <w:p>
            <w:pPr>
              <w:jc w:val="center"/>
              <w:ind w:right="2142"/>
              <w:spacing w:after="0"/>
              <w:rPr>
                <w:sz w:val="20"/>
                <w:szCs w:val="20"/>
                <w:color w:val="auto"/>
              </w:rPr>
            </w:pPr>
            <w:r>
              <w:rPr>
                <w:rFonts w:ascii="Times New Roman" w:cs="Times New Roman" w:eastAsia="Times New Roman" w:hAnsi="Times New Roman"/>
                <w:sz w:val="16"/>
                <w:szCs w:val="16"/>
                <w:color w:val="auto"/>
                <w:w w:val="96"/>
              </w:rPr>
              <w:t>of Incorporation)</w:t>
            </w:r>
          </w:p>
        </w:tc>
        <w:tc>
          <w:tcPr>
            <w:tcW w:w="2120" w:type="dxa"/>
            <w:vAlign w:val="bottom"/>
          </w:tcPr>
          <w:p>
            <w:pPr>
              <w:jc w:val="center"/>
              <w:ind w:right="1142"/>
              <w:spacing w:after="0"/>
              <w:rPr>
                <w:sz w:val="20"/>
                <w:szCs w:val="20"/>
                <w:color w:val="auto"/>
              </w:rPr>
            </w:pPr>
            <w:r>
              <w:rPr>
                <w:rFonts w:ascii="Times New Roman" w:cs="Times New Roman" w:eastAsia="Times New Roman" w:hAnsi="Times New Roman"/>
                <w:sz w:val="16"/>
                <w:szCs w:val="16"/>
                <w:color w:val="auto"/>
                <w:w w:val="99"/>
              </w:rPr>
              <w:t>File Number)</w:t>
            </w:r>
          </w:p>
        </w:tc>
        <w:tc>
          <w:tcPr>
            <w:tcW w:w="2420" w:type="dxa"/>
            <w:vAlign w:val="bottom"/>
          </w:tcPr>
          <w:p>
            <w:pPr>
              <w:jc w:val="center"/>
              <w:ind w:left="1182"/>
              <w:spacing w:after="0"/>
              <w:rPr>
                <w:sz w:val="20"/>
                <w:szCs w:val="20"/>
                <w:color w:val="auto"/>
              </w:rPr>
            </w:pPr>
            <w:r>
              <w:rPr>
                <w:rFonts w:ascii="Times New Roman" w:cs="Times New Roman" w:eastAsia="Times New Roman" w:hAnsi="Times New Roman"/>
                <w:sz w:val="16"/>
                <w:szCs w:val="16"/>
                <w:color w:val="auto"/>
                <w:w w:val="97"/>
              </w:rPr>
              <w:t>Identification No.)</w:t>
            </w:r>
          </w:p>
        </w:tc>
      </w:tr>
      <w:tr>
        <w:trPr>
          <w:trHeight w:val="215"/>
        </w:trPr>
        <w:tc>
          <w:tcPr>
            <w:tcW w:w="3920" w:type="dxa"/>
            <w:vAlign w:val="bottom"/>
          </w:tcPr>
          <w:p>
            <w:pPr>
              <w:jc w:val="center"/>
              <w:ind w:left="1222"/>
              <w:spacing w:after="0"/>
              <w:rPr>
                <w:sz w:val="20"/>
                <w:szCs w:val="20"/>
                <w:color w:val="auto"/>
              </w:rPr>
            </w:pPr>
            <w:r>
              <w:rPr>
                <w:rFonts w:ascii="Times New Roman" w:cs="Times New Roman" w:eastAsia="Times New Roman" w:hAnsi="Times New Roman"/>
                <w:sz w:val="16"/>
                <w:szCs w:val="16"/>
                <w:b w:val="1"/>
                <w:bCs w:val="1"/>
                <w:color w:val="auto"/>
                <w:w w:val="97"/>
              </w:rPr>
              <w:t>245 Park Avenue</w:t>
            </w:r>
          </w:p>
        </w:tc>
        <w:tc>
          <w:tcPr>
            <w:tcW w:w="21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05"/>
        </w:trPr>
        <w:tc>
          <w:tcPr>
            <w:tcW w:w="3920" w:type="dxa"/>
            <w:vAlign w:val="bottom"/>
          </w:tcPr>
          <w:p>
            <w:pPr>
              <w:jc w:val="center"/>
              <w:ind w:left="1202"/>
              <w:spacing w:after="0"/>
              <w:rPr>
                <w:sz w:val="20"/>
                <w:szCs w:val="20"/>
                <w:color w:val="auto"/>
              </w:rPr>
            </w:pPr>
            <w:r>
              <w:rPr>
                <w:rFonts w:ascii="Times New Roman" w:cs="Times New Roman" w:eastAsia="Times New Roman" w:hAnsi="Times New Roman"/>
                <w:sz w:val="16"/>
                <w:szCs w:val="16"/>
                <w:b w:val="1"/>
                <w:bCs w:val="1"/>
                <w:color w:val="auto"/>
                <w:w w:val="97"/>
              </w:rPr>
              <w:t>New York, New York</w:t>
            </w:r>
          </w:p>
        </w:tc>
        <w:tc>
          <w:tcPr>
            <w:tcW w:w="2120" w:type="dxa"/>
            <w:vAlign w:val="bottom"/>
          </w:tcPr>
          <w:p>
            <w:pPr>
              <w:spacing w:after="0"/>
              <w:rPr>
                <w:sz w:val="17"/>
                <w:szCs w:val="17"/>
                <w:color w:val="auto"/>
              </w:rPr>
            </w:pPr>
          </w:p>
        </w:tc>
        <w:tc>
          <w:tcPr>
            <w:tcW w:w="2420" w:type="dxa"/>
            <w:vAlign w:val="bottom"/>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10167</w:t>
            </w:r>
          </w:p>
        </w:tc>
      </w:tr>
      <w:tr>
        <w:trPr>
          <w:trHeight w:val="216"/>
        </w:trPr>
        <w:tc>
          <w:tcPr>
            <w:tcW w:w="3920" w:type="dxa"/>
            <w:vAlign w:val="bottom"/>
          </w:tcPr>
          <w:p>
            <w:pPr>
              <w:jc w:val="center"/>
              <w:ind w:left="122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2120" w:type="dxa"/>
            <w:vAlign w:val="bottom"/>
          </w:tcPr>
          <w:p>
            <w:pPr>
              <w:spacing w:after="0"/>
              <w:rPr>
                <w:sz w:val="18"/>
                <w:szCs w:val="18"/>
                <w:color w:val="auto"/>
              </w:rPr>
            </w:pPr>
          </w:p>
        </w:tc>
        <w:tc>
          <w:tcPr>
            <w:tcW w:w="2420" w:type="dxa"/>
            <w:vAlign w:val="bottom"/>
          </w:tcPr>
          <w:p>
            <w:pPr>
              <w:jc w:val="center"/>
              <w:ind w:left="1202"/>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8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(646) 430-6000</w:t>
      </w:r>
    </w:p>
    <w:p>
      <w:pPr>
        <w:spacing w:after="0" w:line="3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6"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8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7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Title of each class</w:t>
            </w:r>
          </w:p>
        </w:tc>
        <w:tc>
          <w:tcPr>
            <w:tcW w:w="360" w:type="dxa"/>
            <w:vAlign w:val="bottom"/>
          </w:tcPr>
          <w:p>
            <w:pPr>
              <w:spacing w:after="0"/>
              <w:rPr>
                <w:sz w:val="21"/>
                <w:szCs w:val="2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6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w:t>
            </w:r>
          </w:p>
        </w:tc>
        <w:tc>
          <w:tcPr>
            <w:tcW w:w="0" w:type="dxa"/>
            <w:vAlign w:val="bottom"/>
          </w:tcPr>
          <w:p>
            <w:pPr>
              <w:spacing w:after="0"/>
              <w:rPr>
                <w:sz w:val="1"/>
                <w:szCs w:val="1"/>
                <w:color w:val="auto"/>
              </w:rPr>
            </w:pPr>
          </w:p>
        </w:tc>
      </w:tr>
      <w:tr>
        <w:trPr>
          <w:trHeight w:val="204"/>
        </w:trPr>
        <w:tc>
          <w:tcPr>
            <w:tcW w:w="3780" w:type="dxa"/>
            <w:vAlign w:val="bottom"/>
            <w:tcBorders>
              <w:bottom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tcBorders>
              <w:bottom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registered</w:t>
            </w:r>
          </w:p>
        </w:tc>
        <w:tc>
          <w:tcPr>
            <w:tcW w:w="0" w:type="dxa"/>
            <w:vAlign w:val="bottom"/>
          </w:tcPr>
          <w:p>
            <w:pPr>
              <w:spacing w:after="0"/>
              <w:rPr>
                <w:sz w:val="1"/>
                <w:szCs w:val="1"/>
                <w:color w:val="auto"/>
              </w:rPr>
            </w:pPr>
          </w:p>
        </w:tc>
      </w:tr>
      <w:tr>
        <w:trPr>
          <w:trHeight w:val="195"/>
        </w:trPr>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Class A common stock, par value $0.00001</w:t>
            </w:r>
          </w:p>
        </w:tc>
        <w:tc>
          <w:tcPr>
            <w:tcW w:w="360" w:type="dxa"/>
            <w:vAlign w:val="bottom"/>
          </w:tcPr>
          <w:p>
            <w:pPr>
              <w:spacing w:after="0"/>
              <w:rPr>
                <w:sz w:val="16"/>
                <w:szCs w:val="16"/>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TW</w:t>
            </w:r>
          </w:p>
        </w:tc>
        <w:tc>
          <w:tcPr>
            <w:tcW w:w="360" w:type="dxa"/>
            <w:vAlign w:val="bottom"/>
          </w:tcPr>
          <w:p>
            <w:pPr>
              <w:spacing w:after="0"/>
              <w:rPr>
                <w:sz w:val="16"/>
                <w:szCs w:val="16"/>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Nasdaq Global Select Market</w:t>
            </w:r>
          </w:p>
        </w:tc>
        <w:tc>
          <w:tcPr>
            <w:tcW w:w="0" w:type="dxa"/>
            <w:vAlign w:val="bottom"/>
          </w:tcPr>
          <w:p>
            <w:pPr>
              <w:spacing w:after="0"/>
              <w:rPr>
                <w:sz w:val="1"/>
                <w:szCs w:val="1"/>
                <w:color w:val="auto"/>
              </w:rPr>
            </w:pPr>
          </w:p>
        </w:tc>
      </w:tr>
    </w:tbl>
    <w:p>
      <w:pPr>
        <w:spacing w:after="0" w:line="240" w:lineRule="exact"/>
        <w:rPr>
          <w:sz w:val="24"/>
          <w:szCs w:val="24"/>
          <w:color w:val="auto"/>
        </w:rPr>
      </w:pPr>
    </w:p>
    <w:p>
      <w:pPr>
        <w:jc w:val="both"/>
        <w:ind w:right="500"/>
        <w:spacing w:after="0" w:line="25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10" w:lineRule="exact"/>
        <w:rPr>
          <w:sz w:val="24"/>
          <w:szCs w:val="24"/>
          <w:color w:val="auto"/>
        </w:rPr>
      </w:pPr>
    </w:p>
    <w:p>
      <w:pPr>
        <w:ind w:right="240"/>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560070</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-6350</wp:posOffset>
            </wp:positionV>
            <wp:extent cx="66922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226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15875</wp:posOffset>
            </wp:positionV>
            <wp:extent cx="669226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2265" cy="15240"/>
                    </a:xfrm>
                    <a:prstGeom prst="rect">
                      <a:avLst/>
                    </a:prstGeom>
                    <a:noFill/>
                  </pic:spPr>
                </pic:pic>
              </a:graphicData>
            </a:graphic>
          </wp:anchor>
        </w:drawing>
      </w:r>
    </w:p>
    <w:p>
      <w:pPr>
        <w:sectPr>
          <w:pgSz w:w="11900" w:h="16840" w:orient="portrait"/>
          <w:cols w:equalWidth="0" w:num="1">
            <w:col w:w="10520"/>
          </w:cols>
          <w:pgMar w:left="660" w:top="1440" w:right="72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26" w:lineRule="exact"/>
        <w:rPr>
          <w:sz w:val="20"/>
          <w:szCs w:val="20"/>
          <w:color w:val="auto"/>
        </w:rPr>
      </w:pPr>
    </w:p>
    <w:p>
      <w:pPr>
        <w:ind w:right="100" w:firstLine="576"/>
        <w:spacing w:after="0" w:line="238" w:lineRule="auto"/>
        <w:rPr>
          <w:sz w:val="20"/>
          <w:szCs w:val="20"/>
          <w:color w:val="auto"/>
        </w:rPr>
      </w:pPr>
      <w:r>
        <w:rPr>
          <w:rFonts w:ascii="Times New Roman" w:cs="Times New Roman" w:eastAsia="Times New Roman" w:hAnsi="Times New Roman"/>
          <w:sz w:val="16"/>
          <w:szCs w:val="16"/>
          <w:color w:val="auto"/>
        </w:rPr>
        <w:t>Tradeweb Markets LLC (“Tradeweb Markets”), a wholly owned subsidiary of Tradeweb Markets Inc. (the “Company”), and Refinitiv US LLC and Refinitiv US Organization LLC (together, the “LSEG Parties”) reached an agreement-in-principle to renew the current data schedules under the master data license agreement, effective as of November 1, 2023, between Tradeweb Markets and the LSEG Parties (the “Master Data Agreement”) for an additional three-year term (the “Renewal”). The contemplated Renewal is expected to apply retrospectively to November 1, 2025 and to reflect the broader and deeper quality of data now being provided by Tradeweb Markets under the Master Data Agreement. The contemplated Renewal remains subject to execution of definitive documentation, as well as other factors, including Board approval. Therefore, as contemplated in the current data schedules, on October 29, 2025, Tradeweb Markets delivered notice to the LSEG Parties to commence a 12-month transition period while the Renewal is finalized.</w:t>
      </w:r>
    </w:p>
    <w:p>
      <w:pPr>
        <w:spacing w:after="0" w:line="1" w:lineRule="exact"/>
        <w:rPr>
          <w:sz w:val="20"/>
          <w:szCs w:val="20"/>
          <w:color w:val="auto"/>
        </w:rPr>
      </w:pPr>
    </w:p>
    <w:p>
      <w:pPr>
        <w:jc w:val="both"/>
        <w:ind w:firstLine="576"/>
        <w:spacing w:after="0" w:line="28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LSEG Parties are affiliates of the London Stock Exchange Group plc (“LSEG”), which is the indirect controlling stockholder of the Company. Affiliates of LSEG have various relationships with the Company. For further information, see the Company’s </w:t>
      </w:r>
      <w:hyperlink r:id="rId13">
        <w:r>
          <w:rPr>
            <w:rFonts w:ascii="Times New Roman" w:cs="Times New Roman" w:eastAsia="Times New Roman" w:hAnsi="Times New Roman"/>
            <w:sz w:val="14"/>
            <w:szCs w:val="14"/>
            <w:u w:val="single" w:color="auto"/>
            <w:color w:val="0000FF"/>
          </w:rPr>
          <w:t>Definitive Proxy Statement on Schedule 14A</w:t>
        </w:r>
      </w:hyperlink>
      <w:r>
        <w:rPr>
          <w:rFonts w:ascii="Times New Roman" w:cs="Times New Roman" w:eastAsia="Times New Roman" w:hAnsi="Times New Roman"/>
          <w:sz w:val="14"/>
          <w:szCs w:val="14"/>
          <w:color w:val="auto"/>
        </w:rPr>
        <w:t>, filed on March 27,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226" w:lineRule="exact"/>
        <w:rPr>
          <w:sz w:val="20"/>
          <w:szCs w:val="20"/>
          <w:color w:val="auto"/>
        </w:rPr>
      </w:pPr>
    </w:p>
    <w:p>
      <w:pPr>
        <w:ind w:right="740" w:firstLine="576"/>
        <w:spacing w:after="0" w:line="259" w:lineRule="auto"/>
        <w:rPr>
          <w:sz w:val="20"/>
          <w:szCs w:val="20"/>
          <w:color w:val="auto"/>
        </w:rPr>
      </w:pPr>
      <w:r>
        <w:rPr>
          <w:rFonts w:ascii="Times New Roman" w:cs="Times New Roman" w:eastAsia="Times New Roman" w:hAnsi="Times New Roman"/>
          <w:sz w:val="16"/>
          <w:szCs w:val="16"/>
          <w:color w:val="auto"/>
        </w:rPr>
        <w:t>On October 30, 2025, the Company issued a press release, a copy of which is furnished as Exhibit 99.1 hereto and incorporated herein by reference, announcing financial results for the quarter ended September 30, 2025.</w:t>
      </w:r>
    </w:p>
    <w:p>
      <w:pPr>
        <w:spacing w:after="0" w:line="191" w:lineRule="exact"/>
        <w:rPr>
          <w:sz w:val="20"/>
          <w:szCs w:val="20"/>
          <w:color w:val="auto"/>
        </w:rPr>
      </w:pPr>
    </w:p>
    <w:p>
      <w:pPr>
        <w:ind w:right="40" w:firstLine="576"/>
        <w:spacing w:after="0" w:line="243" w:lineRule="auto"/>
        <w:rPr>
          <w:sz w:val="20"/>
          <w:szCs w:val="20"/>
          <w:color w:val="auto"/>
        </w:rPr>
      </w:pPr>
      <w:r>
        <w:rPr>
          <w:rFonts w:ascii="Times New Roman" w:cs="Times New Roman" w:eastAsia="Times New Roman" w:hAnsi="Times New Roman"/>
          <w:sz w:val="16"/>
          <w:szCs w:val="16"/>
          <w:color w:val="auto"/>
        </w:rPr>
        <w:t>In accordance with General Instruction B.2 of Form 8 -K,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8660" w:type="dxa"/>
            <w:vAlign w:val="bottom"/>
            <w:gridSpan w:val="2"/>
            <w:vMerge w:val="restart"/>
          </w:tcPr>
          <w:p>
            <w:pPr>
              <w:ind w:left="3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1"/>
        </w:trPr>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86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89"/>
        </w:trPr>
        <w:tc>
          <w:tcPr>
            <w:tcW w:w="300" w:type="dxa"/>
            <w:vAlign w:val="bottom"/>
            <w:gridSpan w:val="2"/>
          </w:tcPr>
          <w:p>
            <w:pPr>
              <w:ind w:left="20"/>
              <w:spacing w:after="0"/>
              <w:rPr>
                <w:rFonts w:ascii="Times New Roman" w:cs="Times New Roman" w:eastAsia="Times New Roman" w:hAnsi="Times New Roman"/>
                <w:sz w:val="16"/>
                <w:szCs w:val="16"/>
                <w:color w:val="0000FF"/>
                <w:w w:val="92"/>
              </w:rPr>
            </w:pPr>
            <w:hyperlink w:anchor="page1">
              <w:r>
                <w:rPr>
                  <w:rFonts w:ascii="Times New Roman" w:cs="Times New Roman" w:eastAsia="Times New Roman" w:hAnsi="Times New Roman"/>
                  <w:sz w:val="16"/>
                  <w:szCs w:val="16"/>
                  <w:color w:val="0000FF"/>
                  <w:w w:val="92"/>
                </w:rPr>
                <w:t>99.</w:t>
              </w:r>
              <w:r>
                <w:rPr>
                  <w:rFonts w:ascii="Times New Roman" w:cs="Times New Roman" w:eastAsia="Times New Roman" w:hAnsi="Times New Roman"/>
                  <w:sz w:val="16"/>
                  <w:szCs w:val="16"/>
                  <w:u w:val="single" w:color="auto"/>
                  <w:color w:val="0000FF"/>
                  <w:w w:val="92"/>
                </w:rPr>
                <w:t>1</w:t>
              </w:r>
            </w:hyperlink>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60" w:type="dxa"/>
            <w:vAlign w:val="bottom"/>
            <w:gridSpan w:val="2"/>
          </w:tcPr>
          <w:p>
            <w:pPr>
              <w:spacing w:after="0"/>
              <w:rPr>
                <w:rFonts w:ascii="Times New Roman" w:cs="Times New Roman" w:eastAsia="Times New Roman" w:hAnsi="Times New Roman"/>
                <w:sz w:val="16"/>
                <w:szCs w:val="16"/>
                <w:color w:val="0000FF"/>
              </w:rPr>
            </w:pPr>
            <w:hyperlink w:anchor="page1">
              <w:r>
                <w:rPr>
                  <w:rFonts w:ascii="Times New Roman" w:cs="Times New Roman" w:eastAsia="Times New Roman" w:hAnsi="Times New Roman"/>
                  <w:sz w:val="16"/>
                  <w:szCs w:val="16"/>
                  <w:color w:val="0000FF"/>
                </w:rPr>
                <w:t>Press Release of Tradeweb Markets Inc., dated October 30, 2025, announcing Third Quarter 2025 Financial Results</w:t>
              </w:r>
            </w:hyperlink>
            <w:r>
              <w:rPr>
                <w:rFonts w:ascii="Times New Roman" w:cs="Times New Roman" w:eastAsia="Times New Roman" w:hAnsi="Times New Roman"/>
                <w:sz w:val="16"/>
                <w:szCs w:val="16"/>
                <w:color w:val="0000FF"/>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c>
          <w:tcPr>
            <w:tcW w:w="0" w:type="dxa"/>
            <w:vAlign w:val="bottom"/>
          </w:tcPr>
          <w:p>
            <w:pPr>
              <w:spacing w:after="0"/>
              <w:rPr>
                <w:sz w:val="1"/>
                <w:szCs w:val="1"/>
                <w:color w:val="auto"/>
              </w:rPr>
            </w:pPr>
          </w:p>
        </w:tc>
      </w:tr>
      <w:tr>
        <w:trPr>
          <w:trHeight w:val="1094"/>
        </w:trPr>
        <w:tc>
          <w:tcPr>
            <w:tcW w:w="20" w:type="dxa"/>
            <w:vAlign w:val="bottom"/>
            <w:tcBorders>
              <w:bottom w:val="single" w:sz="8" w:color="EEEEEE"/>
            </w:tcBorders>
          </w:tcPr>
          <w:p>
            <w:pPr>
              <w:spacing w:after="0"/>
              <w:rPr>
                <w:sz w:val="24"/>
                <w:szCs w:val="24"/>
                <w:color w:val="auto"/>
              </w:rPr>
            </w:pPr>
          </w:p>
        </w:tc>
        <w:tc>
          <w:tcPr>
            <w:tcW w:w="280" w:type="dxa"/>
            <w:vAlign w:val="bottom"/>
            <w:tcBorders>
              <w:bottom w:val="single" w:sz="8" w:color="EEEEEE"/>
            </w:tcBorders>
          </w:tcPr>
          <w:p>
            <w:pPr>
              <w:spacing w:after="0"/>
              <w:rPr>
                <w:sz w:val="24"/>
                <w:szCs w:val="24"/>
                <w:color w:val="auto"/>
              </w:rPr>
            </w:pPr>
          </w:p>
        </w:tc>
        <w:tc>
          <w:tcPr>
            <w:tcW w:w="1500" w:type="dxa"/>
            <w:vAlign w:val="bottom"/>
            <w:tcBorders>
              <w:bottom w:val="single" w:sz="8" w:color="EEEEEE"/>
            </w:tcBorders>
          </w:tcPr>
          <w:p>
            <w:pPr>
              <w:spacing w:after="0"/>
              <w:rPr>
                <w:sz w:val="24"/>
                <w:szCs w:val="24"/>
                <w:color w:val="auto"/>
              </w:rPr>
            </w:pPr>
          </w:p>
        </w:tc>
        <w:tc>
          <w:tcPr>
            <w:tcW w:w="100" w:type="dxa"/>
            <w:vAlign w:val="bottom"/>
            <w:tcBorders>
              <w:bottom w:val="single" w:sz="8" w:color="EEEEEE"/>
            </w:tcBorders>
          </w:tcPr>
          <w:p>
            <w:pPr>
              <w:spacing w:after="0"/>
              <w:rPr>
                <w:sz w:val="24"/>
                <w:szCs w:val="24"/>
                <w:color w:val="auto"/>
              </w:rPr>
            </w:pPr>
          </w:p>
        </w:tc>
        <w:tc>
          <w:tcPr>
            <w:tcW w:w="7220" w:type="dxa"/>
            <w:vAlign w:val="bottom"/>
            <w:tcBorders>
              <w:bottom w:val="single" w:sz="8" w:color="EEEEEE"/>
            </w:tcBorders>
          </w:tcPr>
          <w:p>
            <w:pPr>
              <w:spacing w:after="0"/>
              <w:rPr>
                <w:sz w:val="24"/>
                <w:szCs w:val="24"/>
                <w:color w:val="auto"/>
              </w:rPr>
            </w:pPr>
          </w:p>
        </w:tc>
        <w:tc>
          <w:tcPr>
            <w:tcW w:w="1440" w:type="dxa"/>
            <w:vAlign w:val="bottom"/>
            <w:tcBorders>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39" w:right="680" w:bottom="1440" w:gutter="0" w:footer="0" w:header="0"/>
        </w:sectPr>
      </w:pPr>
    </w:p>
    <w:bookmarkStart w:id="2" w:name="page3"/>
    <w:bookmarkEnd w:id="2"/>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26" w:lineRule="exact"/>
        <w:rPr>
          <w:sz w:val="20"/>
          <w:szCs w:val="20"/>
          <w:color w:val="auto"/>
        </w:rPr>
      </w:pPr>
    </w:p>
    <w:p>
      <w:pPr>
        <w:ind w:firstLine="576"/>
        <w:spacing w:after="0" w:line="25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6"/>
          <w:szCs w:val="16"/>
          <w:color w:val="auto"/>
        </w:rPr>
        <w:t>TRADEWEB MARKETS INC.</w:t>
      </w:r>
    </w:p>
    <w:p>
      <w:pPr>
        <w:spacing w:after="0" w:line="260" w:lineRule="exact"/>
        <w:rPr>
          <w:sz w:val="20"/>
          <w:szCs w:val="20"/>
          <w:color w:val="auto"/>
        </w:rPr>
      </w:pPr>
    </w:p>
    <w:p>
      <w:pPr>
        <w:ind w:left="20"/>
        <w:spacing w:after="0"/>
        <w:tabs>
          <w:tab w:leader="none" w:pos="6700" w:val="left"/>
          <w:tab w:leader="none" w:pos="7240" w:val="left"/>
        </w:tabs>
        <w:rPr>
          <w:sz w:val="20"/>
          <w:szCs w:val="20"/>
          <w:color w:val="auto"/>
        </w:rPr>
      </w:pPr>
      <w:r>
        <w:rPr>
          <w:rFonts w:ascii="Times New Roman" w:cs="Times New Roman" w:eastAsia="Times New Roman" w:hAnsi="Times New Roman"/>
          <w:sz w:val="16"/>
          <w:szCs w:val="16"/>
          <w:color w:val="auto"/>
        </w:rPr>
        <w:t>Date: October 30, 2025</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4607560</wp:posOffset>
            </wp:positionH>
            <wp:positionV relativeFrom="paragraph">
              <wp:posOffset>13335</wp:posOffset>
            </wp:positionV>
            <wp:extent cx="21037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103755" cy="7620"/>
                    </a:xfrm>
                    <a:prstGeom prst="rect">
                      <a:avLst/>
                    </a:prstGeom>
                    <a:noFill/>
                  </pic:spPr>
                </pic:pic>
              </a:graphicData>
            </a:graphic>
          </wp:anchor>
        </w:drawing>
      </w:r>
    </w:p>
    <w:p>
      <w:pPr>
        <w:spacing w:after="0" w:line="1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color w:val="auto"/>
        </w:rPr>
        <w:t>Name: Douglas Friedman</w:t>
      </w:r>
    </w:p>
    <w:p>
      <w:pPr>
        <w:spacing w:after="0" w:line="2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color w:val="auto"/>
        </w:rPr>
        <w:t>Title: Chief Legal Officer</w:t>
      </w:r>
    </w:p>
    <w:p>
      <w:pPr>
        <w:sectPr>
          <w:pgSz w:w="11900" w:h="16840" w:orient="portrait"/>
          <w:cols w:equalWidth="0" w:num="1">
            <w:col w:w="10280"/>
          </w:cols>
          <w:pgMar w:left="660" w:top="1440" w:right="960" w:bottom="1440" w:gutter="0" w:footer="0" w:header="0"/>
        </w:sectPr>
      </w:pPr>
    </w:p>
    <w:bookmarkStart w:id="3" w:name="page4"/>
    <w:bookmarkEnd w:id="3"/>
    <w:p>
      <w:pPr>
        <w:ind w:left="4440"/>
        <w:spacing w:after="0"/>
        <w:tabs>
          <w:tab w:leader="none" w:pos="7400" w:val="left"/>
        </w:tabs>
        <w:rPr>
          <w:sz w:val="20"/>
          <w:szCs w:val="20"/>
          <w:color w:val="auto"/>
        </w:rPr>
      </w:pPr>
      <w:r>
        <w:rPr>
          <w:rFonts w:ascii="Arial" w:cs="Arial" w:eastAsia="Arial" w:hAnsi="Arial"/>
          <w:sz w:val="14"/>
          <w:szCs w:val="14"/>
          <w:b w:val="1"/>
          <w:bCs w:val="1"/>
          <w:color w:val="083566"/>
        </w:rPr>
        <w:t>Investor Relations</w:t>
      </w:r>
      <w:r>
        <w:rPr>
          <w:sz w:val="20"/>
          <w:szCs w:val="20"/>
          <w:color w:val="auto"/>
        </w:rPr>
        <w:tab/>
      </w:r>
      <w:r>
        <w:rPr>
          <w:rFonts w:ascii="Arial" w:cs="Arial" w:eastAsia="Arial" w:hAnsi="Arial"/>
          <w:sz w:val="14"/>
          <w:szCs w:val="14"/>
          <w:b w:val="1"/>
          <w:bCs w:val="1"/>
          <w:color w:val="083566"/>
        </w:rPr>
        <w:t>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-48260</wp:posOffset>
            </wp:positionV>
            <wp:extent cx="1608455" cy="533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608455" cy="533400"/>
                    </a:xfrm>
                    <a:prstGeom prst="rect">
                      <a:avLst/>
                    </a:prstGeom>
                    <a:noFill/>
                  </pic:spPr>
                </pic:pic>
              </a:graphicData>
            </a:graphic>
          </wp:anchor>
        </w:drawing>
      </w:r>
    </w:p>
    <w:p>
      <w:pPr>
        <w:spacing w:after="0" w:line="1" w:lineRule="exact"/>
        <w:rPr>
          <w:sz w:val="20"/>
          <w:szCs w:val="20"/>
          <w:color w:val="auto"/>
        </w:rPr>
      </w:pPr>
    </w:p>
    <w:p>
      <w:pPr>
        <w:ind w:left="4440"/>
        <w:spacing w:after="0"/>
        <w:tabs>
          <w:tab w:leader="none" w:pos="7400" w:val="left"/>
        </w:tabs>
        <w:rPr>
          <w:sz w:val="20"/>
          <w:szCs w:val="20"/>
          <w:color w:val="auto"/>
        </w:rPr>
      </w:pPr>
      <w:r>
        <w:rPr>
          <w:rFonts w:ascii="Arial" w:cs="Arial" w:eastAsia="Arial" w:hAnsi="Arial"/>
          <w:sz w:val="14"/>
          <w:szCs w:val="14"/>
          <w:color w:val="auto"/>
        </w:rPr>
        <w:t>Ashley Serrao + 1 646 430 6027</w:t>
      </w:r>
      <w:r>
        <w:rPr>
          <w:sz w:val="20"/>
          <w:szCs w:val="20"/>
          <w:color w:val="auto"/>
        </w:rPr>
        <w:tab/>
      </w:r>
      <w:r>
        <w:rPr>
          <w:rFonts w:ascii="Arial" w:cs="Arial" w:eastAsia="Arial" w:hAnsi="Arial"/>
          <w:sz w:val="14"/>
          <w:szCs w:val="14"/>
          <w:color w:val="auto"/>
        </w:rPr>
        <w:t>Daniel Noonan + 1 646 767 4677</w:t>
      </w:r>
    </w:p>
    <w:p>
      <w:pPr>
        <w:spacing w:after="0" w:line="7" w:lineRule="exact"/>
        <w:rPr>
          <w:sz w:val="20"/>
          <w:szCs w:val="20"/>
          <w:color w:val="auto"/>
        </w:rPr>
      </w:pPr>
    </w:p>
    <w:p>
      <w:pPr>
        <w:ind w:left="4440"/>
        <w:spacing w:after="0"/>
        <w:tabs>
          <w:tab w:leader="none" w:pos="7400" w:val="left"/>
        </w:tabs>
        <w:rPr>
          <w:sz w:val="20"/>
          <w:szCs w:val="20"/>
          <w:color w:val="auto"/>
        </w:rPr>
      </w:pPr>
      <w:r>
        <w:rPr>
          <w:rFonts w:ascii="Arial" w:cs="Arial" w:eastAsia="Arial" w:hAnsi="Arial"/>
          <w:sz w:val="14"/>
          <w:szCs w:val="14"/>
          <w:color w:val="auto"/>
        </w:rPr>
        <w:t>Ashley.Serrao@Tradeweb.com</w:t>
      </w:r>
      <w:r>
        <w:rPr>
          <w:sz w:val="20"/>
          <w:szCs w:val="20"/>
          <w:color w:val="auto"/>
        </w:rPr>
        <w:tab/>
      </w:r>
      <w:r>
        <w:rPr>
          <w:rFonts w:ascii="Arial" w:cs="Arial" w:eastAsia="Arial" w:hAnsi="Arial"/>
          <w:sz w:val="14"/>
          <w:szCs w:val="14"/>
          <w:color w:val="auto"/>
        </w:rPr>
        <w:t>Daniel.Noonan@Tradeweb.com</w:t>
      </w:r>
    </w:p>
    <w:p>
      <w:pPr>
        <w:spacing w:after="0" w:line="221" w:lineRule="exact"/>
        <w:rPr>
          <w:sz w:val="20"/>
          <w:szCs w:val="20"/>
          <w:color w:val="auto"/>
        </w:rPr>
      </w:pPr>
    </w:p>
    <w:p>
      <w:pPr>
        <w:ind w:left="4440"/>
        <w:spacing w:after="0"/>
        <w:tabs>
          <w:tab w:leader="none" w:pos="7400" w:val="left"/>
        </w:tabs>
        <w:rPr>
          <w:sz w:val="20"/>
          <w:szCs w:val="20"/>
          <w:color w:val="auto"/>
        </w:rPr>
      </w:pPr>
      <w:r>
        <w:rPr>
          <w:rFonts w:ascii="Arial" w:cs="Arial" w:eastAsia="Arial" w:hAnsi="Arial"/>
          <w:sz w:val="14"/>
          <w:szCs w:val="14"/>
          <w:color w:val="auto"/>
        </w:rPr>
        <w:t>Sameer Murukutla + 1 646 767 4864</w:t>
      </w:r>
      <w:r>
        <w:rPr>
          <w:sz w:val="20"/>
          <w:szCs w:val="20"/>
          <w:color w:val="auto"/>
        </w:rPr>
        <w:tab/>
      </w:r>
      <w:r>
        <w:rPr>
          <w:rFonts w:ascii="Arial" w:cs="Arial" w:eastAsia="Arial" w:hAnsi="Arial"/>
          <w:sz w:val="14"/>
          <w:szCs w:val="14"/>
          <w:color w:val="auto"/>
        </w:rPr>
        <w:t>Savannah Steele + 1 646 767 4941</w:t>
      </w:r>
    </w:p>
    <w:p>
      <w:pPr>
        <w:spacing w:after="0" w:line="21" w:lineRule="exact"/>
        <w:rPr>
          <w:sz w:val="20"/>
          <w:szCs w:val="20"/>
          <w:color w:val="auto"/>
        </w:rPr>
      </w:pPr>
    </w:p>
    <w:p>
      <w:pPr>
        <w:ind w:left="4440"/>
        <w:spacing w:after="0"/>
        <w:tabs>
          <w:tab w:leader="none" w:pos="7400" w:val="left"/>
        </w:tabs>
        <w:rPr>
          <w:sz w:val="20"/>
          <w:szCs w:val="20"/>
          <w:color w:val="auto"/>
        </w:rPr>
      </w:pPr>
      <w:r>
        <w:rPr>
          <w:rFonts w:ascii="Arial" w:cs="Arial" w:eastAsia="Arial" w:hAnsi="Arial"/>
          <w:sz w:val="14"/>
          <w:szCs w:val="14"/>
          <w:color w:val="auto"/>
        </w:rPr>
        <w:t>Sameer.Murukutla@Tradeweb.com</w:t>
      </w:r>
      <w:r>
        <w:rPr>
          <w:sz w:val="20"/>
          <w:szCs w:val="20"/>
          <w:color w:val="auto"/>
        </w:rPr>
        <w:tab/>
      </w:r>
      <w:r>
        <w:rPr>
          <w:rFonts w:ascii="Arial" w:cs="Arial" w:eastAsia="Arial" w:hAnsi="Arial"/>
          <w:sz w:val="14"/>
          <w:szCs w:val="14"/>
          <w:color w:val="auto"/>
        </w:rPr>
        <w:t>Savannah.Steele@Tradeweb.com</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23"/>
          <w:szCs w:val="23"/>
          <w:b w:val="1"/>
          <w:bCs w:val="1"/>
          <w:color w:val="00ADCB"/>
        </w:rPr>
        <w:t>TRADEWEB REPORTS THIRD QUARTER 2025 FINANCIAL RESULTS</w:t>
      </w:r>
    </w:p>
    <w:p>
      <w:pPr>
        <w:spacing w:after="0" w:line="192" w:lineRule="exact"/>
        <w:rPr>
          <w:sz w:val="20"/>
          <w:szCs w:val="20"/>
          <w:color w:val="auto"/>
        </w:rPr>
      </w:pPr>
    </w:p>
    <w:p>
      <w:pPr>
        <w:ind w:left="20" w:right="40"/>
        <w:spacing w:after="0" w:line="294" w:lineRule="auto"/>
        <w:rPr>
          <w:sz w:val="20"/>
          <w:szCs w:val="20"/>
          <w:color w:val="auto"/>
        </w:rPr>
      </w:pPr>
      <w:r>
        <w:rPr>
          <w:rFonts w:ascii="Arial" w:cs="Arial" w:eastAsia="Arial" w:hAnsi="Arial"/>
          <w:sz w:val="14"/>
          <w:szCs w:val="14"/>
          <w:b w:val="1"/>
          <w:bCs w:val="1"/>
          <w:color w:val="auto"/>
        </w:rPr>
        <w:t xml:space="preserve">New York, October 30, 2025 </w:t>
      </w:r>
      <w:r>
        <w:rPr>
          <w:rFonts w:ascii="Arial" w:cs="Arial" w:eastAsia="Arial" w:hAnsi="Arial"/>
          <w:sz w:val="14"/>
          <w:szCs w:val="14"/>
          <w:color w:val="auto"/>
        </w:rPr>
        <w:t>– Tradeweb Markets Inc. (Nasdaq: TW), a leading, global operator of electronic marketplaces for rates, credit, equities and money</w:t>
      </w:r>
      <w:r>
        <w:rPr>
          <w:rFonts w:ascii="Arial" w:cs="Arial" w:eastAsia="Arial" w:hAnsi="Arial"/>
          <w:sz w:val="14"/>
          <w:szCs w:val="14"/>
          <w:b w:val="1"/>
          <w:bCs w:val="1"/>
          <w:color w:val="auto"/>
        </w:rPr>
        <w:t xml:space="preserve"> </w:t>
      </w:r>
      <w:r>
        <w:rPr>
          <w:rFonts w:ascii="Arial" w:cs="Arial" w:eastAsia="Arial" w:hAnsi="Arial"/>
          <w:sz w:val="14"/>
          <w:szCs w:val="14"/>
          <w:color w:val="auto"/>
        </w:rPr>
        <w:t>markets, today reported financial results for the quarter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46990</wp:posOffset>
            </wp:positionV>
            <wp:extent cx="2850515" cy="26676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850515" cy="2667635"/>
                    </a:xfrm>
                    <a:prstGeom prst="rect">
                      <a:avLst/>
                    </a:prstGeom>
                    <a:noFill/>
                  </pic:spPr>
                </pic:pic>
              </a:graphicData>
            </a:graphic>
          </wp:anchor>
        </w:drawing>
      </w:r>
    </w:p>
    <w:p>
      <w:pPr>
        <w:sectPr>
          <w:pgSz w:w="11900" w:h="16840" w:orient="portrait"/>
          <w:cols w:equalWidth="0" w:num="1">
            <w:col w:w="10240"/>
          </w:cols>
          <w:pgMar w:left="660" w:top="605" w:right="1000" w:bottom="1440" w:gutter="0" w:footer="0" w:header="0"/>
        </w:sectPr>
      </w:pPr>
    </w:p>
    <w:p>
      <w:pPr>
        <w:spacing w:after="0" w:line="86" w:lineRule="exact"/>
        <w:rPr>
          <w:sz w:val="20"/>
          <w:szCs w:val="20"/>
          <w:color w:val="auto"/>
        </w:rPr>
      </w:pPr>
    </w:p>
    <w:p>
      <w:pPr>
        <w:ind w:left="20" w:right="20"/>
        <w:spacing w:after="0" w:line="294" w:lineRule="auto"/>
        <w:rPr>
          <w:sz w:val="20"/>
          <w:szCs w:val="20"/>
          <w:color w:val="auto"/>
        </w:rPr>
      </w:pPr>
      <w:r>
        <w:rPr>
          <w:rFonts w:ascii="Arial" w:cs="Arial" w:eastAsia="Arial" w:hAnsi="Arial"/>
          <w:sz w:val="14"/>
          <w:szCs w:val="14"/>
          <w:b w:val="1"/>
          <w:bCs w:val="1"/>
          <w:color w:val="auto"/>
        </w:rPr>
        <w:t xml:space="preserve">$508.6 million </w:t>
      </w:r>
      <w:r>
        <w:rPr>
          <w:rFonts w:ascii="Arial" w:cs="Arial" w:eastAsia="Arial" w:hAnsi="Arial"/>
          <w:sz w:val="14"/>
          <w:szCs w:val="14"/>
          <w:color w:val="auto"/>
        </w:rPr>
        <w:t>quarterly revenues, an increase of</w:t>
      </w:r>
      <w:r>
        <w:rPr>
          <w:rFonts w:ascii="Arial" w:cs="Arial" w:eastAsia="Arial" w:hAnsi="Arial"/>
          <w:sz w:val="14"/>
          <w:szCs w:val="14"/>
          <w:b w:val="1"/>
          <w:bCs w:val="1"/>
          <w:color w:val="auto"/>
        </w:rPr>
        <w:t xml:space="preserve"> 13.3% </w:t>
      </w:r>
      <w:r>
        <w:rPr>
          <w:rFonts w:ascii="Arial" w:cs="Arial" w:eastAsia="Arial" w:hAnsi="Arial"/>
          <w:sz w:val="14"/>
          <w:szCs w:val="14"/>
          <w:color w:val="auto"/>
        </w:rPr>
        <w:t>(</w:t>
      </w:r>
      <w:r>
        <w:rPr>
          <w:rFonts w:ascii="Arial" w:cs="Arial" w:eastAsia="Arial" w:hAnsi="Arial"/>
          <w:sz w:val="14"/>
          <w:szCs w:val="14"/>
          <w:b w:val="1"/>
          <w:bCs w:val="1"/>
          <w:color w:val="auto"/>
        </w:rPr>
        <w:t xml:space="preserve">11.3% </w:t>
      </w:r>
      <w:r>
        <w:rPr>
          <w:rFonts w:ascii="Arial" w:cs="Arial" w:eastAsia="Arial" w:hAnsi="Arial"/>
          <w:sz w:val="14"/>
          <w:szCs w:val="14"/>
          <w:color w:val="auto"/>
        </w:rPr>
        <w:t>on a constant currency</w:t>
      </w:r>
      <w:r>
        <w:rPr>
          <w:rFonts w:ascii="Arial" w:cs="Arial" w:eastAsia="Arial" w:hAnsi="Arial"/>
          <w:sz w:val="14"/>
          <w:szCs w:val="14"/>
          <w:b w:val="1"/>
          <w:bCs w:val="1"/>
          <w:color w:val="auto"/>
        </w:rPr>
        <w:t xml:space="preserve"> </w:t>
      </w:r>
      <w:r>
        <w:rPr>
          <w:rFonts w:ascii="Arial" w:cs="Arial" w:eastAsia="Arial" w:hAnsi="Arial"/>
          <w:sz w:val="14"/>
          <w:szCs w:val="14"/>
          <w:color w:val="auto"/>
        </w:rPr>
        <w:t>basis) compared to prior year period</w:t>
      </w:r>
    </w:p>
    <w:p>
      <w:pPr>
        <w:spacing w:after="0" w:line="38" w:lineRule="exact"/>
        <w:rPr>
          <w:sz w:val="20"/>
          <w:szCs w:val="20"/>
          <w:color w:val="auto"/>
        </w:rPr>
      </w:pPr>
    </w:p>
    <w:p>
      <w:pPr>
        <w:ind w:left="20" w:right="380"/>
        <w:spacing w:after="0" w:line="294" w:lineRule="auto"/>
        <w:rPr>
          <w:sz w:val="20"/>
          <w:szCs w:val="20"/>
          <w:color w:val="auto"/>
        </w:rPr>
      </w:pPr>
      <w:r>
        <w:rPr>
          <w:rFonts w:ascii="Arial" w:cs="Arial" w:eastAsia="Arial" w:hAnsi="Arial"/>
          <w:sz w:val="14"/>
          <w:szCs w:val="14"/>
          <w:b w:val="1"/>
          <w:bCs w:val="1"/>
          <w:color w:val="auto"/>
        </w:rPr>
        <w:t xml:space="preserve">$211.2 million </w:t>
      </w:r>
      <w:r>
        <w:rPr>
          <w:rFonts w:ascii="Arial" w:cs="Arial" w:eastAsia="Arial" w:hAnsi="Arial"/>
          <w:sz w:val="14"/>
          <w:szCs w:val="14"/>
          <w:color w:val="auto"/>
        </w:rPr>
        <w:t>quarterly international revenues, an increase of</w:t>
      </w:r>
      <w:r>
        <w:rPr>
          <w:rFonts w:ascii="Arial" w:cs="Arial" w:eastAsia="Arial" w:hAnsi="Arial"/>
          <w:sz w:val="14"/>
          <w:szCs w:val="14"/>
          <w:b w:val="1"/>
          <w:bCs w:val="1"/>
          <w:color w:val="auto"/>
        </w:rPr>
        <w:t xml:space="preserve"> 24.8% </w:t>
      </w:r>
      <w:r>
        <w:rPr>
          <w:rFonts w:ascii="Arial" w:cs="Arial" w:eastAsia="Arial" w:hAnsi="Arial"/>
          <w:sz w:val="14"/>
          <w:szCs w:val="14"/>
          <w:color w:val="auto"/>
        </w:rPr>
        <w:t>(</w:t>
      </w:r>
      <w:r>
        <w:rPr>
          <w:rFonts w:ascii="Arial" w:cs="Arial" w:eastAsia="Arial" w:hAnsi="Arial"/>
          <w:sz w:val="14"/>
          <w:szCs w:val="14"/>
          <w:b w:val="1"/>
          <w:bCs w:val="1"/>
          <w:color w:val="auto"/>
        </w:rPr>
        <w:t xml:space="preserve">19.7% </w:t>
      </w:r>
      <w:r>
        <w:rPr>
          <w:rFonts w:ascii="Arial" w:cs="Arial" w:eastAsia="Arial" w:hAnsi="Arial"/>
          <w:sz w:val="14"/>
          <w:szCs w:val="14"/>
          <w:color w:val="auto"/>
        </w:rPr>
        <w:t>on a</w:t>
      </w:r>
      <w:r>
        <w:rPr>
          <w:rFonts w:ascii="Arial" w:cs="Arial" w:eastAsia="Arial" w:hAnsi="Arial"/>
          <w:sz w:val="14"/>
          <w:szCs w:val="14"/>
          <w:b w:val="1"/>
          <w:bCs w:val="1"/>
          <w:color w:val="auto"/>
        </w:rPr>
        <w:t xml:space="preserve"> </w:t>
      </w:r>
      <w:r>
        <w:rPr>
          <w:rFonts w:ascii="Arial" w:cs="Arial" w:eastAsia="Arial" w:hAnsi="Arial"/>
          <w:sz w:val="14"/>
          <w:szCs w:val="14"/>
          <w:color w:val="auto"/>
        </w:rPr>
        <w:t>constant current basis) compared to prior year period</w:t>
      </w:r>
    </w:p>
    <w:p>
      <w:pPr>
        <w:spacing w:after="0" w:line="38" w:lineRule="exact"/>
        <w:rPr>
          <w:sz w:val="20"/>
          <w:szCs w:val="20"/>
          <w:color w:val="auto"/>
        </w:rPr>
      </w:pPr>
    </w:p>
    <w:p>
      <w:pPr>
        <w:ind w:left="20" w:right="320"/>
        <w:spacing w:after="0" w:line="265" w:lineRule="auto"/>
        <w:rPr>
          <w:sz w:val="20"/>
          <w:szCs w:val="20"/>
          <w:color w:val="auto"/>
        </w:rPr>
      </w:pPr>
      <w:r>
        <w:rPr>
          <w:rFonts w:ascii="Arial" w:cs="Arial" w:eastAsia="Arial" w:hAnsi="Arial"/>
          <w:sz w:val="14"/>
          <w:szCs w:val="14"/>
          <w:b w:val="1"/>
          <w:bCs w:val="1"/>
          <w:color w:val="auto"/>
        </w:rPr>
        <w:t xml:space="preserve">$2.6 trillion </w:t>
      </w:r>
      <w:r>
        <w:rPr>
          <w:rFonts w:ascii="Arial" w:cs="Arial" w:eastAsia="Arial" w:hAnsi="Arial"/>
          <w:sz w:val="14"/>
          <w:szCs w:val="14"/>
          <w:color w:val="auto"/>
        </w:rPr>
        <w:t>average daily volume (“ADV”) for the quarter, an increase of</w:t>
      </w:r>
      <w:r>
        <w:rPr>
          <w:rFonts w:ascii="Arial" w:cs="Arial" w:eastAsia="Arial" w:hAnsi="Arial"/>
          <w:sz w:val="14"/>
          <w:szCs w:val="14"/>
          <w:b w:val="1"/>
          <w:bCs w:val="1"/>
          <w:color w:val="auto"/>
        </w:rPr>
        <w:t xml:space="preserve">11.8% </w:t>
      </w:r>
      <w:r>
        <w:rPr>
          <w:rFonts w:ascii="Arial" w:cs="Arial" w:eastAsia="Arial" w:hAnsi="Arial"/>
          <w:sz w:val="14"/>
          <w:szCs w:val="14"/>
          <w:color w:val="auto"/>
        </w:rPr>
        <w:t>compared to prior year period; quarterly ADV records in mortgages, U.S. swaps/swaptions &lt; 1-year, municipal bonds, equity convertibles/swaps/options and global repurchase agreements</w:t>
      </w:r>
    </w:p>
    <w:p>
      <w:pPr>
        <w:spacing w:after="0" w:line="57" w:lineRule="exact"/>
        <w:rPr>
          <w:sz w:val="20"/>
          <w:szCs w:val="20"/>
          <w:color w:val="auto"/>
        </w:rPr>
      </w:pPr>
    </w:p>
    <w:p>
      <w:pPr>
        <w:ind w:left="20" w:right="340"/>
        <w:spacing w:after="0" w:line="306" w:lineRule="auto"/>
        <w:rPr>
          <w:sz w:val="20"/>
          <w:szCs w:val="20"/>
          <w:color w:val="auto"/>
        </w:rPr>
      </w:pPr>
      <w:r>
        <w:rPr>
          <w:rFonts w:ascii="Arial" w:cs="Arial" w:eastAsia="Arial" w:hAnsi="Arial"/>
          <w:sz w:val="14"/>
          <w:szCs w:val="14"/>
          <w:b w:val="1"/>
          <w:bCs w:val="1"/>
          <w:color w:val="auto"/>
        </w:rPr>
        <w:t xml:space="preserve">$210.5 million </w:t>
      </w:r>
      <w:r>
        <w:rPr>
          <w:rFonts w:ascii="Arial" w:cs="Arial" w:eastAsia="Arial" w:hAnsi="Arial"/>
          <w:sz w:val="14"/>
          <w:szCs w:val="14"/>
          <w:color w:val="auto"/>
        </w:rPr>
        <w:t>net income and</w:t>
      </w:r>
      <w:r>
        <w:rPr>
          <w:rFonts w:ascii="Arial" w:cs="Arial" w:eastAsia="Arial" w:hAnsi="Arial"/>
          <w:sz w:val="14"/>
          <w:szCs w:val="14"/>
          <w:b w:val="1"/>
          <w:bCs w:val="1"/>
          <w:color w:val="auto"/>
        </w:rPr>
        <w:t xml:space="preserve"> $206.5 million </w:t>
      </w:r>
      <w:r>
        <w:rPr>
          <w:rFonts w:ascii="Arial" w:cs="Arial" w:eastAsia="Arial" w:hAnsi="Arial"/>
          <w:sz w:val="14"/>
          <w:szCs w:val="14"/>
          <w:color w:val="auto"/>
        </w:rPr>
        <w:t>adjusted net income for the quarter,</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increases of </w:t>
      </w:r>
      <w:r>
        <w:rPr>
          <w:rFonts w:ascii="Arial" w:cs="Arial" w:eastAsia="Arial" w:hAnsi="Arial"/>
          <w:sz w:val="14"/>
          <w:szCs w:val="14"/>
          <w:b w:val="1"/>
          <w:bCs w:val="1"/>
          <w:color w:val="auto"/>
        </w:rPr>
        <w:t>61.7%</w:t>
      </w:r>
      <w:r>
        <w:rPr>
          <w:rFonts w:ascii="Arial" w:cs="Arial" w:eastAsia="Arial" w:hAnsi="Arial"/>
          <w:sz w:val="14"/>
          <w:szCs w:val="14"/>
          <w:color w:val="auto"/>
        </w:rPr>
        <w:t xml:space="preserve"> and </w:t>
      </w:r>
      <w:r>
        <w:rPr>
          <w:rFonts w:ascii="Arial" w:cs="Arial" w:eastAsia="Arial" w:hAnsi="Arial"/>
          <w:sz w:val="14"/>
          <w:szCs w:val="14"/>
          <w:b w:val="1"/>
          <w:bCs w:val="1"/>
          <w:color w:val="auto"/>
        </w:rPr>
        <w:t>15.2%,</w:t>
      </w:r>
      <w:r>
        <w:rPr>
          <w:rFonts w:ascii="Arial" w:cs="Arial" w:eastAsia="Arial" w:hAnsi="Arial"/>
          <w:sz w:val="14"/>
          <w:szCs w:val="14"/>
          <w:color w:val="auto"/>
        </w:rPr>
        <w:t xml:space="preserve"> respectively, from prior year period</w:t>
      </w:r>
    </w:p>
    <w:p>
      <w:pPr>
        <w:spacing w:after="0" w:line="22" w:lineRule="exact"/>
        <w:rPr>
          <w:sz w:val="20"/>
          <w:szCs w:val="20"/>
          <w:color w:val="auto"/>
        </w:rPr>
      </w:pPr>
    </w:p>
    <w:p>
      <w:pPr>
        <w:ind w:left="20" w:right="200"/>
        <w:spacing w:after="0" w:line="294" w:lineRule="auto"/>
        <w:rPr>
          <w:sz w:val="20"/>
          <w:szCs w:val="20"/>
          <w:color w:val="auto"/>
        </w:rPr>
      </w:pPr>
      <w:r>
        <w:rPr>
          <w:rFonts w:ascii="Arial" w:cs="Arial" w:eastAsia="Arial" w:hAnsi="Arial"/>
          <w:sz w:val="14"/>
          <w:szCs w:val="14"/>
          <w:b w:val="1"/>
          <w:bCs w:val="1"/>
          <w:color w:val="auto"/>
        </w:rPr>
        <w:t xml:space="preserve">54.0% </w:t>
      </w:r>
      <w:r>
        <w:rPr>
          <w:rFonts w:ascii="Arial" w:cs="Arial" w:eastAsia="Arial" w:hAnsi="Arial"/>
          <w:sz w:val="14"/>
          <w:szCs w:val="14"/>
          <w:color w:val="auto"/>
        </w:rPr>
        <w:t>adjusted EBITDA margin and</w:t>
      </w:r>
      <w:r>
        <w:rPr>
          <w:rFonts w:ascii="Arial" w:cs="Arial" w:eastAsia="Arial" w:hAnsi="Arial"/>
          <w:sz w:val="14"/>
          <w:szCs w:val="14"/>
          <w:b w:val="1"/>
          <w:bCs w:val="1"/>
          <w:color w:val="auto"/>
        </w:rPr>
        <w:t xml:space="preserve"> $274.4 million </w:t>
      </w:r>
      <w:r>
        <w:rPr>
          <w:rFonts w:ascii="Arial" w:cs="Arial" w:eastAsia="Arial" w:hAnsi="Arial"/>
          <w:sz w:val="14"/>
          <w:szCs w:val="14"/>
          <w:color w:val="auto"/>
        </w:rPr>
        <w:t>adjusted EBITDA for the quarter,</w:t>
      </w:r>
      <w:r>
        <w:rPr>
          <w:rFonts w:ascii="Arial" w:cs="Arial" w:eastAsia="Arial" w:hAnsi="Arial"/>
          <w:sz w:val="14"/>
          <w:szCs w:val="14"/>
          <w:b w:val="1"/>
          <w:bCs w:val="1"/>
          <w:color w:val="auto"/>
        </w:rPr>
        <w:t xml:space="preserve"> </w:t>
      </w:r>
      <w:r>
        <w:rPr>
          <w:rFonts w:ascii="Arial" w:cs="Arial" w:eastAsia="Arial" w:hAnsi="Arial"/>
          <w:sz w:val="14"/>
          <w:szCs w:val="14"/>
          <w:color w:val="auto"/>
        </w:rPr>
        <w:t>compared to 53.4% and $239.8 million respectively for prior year period</w:t>
      </w:r>
    </w:p>
    <w:p>
      <w:pPr>
        <w:spacing w:after="0" w:line="38" w:lineRule="exact"/>
        <w:rPr>
          <w:sz w:val="20"/>
          <w:szCs w:val="20"/>
          <w:color w:val="auto"/>
        </w:rPr>
      </w:pPr>
    </w:p>
    <w:p>
      <w:pPr>
        <w:ind w:left="20"/>
        <w:spacing w:after="0" w:line="294" w:lineRule="auto"/>
        <w:rPr>
          <w:sz w:val="20"/>
          <w:szCs w:val="20"/>
          <w:color w:val="auto"/>
        </w:rPr>
      </w:pPr>
      <w:r>
        <w:rPr>
          <w:rFonts w:ascii="Arial" w:cs="Arial" w:eastAsia="Arial" w:hAnsi="Arial"/>
          <w:sz w:val="14"/>
          <w:szCs w:val="14"/>
          <w:b w:val="1"/>
          <w:bCs w:val="1"/>
          <w:color w:val="auto"/>
        </w:rPr>
        <w:t xml:space="preserve">$0.86 </w:t>
      </w:r>
      <w:r>
        <w:rPr>
          <w:rFonts w:ascii="Arial" w:cs="Arial" w:eastAsia="Arial" w:hAnsi="Arial"/>
          <w:sz w:val="14"/>
          <w:szCs w:val="14"/>
          <w:color w:val="auto"/>
        </w:rPr>
        <w:t>diluted earnings per share (“Diluted EPS”) and</w:t>
      </w:r>
      <w:r>
        <w:rPr>
          <w:rFonts w:ascii="Arial" w:cs="Arial" w:eastAsia="Arial" w:hAnsi="Arial"/>
          <w:sz w:val="14"/>
          <w:szCs w:val="14"/>
          <w:b w:val="1"/>
          <w:bCs w:val="1"/>
          <w:color w:val="auto"/>
        </w:rPr>
        <w:t xml:space="preserve">$0.87 </w:t>
      </w:r>
      <w:r>
        <w:rPr>
          <w:rFonts w:ascii="Arial" w:cs="Arial" w:eastAsia="Arial" w:hAnsi="Arial"/>
          <w:sz w:val="14"/>
          <w:szCs w:val="14"/>
          <w:color w:val="auto"/>
        </w:rPr>
        <w:t>adjusted diluted earnings per</w:t>
      </w:r>
      <w:r>
        <w:rPr>
          <w:rFonts w:ascii="Arial" w:cs="Arial" w:eastAsia="Arial" w:hAnsi="Arial"/>
          <w:sz w:val="14"/>
          <w:szCs w:val="14"/>
          <w:b w:val="1"/>
          <w:bCs w:val="1"/>
          <w:color w:val="auto"/>
        </w:rPr>
        <w:t xml:space="preserve"> </w:t>
      </w:r>
      <w:r>
        <w:rPr>
          <w:rFonts w:ascii="Arial" w:cs="Arial" w:eastAsia="Arial" w:hAnsi="Arial"/>
          <w:sz w:val="14"/>
          <w:szCs w:val="14"/>
          <w:color w:val="auto"/>
        </w:rPr>
        <w:t>share for the quarter</w:t>
      </w:r>
    </w:p>
    <w:p>
      <w:pPr>
        <w:spacing w:after="0" w:line="38" w:lineRule="exact"/>
        <w:rPr>
          <w:sz w:val="20"/>
          <w:szCs w:val="20"/>
          <w:color w:val="auto"/>
        </w:rPr>
      </w:pPr>
    </w:p>
    <w:p>
      <w:pPr>
        <w:ind w:left="20" w:right="140"/>
        <w:spacing w:after="0" w:line="294" w:lineRule="auto"/>
        <w:rPr>
          <w:sz w:val="20"/>
          <w:szCs w:val="20"/>
          <w:color w:val="auto"/>
        </w:rPr>
      </w:pPr>
      <w:r>
        <w:rPr>
          <w:rFonts w:ascii="Arial" w:cs="Arial" w:eastAsia="Arial" w:hAnsi="Arial"/>
          <w:sz w:val="14"/>
          <w:szCs w:val="14"/>
          <w:b w:val="1"/>
          <w:bCs w:val="1"/>
          <w:color w:val="auto"/>
        </w:rPr>
        <w:t xml:space="preserve">$0.12 </w:t>
      </w:r>
      <w:r>
        <w:rPr>
          <w:rFonts w:ascii="Arial" w:cs="Arial" w:eastAsia="Arial" w:hAnsi="Arial"/>
          <w:sz w:val="14"/>
          <w:szCs w:val="14"/>
          <w:color w:val="auto"/>
        </w:rPr>
        <w:t>per share quarterly cash dividend declared, a</w:t>
      </w:r>
      <w:r>
        <w:rPr>
          <w:rFonts w:ascii="Arial" w:cs="Arial" w:eastAsia="Arial" w:hAnsi="Arial"/>
          <w:sz w:val="14"/>
          <w:szCs w:val="14"/>
          <w:b w:val="1"/>
          <w:bCs w:val="1"/>
          <w:color w:val="auto"/>
        </w:rPr>
        <w:t xml:space="preserve"> 20% </w:t>
      </w:r>
      <w:r>
        <w:rPr>
          <w:rFonts w:ascii="Arial" w:cs="Arial" w:eastAsia="Arial" w:hAnsi="Arial"/>
          <w:sz w:val="14"/>
          <w:szCs w:val="14"/>
          <w:color w:val="auto"/>
        </w:rPr>
        <w:t>per share increase from prior</w:t>
      </w:r>
      <w:r>
        <w:rPr>
          <w:rFonts w:ascii="Arial" w:cs="Arial" w:eastAsia="Arial" w:hAnsi="Arial"/>
          <w:sz w:val="14"/>
          <w:szCs w:val="14"/>
          <w:b w:val="1"/>
          <w:bCs w:val="1"/>
          <w:color w:val="auto"/>
        </w:rPr>
        <w:t xml:space="preserve"> </w:t>
      </w:r>
      <w:r>
        <w:rPr>
          <w:rFonts w:ascii="Arial" w:cs="Arial" w:eastAsia="Arial" w:hAnsi="Arial"/>
          <w:sz w:val="14"/>
          <w:szCs w:val="14"/>
          <w:color w:val="auto"/>
        </w:rPr>
        <w:t>year period</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3"/>
          <w:szCs w:val="13"/>
          <w:b w:val="1"/>
          <w:bCs w:val="1"/>
          <w:color w:val="00497F"/>
        </w:rPr>
        <w:t>Billy Hult, CEO of Tradeweb:</w:t>
      </w:r>
    </w:p>
    <w:p>
      <w:pPr>
        <w:spacing w:after="0" w:line="31" w:lineRule="exact"/>
        <w:rPr>
          <w:sz w:val="20"/>
          <w:szCs w:val="20"/>
          <w:color w:val="auto"/>
        </w:rPr>
      </w:pPr>
    </w:p>
    <w:p>
      <w:pPr>
        <w:ind w:right="140"/>
        <w:spacing w:after="0" w:line="223" w:lineRule="auto"/>
        <w:rPr>
          <w:sz w:val="20"/>
          <w:szCs w:val="20"/>
          <w:color w:val="auto"/>
        </w:rPr>
      </w:pPr>
      <w:r>
        <w:rPr>
          <w:rFonts w:ascii="Arial" w:cs="Arial" w:eastAsia="Arial" w:hAnsi="Arial"/>
          <w:sz w:val="13"/>
          <w:szCs w:val="13"/>
          <w:color w:val="auto"/>
        </w:rPr>
        <w:t>“We delivered a strong third quarter with record trading volumes and ADV, driven by broad-based growth across rates, equities and money markets. Despite historically low interest-rate volatility and ongoing geopolitical uncertainty, we continued to execute on opportunities that positioned us to drive meaningful change across our markets – and this commitment was reflected in our sustained momentum and strong volumes.</w:t>
      </w:r>
    </w:p>
    <w:p>
      <w:pPr>
        <w:spacing w:after="0" w:line="187" w:lineRule="exact"/>
        <w:rPr>
          <w:sz w:val="20"/>
          <w:szCs w:val="20"/>
          <w:color w:val="auto"/>
        </w:rPr>
      </w:pPr>
    </w:p>
    <w:p>
      <w:pPr>
        <w:ind w:right="40"/>
        <w:spacing w:after="0" w:line="219" w:lineRule="auto"/>
        <w:rPr>
          <w:sz w:val="20"/>
          <w:szCs w:val="20"/>
          <w:color w:val="auto"/>
        </w:rPr>
      </w:pPr>
      <w:r>
        <w:rPr>
          <w:rFonts w:ascii="Arial" w:cs="Arial" w:eastAsia="Arial" w:hAnsi="Arial"/>
          <w:sz w:val="13"/>
          <w:szCs w:val="13"/>
          <w:color w:val="auto"/>
        </w:rPr>
        <w:t>This quarter was also defined by several market milestones across both our legacy businesses and emerging areas – including the successful execution of the first fully electronic bilateral multi -asset package list trade and the first fully automated European government bond basis RFQ trade. We advanced the goal of building more interconnected markets and 24/7 liquidity by working with the Canton Network to offer the first real-time, fully on-chain financing of U.S. Treasuries against USDC. Additionally, alongside other investors, we led Fnality’s Series C funding round, supporting the development of a next-gen global settlement network.</w:t>
      </w:r>
    </w:p>
    <w:p>
      <w:pPr>
        <w:spacing w:after="0" w:line="189" w:lineRule="exact"/>
        <w:rPr>
          <w:sz w:val="20"/>
          <w:szCs w:val="20"/>
          <w:color w:val="auto"/>
        </w:rPr>
      </w:pPr>
    </w:p>
    <w:p>
      <w:pPr>
        <w:spacing w:after="0" w:line="225" w:lineRule="auto"/>
        <w:rPr>
          <w:sz w:val="20"/>
          <w:szCs w:val="20"/>
          <w:color w:val="auto"/>
        </w:rPr>
      </w:pPr>
      <w:r>
        <w:rPr>
          <w:rFonts w:ascii="Arial" w:cs="Arial" w:eastAsia="Arial" w:hAnsi="Arial"/>
          <w:sz w:val="13"/>
          <w:szCs w:val="13"/>
          <w:color w:val="auto"/>
        </w:rPr>
        <w:t>These initiatives showcase the central role we play in the evolution of global markets – and our commitment to working closely with clients to build a more transparent global fixed income marketplace. As we look ahead to 2026, we’ll remain focused on leading initiatives that advance innovation and drive purposeful change.”</w:t>
      </w:r>
    </w:p>
    <w:p>
      <w:pPr>
        <w:spacing w:after="0" w:line="200" w:lineRule="exact"/>
        <w:rPr>
          <w:sz w:val="20"/>
          <w:szCs w:val="20"/>
          <w:color w:val="auto"/>
        </w:rPr>
      </w:pPr>
    </w:p>
    <w:p>
      <w:pPr>
        <w:sectPr>
          <w:pgSz w:w="11900" w:h="16840" w:orient="portrait"/>
          <w:cols w:equalWidth="0" w:num="2">
            <w:col w:w="5620" w:space="140"/>
            <w:col w:w="4480"/>
          </w:cols>
          <w:pgMar w:left="660" w:top="605" w:right="100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720" w:type="dxa"/>
            <w:vAlign w:val="bottom"/>
            <w:shd w:val="clear" w:color="auto" w:fill="083566"/>
          </w:tcPr>
          <w:p>
            <w:pPr>
              <w:spacing w:after="0"/>
              <w:rPr>
                <w:sz w:val="15"/>
                <w:szCs w:val="15"/>
                <w:color w:val="auto"/>
              </w:rPr>
            </w:pPr>
          </w:p>
        </w:tc>
        <w:tc>
          <w:tcPr>
            <w:tcW w:w="180" w:type="dxa"/>
            <w:vAlign w:val="bottom"/>
            <w:shd w:val="clear" w:color="auto" w:fill="083566"/>
          </w:tcPr>
          <w:p>
            <w:pPr>
              <w:spacing w:after="0"/>
              <w:rPr>
                <w:sz w:val="15"/>
                <w:szCs w:val="15"/>
                <w:color w:val="auto"/>
              </w:rPr>
            </w:pPr>
          </w:p>
        </w:tc>
        <w:tc>
          <w:tcPr>
            <w:tcW w:w="720" w:type="dxa"/>
            <w:vAlign w:val="bottom"/>
            <w:shd w:val="clear" w:color="auto" w:fill="083566"/>
          </w:tcPr>
          <w:p>
            <w:pPr>
              <w:spacing w:after="0"/>
              <w:rPr>
                <w:sz w:val="15"/>
                <w:szCs w:val="15"/>
                <w:color w:val="auto"/>
              </w:rPr>
            </w:pPr>
          </w:p>
        </w:tc>
        <w:tc>
          <w:tcPr>
            <w:tcW w:w="240" w:type="dxa"/>
            <w:vAlign w:val="bottom"/>
            <w:shd w:val="clear" w:color="auto" w:fill="083566"/>
          </w:tcPr>
          <w:p>
            <w:pPr>
              <w:spacing w:after="0"/>
              <w:rPr>
                <w:sz w:val="15"/>
                <w:szCs w:val="15"/>
                <w:color w:val="auto"/>
              </w:rPr>
            </w:pPr>
          </w:p>
        </w:tc>
        <w:tc>
          <w:tcPr>
            <w:tcW w:w="1040" w:type="dxa"/>
            <w:vAlign w:val="bottom"/>
            <w:shd w:val="clear" w:color="auto" w:fill="083566"/>
          </w:tcPr>
          <w:p>
            <w:pPr>
              <w:spacing w:after="0"/>
              <w:rPr>
                <w:sz w:val="15"/>
                <w:szCs w:val="15"/>
                <w:color w:val="auto"/>
              </w:rPr>
            </w:pPr>
          </w:p>
        </w:tc>
        <w:tc>
          <w:tcPr>
            <w:tcW w:w="760" w:type="dxa"/>
            <w:vAlign w:val="bottom"/>
            <w:shd w:val="clear" w:color="auto" w:fill="083566"/>
          </w:tcPr>
          <w:p>
            <w:pPr>
              <w:spacing w:after="0"/>
              <w:rPr>
                <w:sz w:val="15"/>
                <w:szCs w:val="15"/>
                <w:color w:val="auto"/>
              </w:rPr>
            </w:pPr>
          </w:p>
        </w:tc>
        <w:tc>
          <w:tcPr>
            <w:tcW w:w="1020" w:type="dxa"/>
            <w:vAlign w:val="bottom"/>
            <w:gridSpan w:val="2"/>
            <w:shd w:val="clear" w:color="auto" w:fill="083566"/>
          </w:tcPr>
          <w:p>
            <w:pPr>
              <w:ind w:left="220"/>
              <w:spacing w:after="0"/>
              <w:rPr>
                <w:sz w:val="20"/>
                <w:szCs w:val="20"/>
                <w:color w:val="auto"/>
              </w:rPr>
            </w:pPr>
            <w:r>
              <w:rPr>
                <w:rFonts w:ascii="Arial" w:cs="Arial" w:eastAsia="Arial" w:hAnsi="Arial"/>
                <w:sz w:val="14"/>
                <w:szCs w:val="14"/>
                <w:b w:val="1"/>
                <w:bCs w:val="1"/>
                <w:color w:val="FFFFFF"/>
              </w:rPr>
              <w:t>Constant</w:t>
            </w:r>
          </w:p>
        </w:tc>
        <w:tc>
          <w:tcPr>
            <w:tcW w:w="80" w:type="dxa"/>
            <w:vAlign w:val="bottom"/>
          </w:tcPr>
          <w:p>
            <w:pPr>
              <w:spacing w:after="0"/>
              <w:rPr>
                <w:sz w:val="15"/>
                <w:szCs w:val="15"/>
                <w:color w:val="auto"/>
              </w:rPr>
            </w:pPr>
          </w:p>
        </w:tc>
        <w:tc>
          <w:tcPr>
            <w:tcW w:w="1080" w:type="dxa"/>
            <w:vAlign w:val="bottom"/>
            <w:shd w:val="clear" w:color="auto" w:fill="083566"/>
          </w:tcPr>
          <w:p>
            <w:pPr>
              <w:spacing w:after="0"/>
              <w:rPr>
                <w:sz w:val="15"/>
                <w:szCs w:val="15"/>
                <w:color w:val="auto"/>
              </w:rPr>
            </w:pPr>
          </w:p>
        </w:tc>
        <w:tc>
          <w:tcPr>
            <w:tcW w:w="940" w:type="dxa"/>
            <w:vAlign w:val="bottom"/>
            <w:shd w:val="clear" w:color="auto" w:fill="083566"/>
          </w:tcPr>
          <w:p>
            <w:pPr>
              <w:spacing w:after="0"/>
              <w:rPr>
                <w:sz w:val="15"/>
                <w:szCs w:val="15"/>
                <w:color w:val="auto"/>
              </w:rPr>
            </w:pPr>
          </w:p>
        </w:tc>
        <w:tc>
          <w:tcPr>
            <w:tcW w:w="320" w:type="dxa"/>
            <w:vAlign w:val="bottom"/>
            <w:shd w:val="clear" w:color="auto" w:fill="083566"/>
          </w:tcPr>
          <w:p>
            <w:pPr>
              <w:spacing w:after="0"/>
              <w:rPr>
                <w:sz w:val="15"/>
                <w:szCs w:val="15"/>
                <w:color w:val="auto"/>
              </w:rPr>
            </w:pPr>
          </w:p>
        </w:tc>
        <w:tc>
          <w:tcPr>
            <w:tcW w:w="520" w:type="dxa"/>
            <w:vAlign w:val="bottom"/>
            <w:shd w:val="clear" w:color="auto" w:fill="083566"/>
          </w:tcPr>
          <w:p>
            <w:pPr>
              <w:spacing w:after="0"/>
              <w:rPr>
                <w:sz w:val="15"/>
                <w:szCs w:val="15"/>
                <w:color w:val="auto"/>
              </w:rPr>
            </w:pPr>
          </w:p>
        </w:tc>
        <w:tc>
          <w:tcPr>
            <w:tcW w:w="160" w:type="dxa"/>
            <w:vAlign w:val="bottom"/>
            <w:shd w:val="clear" w:color="auto" w:fill="083566"/>
          </w:tcPr>
          <w:p>
            <w:pPr>
              <w:spacing w:after="0"/>
              <w:rPr>
                <w:sz w:val="15"/>
                <w:szCs w:val="15"/>
                <w:color w:val="auto"/>
              </w:rPr>
            </w:pPr>
          </w:p>
        </w:tc>
        <w:tc>
          <w:tcPr>
            <w:tcW w:w="700" w:type="dxa"/>
            <w:vAlign w:val="bottom"/>
            <w:shd w:val="clear" w:color="auto" w:fill="083566"/>
          </w:tcPr>
          <w:p>
            <w:pPr>
              <w:spacing w:after="0"/>
              <w:rPr>
                <w:sz w:val="15"/>
                <w:szCs w:val="15"/>
                <w:color w:val="auto"/>
              </w:rPr>
            </w:pPr>
          </w:p>
        </w:tc>
        <w:tc>
          <w:tcPr>
            <w:tcW w:w="760" w:type="dxa"/>
            <w:vAlign w:val="bottom"/>
            <w:shd w:val="clear" w:color="auto" w:fill="083566"/>
          </w:tcPr>
          <w:p>
            <w:pPr>
              <w:spacing w:after="0"/>
              <w:rPr>
                <w:sz w:val="15"/>
                <w:szCs w:val="15"/>
                <w:color w:val="auto"/>
              </w:rPr>
            </w:pPr>
          </w:p>
        </w:tc>
      </w:tr>
      <w:tr>
        <w:trPr>
          <w:trHeight w:val="167"/>
        </w:trPr>
        <w:tc>
          <w:tcPr>
            <w:tcW w:w="1720" w:type="dxa"/>
            <w:vAlign w:val="bottom"/>
            <w:shd w:val="clear" w:color="auto" w:fill="083566"/>
          </w:tcPr>
          <w:p>
            <w:pPr>
              <w:ind w:left="20"/>
              <w:spacing w:after="0"/>
              <w:rPr>
                <w:sz w:val="20"/>
                <w:szCs w:val="20"/>
                <w:color w:val="auto"/>
              </w:rPr>
            </w:pPr>
            <w:r>
              <w:rPr>
                <w:rFonts w:ascii="Arial" w:cs="Arial" w:eastAsia="Arial" w:hAnsi="Arial"/>
                <w:sz w:val="14"/>
                <w:szCs w:val="14"/>
                <w:b w:val="1"/>
                <w:bCs w:val="1"/>
                <w:color w:val="FFFFFF"/>
              </w:rPr>
              <w:t>SELECT FINANCIAL</w:t>
            </w:r>
          </w:p>
        </w:tc>
        <w:tc>
          <w:tcPr>
            <w:tcW w:w="180" w:type="dxa"/>
            <w:vAlign w:val="bottom"/>
            <w:shd w:val="clear" w:color="auto" w:fill="083566"/>
          </w:tcPr>
          <w:p>
            <w:pPr>
              <w:spacing w:after="0"/>
              <w:rPr>
                <w:sz w:val="14"/>
                <w:szCs w:val="14"/>
                <w:color w:val="auto"/>
              </w:rPr>
            </w:pPr>
          </w:p>
        </w:tc>
        <w:tc>
          <w:tcPr>
            <w:tcW w:w="720" w:type="dxa"/>
            <w:vAlign w:val="bottom"/>
            <w:shd w:val="clear" w:color="auto" w:fill="083566"/>
          </w:tcPr>
          <w:p>
            <w:pPr>
              <w:spacing w:after="0"/>
              <w:rPr>
                <w:sz w:val="14"/>
                <w:szCs w:val="14"/>
                <w:color w:val="auto"/>
              </w:rPr>
            </w:pPr>
          </w:p>
        </w:tc>
        <w:tc>
          <w:tcPr>
            <w:tcW w:w="240" w:type="dxa"/>
            <w:vAlign w:val="bottom"/>
            <w:shd w:val="clear" w:color="auto" w:fill="083566"/>
          </w:tcPr>
          <w:p>
            <w:pPr>
              <w:spacing w:after="0"/>
              <w:rPr>
                <w:sz w:val="14"/>
                <w:szCs w:val="14"/>
                <w:color w:val="auto"/>
              </w:rPr>
            </w:pPr>
          </w:p>
        </w:tc>
        <w:tc>
          <w:tcPr>
            <w:tcW w:w="1040" w:type="dxa"/>
            <w:vAlign w:val="bottom"/>
            <w:shd w:val="clear" w:color="auto" w:fill="083566"/>
          </w:tcPr>
          <w:p>
            <w:pPr>
              <w:spacing w:after="0"/>
              <w:rPr>
                <w:sz w:val="14"/>
                <w:szCs w:val="14"/>
                <w:color w:val="auto"/>
              </w:rPr>
            </w:pPr>
          </w:p>
        </w:tc>
        <w:tc>
          <w:tcPr>
            <w:tcW w:w="760" w:type="dxa"/>
            <w:vAlign w:val="bottom"/>
            <w:shd w:val="clear" w:color="auto" w:fill="083566"/>
          </w:tcPr>
          <w:p>
            <w:pPr>
              <w:spacing w:after="0"/>
              <w:rPr>
                <w:sz w:val="14"/>
                <w:szCs w:val="14"/>
                <w:color w:val="auto"/>
              </w:rPr>
            </w:pPr>
          </w:p>
        </w:tc>
        <w:tc>
          <w:tcPr>
            <w:tcW w:w="1020" w:type="dxa"/>
            <w:vAlign w:val="bottom"/>
            <w:gridSpan w:val="2"/>
            <w:shd w:val="clear" w:color="auto" w:fill="083566"/>
          </w:tcPr>
          <w:p>
            <w:pPr>
              <w:ind w:left="200"/>
              <w:spacing w:after="0"/>
              <w:rPr>
                <w:sz w:val="20"/>
                <w:szCs w:val="20"/>
                <w:color w:val="auto"/>
              </w:rPr>
            </w:pPr>
            <w:r>
              <w:rPr>
                <w:rFonts w:ascii="Arial" w:cs="Arial" w:eastAsia="Arial" w:hAnsi="Arial"/>
                <w:sz w:val="14"/>
                <w:szCs w:val="14"/>
                <w:b w:val="1"/>
                <w:bCs w:val="1"/>
                <w:color w:val="FFFFFF"/>
              </w:rPr>
              <w:t>Currency</w:t>
            </w:r>
          </w:p>
        </w:tc>
        <w:tc>
          <w:tcPr>
            <w:tcW w:w="80" w:type="dxa"/>
            <w:vAlign w:val="bottom"/>
          </w:tcPr>
          <w:p>
            <w:pPr>
              <w:spacing w:after="0"/>
              <w:rPr>
                <w:sz w:val="14"/>
                <w:szCs w:val="14"/>
                <w:color w:val="auto"/>
              </w:rPr>
            </w:pPr>
          </w:p>
        </w:tc>
        <w:tc>
          <w:tcPr>
            <w:tcW w:w="1080" w:type="dxa"/>
            <w:vAlign w:val="bottom"/>
            <w:shd w:val="clear" w:color="auto" w:fill="083566"/>
          </w:tcPr>
          <w:p>
            <w:pPr>
              <w:spacing w:after="0"/>
              <w:rPr>
                <w:sz w:val="20"/>
                <w:szCs w:val="20"/>
                <w:color w:val="auto"/>
              </w:rPr>
            </w:pPr>
            <w:r>
              <w:rPr>
                <w:rFonts w:ascii="Arial" w:cs="Arial" w:eastAsia="Arial" w:hAnsi="Arial"/>
                <w:sz w:val="14"/>
                <w:szCs w:val="14"/>
                <w:b w:val="1"/>
                <w:bCs w:val="1"/>
                <w:color w:val="FFFFFF"/>
              </w:rPr>
              <w:t xml:space="preserve">ADV </w:t>
            </w:r>
            <w:r>
              <w:rPr>
                <w:rFonts w:ascii="Arial" w:cs="Arial" w:eastAsia="Arial" w:hAnsi="Arial"/>
                <w:sz w:val="14"/>
                <w:szCs w:val="14"/>
                <w:color w:val="FFFFFF"/>
              </w:rPr>
              <w:t>(US $bn)</w:t>
            </w:r>
          </w:p>
        </w:tc>
        <w:tc>
          <w:tcPr>
            <w:tcW w:w="940" w:type="dxa"/>
            <w:vAlign w:val="bottom"/>
            <w:shd w:val="clear" w:color="auto" w:fill="083566"/>
          </w:tcPr>
          <w:p>
            <w:pPr>
              <w:spacing w:after="0"/>
              <w:rPr>
                <w:sz w:val="14"/>
                <w:szCs w:val="14"/>
                <w:color w:val="auto"/>
              </w:rPr>
            </w:pPr>
          </w:p>
        </w:tc>
        <w:tc>
          <w:tcPr>
            <w:tcW w:w="320" w:type="dxa"/>
            <w:vAlign w:val="bottom"/>
            <w:shd w:val="clear" w:color="auto" w:fill="083566"/>
          </w:tcPr>
          <w:p>
            <w:pPr>
              <w:spacing w:after="0"/>
              <w:rPr>
                <w:sz w:val="14"/>
                <w:szCs w:val="14"/>
                <w:color w:val="auto"/>
              </w:rPr>
            </w:pPr>
          </w:p>
        </w:tc>
        <w:tc>
          <w:tcPr>
            <w:tcW w:w="520" w:type="dxa"/>
            <w:vAlign w:val="bottom"/>
            <w:shd w:val="clear" w:color="auto" w:fill="083566"/>
          </w:tcPr>
          <w:p>
            <w:pPr>
              <w:spacing w:after="0"/>
              <w:rPr>
                <w:sz w:val="14"/>
                <w:szCs w:val="14"/>
                <w:color w:val="auto"/>
              </w:rPr>
            </w:pPr>
          </w:p>
        </w:tc>
        <w:tc>
          <w:tcPr>
            <w:tcW w:w="160" w:type="dxa"/>
            <w:vAlign w:val="bottom"/>
            <w:shd w:val="clear" w:color="auto" w:fill="083566"/>
          </w:tcPr>
          <w:p>
            <w:pPr>
              <w:spacing w:after="0"/>
              <w:rPr>
                <w:sz w:val="14"/>
                <w:szCs w:val="14"/>
                <w:color w:val="auto"/>
              </w:rPr>
            </w:pPr>
          </w:p>
        </w:tc>
        <w:tc>
          <w:tcPr>
            <w:tcW w:w="700" w:type="dxa"/>
            <w:vAlign w:val="bottom"/>
            <w:shd w:val="clear" w:color="auto" w:fill="083566"/>
          </w:tcPr>
          <w:p>
            <w:pPr>
              <w:spacing w:after="0"/>
              <w:rPr>
                <w:sz w:val="14"/>
                <w:szCs w:val="14"/>
                <w:color w:val="auto"/>
              </w:rPr>
            </w:pPr>
          </w:p>
        </w:tc>
        <w:tc>
          <w:tcPr>
            <w:tcW w:w="760" w:type="dxa"/>
            <w:vAlign w:val="bottom"/>
            <w:shd w:val="clear" w:color="auto" w:fill="083566"/>
          </w:tcPr>
          <w:p>
            <w:pPr>
              <w:spacing w:after="0"/>
              <w:rPr>
                <w:sz w:val="14"/>
                <w:szCs w:val="14"/>
                <w:color w:val="auto"/>
              </w:rPr>
            </w:pPr>
          </w:p>
        </w:tc>
      </w:tr>
      <w:tr>
        <w:trPr>
          <w:trHeight w:val="217"/>
        </w:trPr>
        <w:tc>
          <w:tcPr>
            <w:tcW w:w="1720" w:type="dxa"/>
            <w:vAlign w:val="bottom"/>
            <w:shd w:val="clear" w:color="auto" w:fill="083566"/>
          </w:tcPr>
          <w:p>
            <w:pPr>
              <w:ind w:left="20"/>
              <w:spacing w:after="0"/>
              <w:rPr>
                <w:sz w:val="20"/>
                <w:szCs w:val="20"/>
                <w:color w:val="auto"/>
              </w:rPr>
            </w:pPr>
            <w:r>
              <w:rPr>
                <w:rFonts w:ascii="Arial" w:cs="Arial" w:eastAsia="Arial" w:hAnsi="Arial"/>
                <w:sz w:val="14"/>
                <w:szCs w:val="14"/>
                <w:b w:val="1"/>
                <w:bCs w:val="1"/>
                <w:color w:val="FFFFFF"/>
              </w:rPr>
              <w:t>RESULTS</w:t>
            </w:r>
          </w:p>
        </w:tc>
        <w:tc>
          <w:tcPr>
            <w:tcW w:w="180" w:type="dxa"/>
            <w:vAlign w:val="bottom"/>
            <w:shd w:val="clear" w:color="auto" w:fill="083566"/>
          </w:tcPr>
          <w:p>
            <w:pPr>
              <w:spacing w:after="0"/>
              <w:rPr>
                <w:sz w:val="18"/>
                <w:szCs w:val="18"/>
                <w:color w:val="auto"/>
              </w:rPr>
            </w:pPr>
          </w:p>
        </w:tc>
        <w:tc>
          <w:tcPr>
            <w:tcW w:w="720" w:type="dxa"/>
            <w:vAlign w:val="bottom"/>
            <w:shd w:val="clear" w:color="auto" w:fill="083566"/>
          </w:tcPr>
          <w:p>
            <w:pPr>
              <w:jc w:val="right"/>
              <w:ind w:right="148"/>
              <w:spacing w:after="0"/>
              <w:rPr>
                <w:sz w:val="20"/>
                <w:szCs w:val="20"/>
                <w:color w:val="auto"/>
              </w:rPr>
            </w:pPr>
            <w:r>
              <w:rPr>
                <w:rFonts w:ascii="Arial" w:cs="Arial" w:eastAsia="Arial" w:hAnsi="Arial"/>
                <w:sz w:val="14"/>
                <w:szCs w:val="14"/>
                <w:b w:val="1"/>
                <w:bCs w:val="1"/>
                <w:color w:val="FFFFFF"/>
              </w:rPr>
              <w:t>3Q25</w:t>
            </w:r>
          </w:p>
        </w:tc>
        <w:tc>
          <w:tcPr>
            <w:tcW w:w="240" w:type="dxa"/>
            <w:vAlign w:val="bottom"/>
            <w:shd w:val="clear" w:color="auto" w:fill="083566"/>
          </w:tcPr>
          <w:p>
            <w:pPr>
              <w:spacing w:after="0"/>
              <w:rPr>
                <w:sz w:val="18"/>
                <w:szCs w:val="18"/>
                <w:color w:val="auto"/>
              </w:rPr>
            </w:pPr>
          </w:p>
        </w:tc>
        <w:tc>
          <w:tcPr>
            <w:tcW w:w="1040" w:type="dxa"/>
            <w:vAlign w:val="bottom"/>
            <w:shd w:val="clear" w:color="auto" w:fill="083566"/>
          </w:tcPr>
          <w:p>
            <w:pPr>
              <w:jc w:val="right"/>
              <w:ind w:right="468"/>
              <w:spacing w:after="0"/>
              <w:rPr>
                <w:sz w:val="20"/>
                <w:szCs w:val="20"/>
                <w:color w:val="auto"/>
              </w:rPr>
            </w:pPr>
            <w:r>
              <w:rPr>
                <w:rFonts w:ascii="Arial" w:cs="Arial" w:eastAsia="Arial" w:hAnsi="Arial"/>
                <w:sz w:val="14"/>
                <w:szCs w:val="14"/>
                <w:b w:val="1"/>
                <w:bCs w:val="1"/>
                <w:color w:val="FFFFFF"/>
              </w:rPr>
              <w:t>3Q24</w:t>
            </w:r>
          </w:p>
        </w:tc>
        <w:tc>
          <w:tcPr>
            <w:tcW w:w="760" w:type="dxa"/>
            <w:vAlign w:val="bottom"/>
            <w:shd w:val="clear" w:color="auto" w:fill="083566"/>
          </w:tcPr>
          <w:p>
            <w:pPr>
              <w:jc w:val="right"/>
              <w:ind w:right="148"/>
              <w:spacing w:after="0"/>
              <w:rPr>
                <w:sz w:val="20"/>
                <w:szCs w:val="20"/>
                <w:color w:val="auto"/>
              </w:rPr>
            </w:pPr>
            <w:r>
              <w:rPr>
                <w:rFonts w:ascii="Arial" w:cs="Arial" w:eastAsia="Arial" w:hAnsi="Arial"/>
                <w:sz w:val="14"/>
                <w:szCs w:val="14"/>
                <w:b w:val="1"/>
                <w:bCs w:val="1"/>
                <w:color w:val="FFFFFF"/>
              </w:rPr>
              <w:t>Change</w:t>
            </w:r>
          </w:p>
        </w:tc>
        <w:tc>
          <w:tcPr>
            <w:tcW w:w="1020" w:type="dxa"/>
            <w:vAlign w:val="bottom"/>
            <w:gridSpan w:val="2"/>
            <w:shd w:val="clear" w:color="auto" w:fill="083566"/>
          </w:tcPr>
          <w:p>
            <w:pPr>
              <w:ind w:left="200"/>
              <w:spacing w:after="0" w:line="216" w:lineRule="exact"/>
              <w:rPr>
                <w:sz w:val="20"/>
                <w:szCs w:val="20"/>
                <w:color w:val="auto"/>
              </w:rPr>
            </w:pPr>
            <w:r>
              <w:rPr>
                <w:rFonts w:ascii="Arial" w:cs="Arial" w:eastAsia="Arial" w:hAnsi="Arial"/>
                <w:sz w:val="14"/>
                <w:szCs w:val="14"/>
                <w:b w:val="1"/>
                <w:bCs w:val="1"/>
                <w:color w:val="FFFFFF"/>
              </w:rPr>
              <w:t>Change</w:t>
            </w:r>
            <w:r>
              <w:rPr>
                <w:rFonts w:ascii="Arial" w:cs="Arial" w:eastAsia="Arial" w:hAnsi="Arial"/>
                <w:sz w:val="19"/>
                <w:szCs w:val="19"/>
                <w:b w:val="1"/>
                <w:bCs w:val="1"/>
                <w:color w:val="FFFFFF"/>
                <w:vertAlign w:val="superscript"/>
              </w:rPr>
              <w:t>(1)</w:t>
            </w:r>
          </w:p>
        </w:tc>
        <w:tc>
          <w:tcPr>
            <w:tcW w:w="80" w:type="dxa"/>
            <w:vAlign w:val="bottom"/>
          </w:tcPr>
          <w:p>
            <w:pPr>
              <w:spacing w:after="0"/>
              <w:rPr>
                <w:sz w:val="18"/>
                <w:szCs w:val="18"/>
                <w:color w:val="auto"/>
              </w:rPr>
            </w:pPr>
          </w:p>
        </w:tc>
        <w:tc>
          <w:tcPr>
            <w:tcW w:w="1080" w:type="dxa"/>
            <w:vAlign w:val="bottom"/>
            <w:shd w:val="clear" w:color="auto" w:fill="083566"/>
          </w:tcPr>
          <w:p>
            <w:pPr>
              <w:spacing w:after="0"/>
              <w:rPr>
                <w:sz w:val="20"/>
                <w:szCs w:val="20"/>
                <w:color w:val="auto"/>
              </w:rPr>
            </w:pPr>
            <w:r>
              <w:rPr>
                <w:rFonts w:ascii="Arial" w:cs="Arial" w:eastAsia="Arial" w:hAnsi="Arial"/>
                <w:sz w:val="14"/>
                <w:szCs w:val="14"/>
                <w:color w:val="FFFFFF"/>
              </w:rPr>
              <w:t>(Unaudited)</w:t>
            </w:r>
          </w:p>
        </w:tc>
        <w:tc>
          <w:tcPr>
            <w:tcW w:w="940" w:type="dxa"/>
            <w:vAlign w:val="bottom"/>
            <w:shd w:val="clear" w:color="auto" w:fill="083566"/>
          </w:tcPr>
          <w:p>
            <w:pPr>
              <w:spacing w:after="0"/>
              <w:rPr>
                <w:sz w:val="18"/>
                <w:szCs w:val="18"/>
                <w:color w:val="auto"/>
              </w:rPr>
            </w:pPr>
          </w:p>
        </w:tc>
        <w:tc>
          <w:tcPr>
            <w:tcW w:w="320" w:type="dxa"/>
            <w:vAlign w:val="bottom"/>
            <w:shd w:val="clear" w:color="auto" w:fill="083566"/>
          </w:tcPr>
          <w:p>
            <w:pPr>
              <w:spacing w:after="0"/>
              <w:rPr>
                <w:sz w:val="18"/>
                <w:szCs w:val="18"/>
                <w:color w:val="auto"/>
              </w:rPr>
            </w:pPr>
          </w:p>
        </w:tc>
        <w:tc>
          <w:tcPr>
            <w:tcW w:w="520" w:type="dxa"/>
            <w:vAlign w:val="bottom"/>
            <w:shd w:val="clear" w:color="auto" w:fill="083566"/>
          </w:tcPr>
          <w:p>
            <w:pPr>
              <w:spacing w:after="0"/>
              <w:rPr>
                <w:sz w:val="18"/>
                <w:szCs w:val="18"/>
                <w:color w:val="auto"/>
              </w:rPr>
            </w:pPr>
          </w:p>
        </w:tc>
        <w:tc>
          <w:tcPr>
            <w:tcW w:w="160" w:type="dxa"/>
            <w:vAlign w:val="bottom"/>
            <w:shd w:val="clear" w:color="auto" w:fill="083566"/>
          </w:tcPr>
          <w:p>
            <w:pPr>
              <w:spacing w:after="0"/>
              <w:rPr>
                <w:sz w:val="18"/>
                <w:szCs w:val="18"/>
                <w:color w:val="auto"/>
              </w:rPr>
            </w:pPr>
          </w:p>
        </w:tc>
        <w:tc>
          <w:tcPr>
            <w:tcW w:w="700" w:type="dxa"/>
            <w:vAlign w:val="bottom"/>
            <w:shd w:val="clear" w:color="auto" w:fill="083566"/>
          </w:tcPr>
          <w:p>
            <w:pPr>
              <w:spacing w:after="0"/>
              <w:rPr>
                <w:sz w:val="18"/>
                <w:szCs w:val="18"/>
                <w:color w:val="auto"/>
              </w:rPr>
            </w:pPr>
          </w:p>
        </w:tc>
        <w:tc>
          <w:tcPr>
            <w:tcW w:w="760" w:type="dxa"/>
            <w:vAlign w:val="bottom"/>
            <w:shd w:val="clear" w:color="auto" w:fill="083566"/>
          </w:tcPr>
          <w:p>
            <w:pPr>
              <w:spacing w:after="0"/>
              <w:rPr>
                <w:sz w:val="18"/>
                <w:szCs w:val="18"/>
                <w:color w:val="auto"/>
              </w:rPr>
            </w:pPr>
          </w:p>
        </w:tc>
      </w:tr>
      <w:tr>
        <w:trPr>
          <w:trHeight w:val="204"/>
        </w:trPr>
        <w:tc>
          <w:tcPr>
            <w:tcW w:w="3900" w:type="dxa"/>
            <w:vAlign w:val="bottom"/>
            <w:gridSpan w:val="5"/>
            <w:shd w:val="clear" w:color="auto" w:fill="083566"/>
          </w:tcPr>
          <w:p>
            <w:pPr>
              <w:ind w:left="20"/>
              <w:spacing w:after="0"/>
              <w:rPr>
                <w:sz w:val="20"/>
                <w:szCs w:val="20"/>
                <w:color w:val="auto"/>
              </w:rPr>
            </w:pPr>
            <w:r>
              <w:rPr>
                <w:rFonts w:ascii="Arial" w:cs="Arial" w:eastAsia="Arial" w:hAnsi="Arial"/>
                <w:sz w:val="14"/>
                <w:szCs w:val="14"/>
                <w:color w:val="FFFFFF"/>
              </w:rPr>
              <w:t>(dollars in thousands, except per share amounts)(Unaudited)</w:t>
            </w:r>
          </w:p>
        </w:tc>
        <w:tc>
          <w:tcPr>
            <w:tcW w:w="760" w:type="dxa"/>
            <w:vAlign w:val="bottom"/>
            <w:shd w:val="clear" w:color="auto" w:fill="083566"/>
          </w:tcPr>
          <w:p>
            <w:pPr>
              <w:spacing w:after="0"/>
              <w:rPr>
                <w:sz w:val="17"/>
                <w:szCs w:val="17"/>
                <w:color w:val="auto"/>
              </w:rPr>
            </w:pPr>
          </w:p>
        </w:tc>
        <w:tc>
          <w:tcPr>
            <w:tcW w:w="580" w:type="dxa"/>
            <w:vAlign w:val="bottom"/>
            <w:shd w:val="clear" w:color="auto" w:fill="083566"/>
          </w:tcPr>
          <w:p>
            <w:pPr>
              <w:spacing w:after="0"/>
              <w:rPr>
                <w:sz w:val="17"/>
                <w:szCs w:val="17"/>
                <w:color w:val="auto"/>
              </w:rPr>
            </w:pPr>
          </w:p>
        </w:tc>
        <w:tc>
          <w:tcPr>
            <w:tcW w:w="440" w:type="dxa"/>
            <w:vAlign w:val="bottom"/>
            <w:shd w:val="clear" w:color="auto" w:fill="083566"/>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shd w:val="clear" w:color="auto" w:fill="083566"/>
          </w:tcPr>
          <w:p>
            <w:pPr>
              <w:spacing w:after="0"/>
              <w:rPr>
                <w:sz w:val="20"/>
                <w:szCs w:val="20"/>
                <w:color w:val="auto"/>
              </w:rPr>
            </w:pPr>
            <w:r>
              <w:rPr>
                <w:rFonts w:ascii="Arial" w:cs="Arial" w:eastAsia="Arial" w:hAnsi="Arial"/>
                <w:sz w:val="14"/>
                <w:szCs w:val="14"/>
                <w:b w:val="1"/>
                <w:bCs w:val="1"/>
                <w:color w:val="FFFFFF"/>
              </w:rPr>
              <w:t>Asset Class</w:t>
            </w:r>
          </w:p>
        </w:tc>
        <w:tc>
          <w:tcPr>
            <w:tcW w:w="940" w:type="dxa"/>
            <w:vAlign w:val="bottom"/>
            <w:shd w:val="clear" w:color="auto" w:fill="083566"/>
          </w:tcPr>
          <w:p>
            <w:pPr>
              <w:ind w:left="20"/>
              <w:spacing w:after="0"/>
              <w:rPr>
                <w:sz w:val="20"/>
                <w:szCs w:val="20"/>
                <w:color w:val="auto"/>
              </w:rPr>
            </w:pPr>
            <w:r>
              <w:rPr>
                <w:rFonts w:ascii="Arial" w:cs="Arial" w:eastAsia="Arial" w:hAnsi="Arial"/>
                <w:sz w:val="14"/>
                <w:szCs w:val="14"/>
                <w:b w:val="1"/>
                <w:bCs w:val="1"/>
                <w:color w:val="FFFFFF"/>
              </w:rPr>
              <w:t>Product</w:t>
            </w:r>
          </w:p>
        </w:tc>
        <w:tc>
          <w:tcPr>
            <w:tcW w:w="320" w:type="dxa"/>
            <w:vAlign w:val="bottom"/>
            <w:shd w:val="clear" w:color="auto" w:fill="083566"/>
          </w:tcPr>
          <w:p>
            <w:pPr>
              <w:spacing w:after="0"/>
              <w:rPr>
                <w:sz w:val="17"/>
                <w:szCs w:val="17"/>
                <w:color w:val="auto"/>
              </w:rPr>
            </w:pPr>
          </w:p>
        </w:tc>
        <w:tc>
          <w:tcPr>
            <w:tcW w:w="520" w:type="dxa"/>
            <w:vAlign w:val="bottom"/>
            <w:shd w:val="clear" w:color="auto" w:fill="083566"/>
          </w:tcPr>
          <w:p>
            <w:pPr>
              <w:jc w:val="right"/>
              <w:ind w:right="68"/>
              <w:spacing w:after="0"/>
              <w:rPr>
                <w:sz w:val="20"/>
                <w:szCs w:val="20"/>
                <w:color w:val="auto"/>
              </w:rPr>
            </w:pPr>
            <w:r>
              <w:rPr>
                <w:rFonts w:ascii="Arial" w:cs="Arial" w:eastAsia="Arial" w:hAnsi="Arial"/>
                <w:sz w:val="14"/>
                <w:szCs w:val="14"/>
                <w:b w:val="1"/>
                <w:bCs w:val="1"/>
                <w:color w:val="FFFFFF"/>
              </w:rPr>
              <w:t>3Q25</w:t>
            </w:r>
          </w:p>
        </w:tc>
        <w:tc>
          <w:tcPr>
            <w:tcW w:w="160" w:type="dxa"/>
            <w:vAlign w:val="bottom"/>
            <w:shd w:val="clear" w:color="auto" w:fill="083566"/>
          </w:tcPr>
          <w:p>
            <w:pPr>
              <w:spacing w:after="0"/>
              <w:rPr>
                <w:sz w:val="17"/>
                <w:szCs w:val="17"/>
                <w:color w:val="auto"/>
              </w:rPr>
            </w:pPr>
          </w:p>
        </w:tc>
        <w:tc>
          <w:tcPr>
            <w:tcW w:w="700" w:type="dxa"/>
            <w:vAlign w:val="bottom"/>
            <w:shd w:val="clear" w:color="auto" w:fill="083566"/>
          </w:tcPr>
          <w:p>
            <w:pPr>
              <w:jc w:val="right"/>
              <w:ind w:right="248"/>
              <w:spacing w:after="0"/>
              <w:rPr>
                <w:sz w:val="20"/>
                <w:szCs w:val="20"/>
                <w:color w:val="auto"/>
              </w:rPr>
            </w:pPr>
            <w:r>
              <w:rPr>
                <w:rFonts w:ascii="Arial" w:cs="Arial" w:eastAsia="Arial" w:hAnsi="Arial"/>
                <w:sz w:val="14"/>
                <w:szCs w:val="14"/>
                <w:b w:val="1"/>
                <w:bCs w:val="1"/>
                <w:color w:val="FFFFFF"/>
              </w:rPr>
              <w:t>3Q24</w:t>
            </w:r>
          </w:p>
        </w:tc>
        <w:tc>
          <w:tcPr>
            <w:tcW w:w="760" w:type="dxa"/>
            <w:vAlign w:val="bottom"/>
            <w:shd w:val="clear" w:color="auto" w:fill="083566"/>
          </w:tcPr>
          <w:p>
            <w:pPr>
              <w:jc w:val="right"/>
              <w:ind w:right="228"/>
              <w:spacing w:after="0"/>
              <w:rPr>
                <w:sz w:val="20"/>
                <w:szCs w:val="20"/>
                <w:color w:val="auto"/>
              </w:rPr>
            </w:pPr>
            <w:r>
              <w:rPr>
                <w:rFonts w:ascii="Arial" w:cs="Arial" w:eastAsia="Arial" w:hAnsi="Arial"/>
                <w:sz w:val="14"/>
                <w:szCs w:val="14"/>
                <w:b w:val="1"/>
                <w:bCs w:val="1"/>
                <w:color w:val="FFFFFF"/>
              </w:rPr>
              <w:t>YoY</w:t>
            </w:r>
          </w:p>
        </w:tc>
      </w:tr>
      <w:tr>
        <w:trPr>
          <w:trHeight w:val="216"/>
        </w:trPr>
        <w:tc>
          <w:tcPr>
            <w:tcW w:w="1720" w:type="dxa"/>
            <w:vAlign w:val="bottom"/>
            <w:shd w:val="clear" w:color="auto" w:fill="D5DCE4"/>
          </w:tcPr>
          <w:p>
            <w:pPr>
              <w:ind w:left="20"/>
              <w:spacing w:after="0"/>
              <w:rPr>
                <w:sz w:val="20"/>
                <w:szCs w:val="20"/>
                <w:color w:val="auto"/>
              </w:rPr>
            </w:pPr>
            <w:r>
              <w:rPr>
                <w:rFonts w:ascii="Arial" w:cs="Arial" w:eastAsia="Arial" w:hAnsi="Arial"/>
                <w:sz w:val="14"/>
                <w:szCs w:val="14"/>
                <w:color w:val="auto"/>
              </w:rPr>
              <w:t>GAAP Financial Measures</w:t>
            </w:r>
          </w:p>
        </w:tc>
        <w:tc>
          <w:tcPr>
            <w:tcW w:w="180" w:type="dxa"/>
            <w:vAlign w:val="bottom"/>
            <w:shd w:val="clear" w:color="auto" w:fill="D5DCE4"/>
          </w:tcPr>
          <w:p>
            <w:pPr>
              <w:spacing w:after="0"/>
              <w:rPr>
                <w:sz w:val="18"/>
                <w:szCs w:val="18"/>
                <w:color w:val="auto"/>
              </w:rPr>
            </w:pPr>
          </w:p>
        </w:tc>
        <w:tc>
          <w:tcPr>
            <w:tcW w:w="720" w:type="dxa"/>
            <w:vAlign w:val="bottom"/>
            <w:shd w:val="clear" w:color="auto" w:fill="D5DCE4"/>
          </w:tcPr>
          <w:p>
            <w:pPr>
              <w:spacing w:after="0"/>
              <w:rPr>
                <w:sz w:val="18"/>
                <w:szCs w:val="18"/>
                <w:color w:val="auto"/>
              </w:rPr>
            </w:pPr>
          </w:p>
        </w:tc>
        <w:tc>
          <w:tcPr>
            <w:tcW w:w="240" w:type="dxa"/>
            <w:vAlign w:val="bottom"/>
            <w:shd w:val="clear" w:color="auto" w:fill="D5DCE4"/>
          </w:tcPr>
          <w:p>
            <w:pPr>
              <w:spacing w:after="0"/>
              <w:rPr>
                <w:sz w:val="18"/>
                <w:szCs w:val="18"/>
                <w:color w:val="auto"/>
              </w:rPr>
            </w:pPr>
          </w:p>
        </w:tc>
        <w:tc>
          <w:tcPr>
            <w:tcW w:w="1040" w:type="dxa"/>
            <w:vAlign w:val="bottom"/>
            <w:shd w:val="clear" w:color="auto" w:fill="D5DCE4"/>
          </w:tcPr>
          <w:p>
            <w:pPr>
              <w:spacing w:after="0"/>
              <w:rPr>
                <w:sz w:val="18"/>
                <w:szCs w:val="18"/>
                <w:color w:val="auto"/>
              </w:rPr>
            </w:pPr>
          </w:p>
        </w:tc>
        <w:tc>
          <w:tcPr>
            <w:tcW w:w="760" w:type="dxa"/>
            <w:vAlign w:val="bottom"/>
            <w:shd w:val="clear" w:color="auto" w:fill="D5DCE4"/>
          </w:tcPr>
          <w:p>
            <w:pPr>
              <w:spacing w:after="0"/>
              <w:rPr>
                <w:sz w:val="18"/>
                <w:szCs w:val="18"/>
                <w:color w:val="auto"/>
              </w:rPr>
            </w:pPr>
          </w:p>
        </w:tc>
        <w:tc>
          <w:tcPr>
            <w:tcW w:w="58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Rates</w:t>
            </w:r>
          </w:p>
        </w:tc>
        <w:tc>
          <w:tcPr>
            <w:tcW w:w="940" w:type="dxa"/>
            <w:vAlign w:val="bottom"/>
          </w:tcPr>
          <w:p>
            <w:pPr>
              <w:ind w:left="20"/>
              <w:spacing w:after="0"/>
              <w:rPr>
                <w:sz w:val="20"/>
                <w:szCs w:val="20"/>
                <w:color w:val="auto"/>
              </w:rPr>
            </w:pPr>
            <w:r>
              <w:rPr>
                <w:rFonts w:ascii="Arial" w:cs="Arial" w:eastAsia="Arial" w:hAnsi="Arial"/>
                <w:sz w:val="14"/>
                <w:szCs w:val="14"/>
                <w:color w:val="auto"/>
              </w:rPr>
              <w:t>Cash</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535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497</w:t>
            </w:r>
          </w:p>
        </w:tc>
        <w:tc>
          <w:tcPr>
            <w:tcW w:w="760" w:type="dxa"/>
            <w:vAlign w:val="bottom"/>
          </w:tcPr>
          <w:p>
            <w:pPr>
              <w:jc w:val="right"/>
              <w:spacing w:after="0"/>
              <w:rPr>
                <w:sz w:val="20"/>
                <w:szCs w:val="20"/>
                <w:color w:val="auto"/>
              </w:rPr>
            </w:pPr>
            <w:r>
              <w:rPr>
                <w:rFonts w:ascii="Arial" w:cs="Arial" w:eastAsia="Arial" w:hAnsi="Arial"/>
                <w:sz w:val="14"/>
                <w:szCs w:val="14"/>
                <w:color w:val="auto"/>
              </w:rPr>
              <w:t>7.6 %</w:t>
            </w:r>
          </w:p>
        </w:tc>
      </w:tr>
      <w:tr>
        <w:trPr>
          <w:trHeight w:val="209"/>
        </w:trPr>
        <w:tc>
          <w:tcPr>
            <w:tcW w:w="1720" w:type="dxa"/>
            <w:vAlign w:val="bottom"/>
          </w:tcPr>
          <w:p>
            <w:pPr>
              <w:ind w:left="20"/>
              <w:spacing w:after="0"/>
              <w:rPr>
                <w:sz w:val="20"/>
                <w:szCs w:val="20"/>
                <w:color w:val="auto"/>
              </w:rPr>
            </w:pPr>
            <w:r>
              <w:rPr>
                <w:rFonts w:ascii="Arial" w:cs="Arial" w:eastAsia="Arial" w:hAnsi="Arial"/>
                <w:sz w:val="14"/>
                <w:szCs w:val="14"/>
                <w:color w:val="auto"/>
              </w:rPr>
              <w:t>Total revenue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508,598</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448,915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13.3 %</w:t>
            </w:r>
          </w:p>
        </w:tc>
        <w:tc>
          <w:tcPr>
            <w:tcW w:w="580" w:type="dxa"/>
            <w:vAlign w:val="bottom"/>
          </w:tcPr>
          <w:p>
            <w:pPr>
              <w:jc w:val="right"/>
              <w:spacing w:after="0"/>
              <w:rPr>
                <w:sz w:val="20"/>
                <w:szCs w:val="20"/>
                <w:color w:val="auto"/>
              </w:rPr>
            </w:pPr>
            <w:r>
              <w:rPr>
                <w:rFonts w:ascii="Arial" w:cs="Arial" w:eastAsia="Arial" w:hAnsi="Arial"/>
                <w:sz w:val="14"/>
                <w:szCs w:val="14"/>
                <w:color w:val="auto"/>
              </w:rPr>
              <w:t>11.3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921</w:t>
            </w:r>
          </w:p>
        </w:tc>
        <w:tc>
          <w:tcPr>
            <w:tcW w:w="160" w:type="dxa"/>
            <w:vAlign w:val="bottom"/>
          </w:tcPr>
          <w:p>
            <w:pPr>
              <w:spacing w:after="0"/>
              <w:rPr>
                <w:sz w:val="18"/>
                <w:szCs w:val="18"/>
                <w:color w:val="auto"/>
              </w:rPr>
            </w:pPr>
          </w:p>
        </w:tc>
        <w:tc>
          <w:tcPr>
            <w:tcW w:w="700" w:type="dxa"/>
            <w:vAlign w:val="bottom"/>
          </w:tcPr>
          <w:p>
            <w:pPr>
              <w:jc w:val="right"/>
              <w:ind w:right="128"/>
              <w:spacing w:after="0"/>
              <w:rPr>
                <w:sz w:val="20"/>
                <w:szCs w:val="20"/>
                <w:color w:val="auto"/>
              </w:rPr>
            </w:pPr>
            <w:r>
              <w:rPr>
                <w:rFonts w:ascii="Arial" w:cs="Arial" w:eastAsia="Arial" w:hAnsi="Arial"/>
                <w:sz w:val="14"/>
                <w:szCs w:val="14"/>
                <w:color w:val="auto"/>
              </w:rPr>
              <w:t>802</w:t>
            </w:r>
          </w:p>
        </w:tc>
        <w:tc>
          <w:tcPr>
            <w:tcW w:w="760" w:type="dxa"/>
            <w:vAlign w:val="bottom"/>
          </w:tcPr>
          <w:p>
            <w:pPr>
              <w:jc w:val="right"/>
              <w:spacing w:after="0"/>
              <w:rPr>
                <w:sz w:val="20"/>
                <w:szCs w:val="20"/>
                <w:color w:val="auto"/>
              </w:rPr>
            </w:pPr>
            <w:r>
              <w:rPr>
                <w:rFonts w:ascii="Arial" w:cs="Arial" w:eastAsia="Arial" w:hAnsi="Arial"/>
                <w:sz w:val="14"/>
                <w:szCs w:val="14"/>
                <w:color w:val="auto"/>
              </w:rPr>
              <w:t>14.9 %</w:t>
            </w:r>
          </w:p>
        </w:tc>
      </w:tr>
      <w:tr>
        <w:trPr>
          <w:trHeight w:val="216"/>
        </w:trPr>
        <w:tc>
          <w:tcPr>
            <w:tcW w:w="1720" w:type="dxa"/>
            <w:vAlign w:val="bottom"/>
          </w:tcPr>
          <w:p>
            <w:pPr>
              <w:ind w:left="120"/>
              <w:spacing w:after="0"/>
              <w:rPr>
                <w:sz w:val="20"/>
                <w:szCs w:val="20"/>
                <w:color w:val="auto"/>
              </w:rPr>
            </w:pPr>
            <w:r>
              <w:rPr>
                <w:rFonts w:ascii="Arial" w:cs="Arial" w:eastAsia="Arial" w:hAnsi="Arial"/>
                <w:sz w:val="14"/>
                <w:szCs w:val="14"/>
                <w:color w:val="auto"/>
              </w:rPr>
              <w:t>Rates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274,497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233,122</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17.7 %</w:t>
            </w:r>
          </w:p>
        </w:tc>
        <w:tc>
          <w:tcPr>
            <w:tcW w:w="580" w:type="dxa"/>
            <w:vAlign w:val="bottom"/>
          </w:tcPr>
          <w:p>
            <w:pPr>
              <w:jc w:val="right"/>
              <w:spacing w:after="0"/>
              <w:rPr>
                <w:sz w:val="20"/>
                <w:szCs w:val="20"/>
                <w:color w:val="auto"/>
              </w:rPr>
            </w:pPr>
            <w:r>
              <w:rPr>
                <w:rFonts w:ascii="Arial" w:cs="Arial" w:eastAsia="Arial" w:hAnsi="Arial"/>
                <w:sz w:val="14"/>
                <w:szCs w:val="14"/>
                <w:color w:val="auto"/>
              </w:rPr>
              <w:t>15.3</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80" w:type="dxa"/>
            <w:vAlign w:val="bottom"/>
            <w:tcBorders>
              <w:bottom w:val="single" w:sz="8" w:color="083566"/>
            </w:tcBorders>
          </w:tcPr>
          <w:p>
            <w:pPr>
              <w:spacing w:after="0"/>
              <w:rPr>
                <w:sz w:val="18"/>
                <w:szCs w:val="18"/>
                <w:color w:val="auto"/>
              </w:rPr>
            </w:pPr>
          </w:p>
        </w:tc>
        <w:tc>
          <w:tcPr>
            <w:tcW w:w="94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83566"/>
            </w:tcBorders>
            <w:shd w:val="clear" w:color="auto" w:fill="D5DCE4"/>
          </w:tcPr>
          <w:p>
            <w:pPr>
              <w:spacing w:after="0"/>
              <w:rPr>
                <w:sz w:val="18"/>
                <w:szCs w:val="18"/>
                <w:color w:val="auto"/>
              </w:rPr>
            </w:pPr>
          </w:p>
        </w:tc>
        <w:tc>
          <w:tcPr>
            <w:tcW w:w="5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1,456</w:t>
            </w:r>
          </w:p>
        </w:tc>
        <w:tc>
          <w:tcPr>
            <w:tcW w:w="160" w:type="dxa"/>
            <w:vAlign w:val="bottom"/>
            <w:tcBorders>
              <w:bottom w:val="single" w:sz="8" w:color="083566"/>
            </w:tcBorders>
            <w:shd w:val="clear" w:color="auto" w:fill="D5DCE4"/>
          </w:tcPr>
          <w:p>
            <w:pPr>
              <w:spacing w:after="0"/>
              <w:rPr>
                <w:sz w:val="18"/>
                <w:szCs w:val="18"/>
                <w:color w:val="auto"/>
              </w:rPr>
            </w:pPr>
          </w:p>
        </w:tc>
        <w:tc>
          <w:tcPr>
            <w:tcW w:w="700" w:type="dxa"/>
            <w:vAlign w:val="bottom"/>
            <w:tcBorders>
              <w:bottom w:val="single" w:sz="8" w:color="083566"/>
            </w:tcBorders>
            <w:shd w:val="clear" w:color="auto" w:fill="D5DCE4"/>
          </w:tcPr>
          <w:p>
            <w:pPr>
              <w:jc w:val="right"/>
              <w:ind w:right="128"/>
              <w:spacing w:after="0"/>
              <w:rPr>
                <w:sz w:val="20"/>
                <w:szCs w:val="20"/>
                <w:color w:val="auto"/>
              </w:rPr>
            </w:pPr>
            <w:r>
              <w:rPr>
                <w:rFonts w:ascii="Arial" w:cs="Arial" w:eastAsia="Arial" w:hAnsi="Arial"/>
                <w:sz w:val="14"/>
                <w:szCs w:val="14"/>
                <w:color w:val="auto"/>
              </w:rPr>
              <w:t>1,298</w:t>
            </w:r>
          </w:p>
        </w:tc>
        <w:tc>
          <w:tcPr>
            <w:tcW w:w="7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12.1 %</w:t>
            </w:r>
          </w:p>
        </w:tc>
      </w:tr>
      <w:tr>
        <w:trPr>
          <w:trHeight w:val="201"/>
        </w:trPr>
        <w:tc>
          <w:tcPr>
            <w:tcW w:w="1720" w:type="dxa"/>
            <w:vAlign w:val="bottom"/>
          </w:tcPr>
          <w:p>
            <w:pPr>
              <w:ind w:left="120"/>
              <w:spacing w:after="0"/>
              <w:rPr>
                <w:sz w:val="20"/>
                <w:szCs w:val="20"/>
                <w:color w:val="auto"/>
              </w:rPr>
            </w:pPr>
            <w:r>
              <w:rPr>
                <w:rFonts w:ascii="Arial" w:cs="Arial" w:eastAsia="Arial" w:hAnsi="Arial"/>
                <w:sz w:val="14"/>
                <w:szCs w:val="14"/>
                <w:color w:val="auto"/>
              </w:rPr>
              <w:t>Credit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121,334</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118,305</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2.6 %</w:t>
            </w:r>
          </w:p>
        </w:tc>
        <w:tc>
          <w:tcPr>
            <w:tcW w:w="580" w:type="dxa"/>
            <w:vAlign w:val="bottom"/>
          </w:tcPr>
          <w:p>
            <w:pPr>
              <w:jc w:val="right"/>
              <w:spacing w:after="0"/>
              <w:rPr>
                <w:sz w:val="20"/>
                <w:szCs w:val="20"/>
                <w:color w:val="auto"/>
              </w:rPr>
            </w:pPr>
            <w:r>
              <w:rPr>
                <w:rFonts w:ascii="Arial" w:cs="Arial" w:eastAsia="Arial" w:hAnsi="Arial"/>
                <w:sz w:val="14"/>
                <w:szCs w:val="14"/>
                <w:color w:val="auto"/>
              </w:rPr>
              <w:t>1.2</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Credit</w:t>
            </w:r>
          </w:p>
        </w:tc>
        <w:tc>
          <w:tcPr>
            <w:tcW w:w="940" w:type="dxa"/>
            <w:vAlign w:val="bottom"/>
          </w:tcPr>
          <w:p>
            <w:pPr>
              <w:ind w:left="20"/>
              <w:spacing w:after="0"/>
              <w:rPr>
                <w:sz w:val="20"/>
                <w:szCs w:val="20"/>
                <w:color w:val="auto"/>
              </w:rPr>
            </w:pPr>
            <w:r>
              <w:rPr>
                <w:rFonts w:ascii="Arial" w:cs="Arial" w:eastAsia="Arial" w:hAnsi="Arial"/>
                <w:sz w:val="14"/>
                <w:szCs w:val="14"/>
                <w:color w:val="auto"/>
              </w:rPr>
              <w:t>Cash</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15</w:t>
            </w:r>
          </w:p>
        </w:tc>
        <w:tc>
          <w:tcPr>
            <w:tcW w:w="760" w:type="dxa"/>
            <w:vAlign w:val="bottom"/>
          </w:tcPr>
          <w:p>
            <w:pPr>
              <w:jc w:val="right"/>
              <w:spacing w:after="0"/>
              <w:rPr>
                <w:sz w:val="20"/>
                <w:szCs w:val="20"/>
                <w:color w:val="auto"/>
              </w:rPr>
            </w:pPr>
            <w:r>
              <w:rPr>
                <w:rFonts w:ascii="Arial" w:cs="Arial" w:eastAsia="Arial" w:hAnsi="Arial"/>
                <w:sz w:val="14"/>
                <w:szCs w:val="14"/>
                <w:color w:val="auto"/>
              </w:rPr>
              <w:t>6.0 %</w:t>
            </w:r>
          </w:p>
        </w:tc>
      </w:tr>
      <w:tr>
        <w:trPr>
          <w:trHeight w:val="223"/>
        </w:trPr>
        <w:tc>
          <w:tcPr>
            <w:tcW w:w="1720" w:type="dxa"/>
            <w:vAlign w:val="bottom"/>
          </w:tcPr>
          <w:p>
            <w:pPr>
              <w:ind w:left="120"/>
              <w:spacing w:after="0"/>
              <w:rPr>
                <w:sz w:val="20"/>
                <w:szCs w:val="20"/>
                <w:color w:val="auto"/>
              </w:rPr>
            </w:pPr>
            <w:r>
              <w:rPr>
                <w:rFonts w:ascii="Arial" w:cs="Arial" w:eastAsia="Arial" w:hAnsi="Arial"/>
                <w:sz w:val="14"/>
                <w:szCs w:val="14"/>
                <w:color w:val="auto"/>
              </w:rPr>
              <w:t>Equities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29,829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25,514</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16.9 %</w:t>
            </w:r>
          </w:p>
        </w:tc>
        <w:tc>
          <w:tcPr>
            <w:tcW w:w="580" w:type="dxa"/>
            <w:vAlign w:val="bottom"/>
          </w:tcPr>
          <w:p>
            <w:pPr>
              <w:jc w:val="right"/>
              <w:spacing w:after="0"/>
              <w:rPr>
                <w:sz w:val="20"/>
                <w:szCs w:val="20"/>
                <w:color w:val="auto"/>
              </w:rPr>
            </w:pPr>
            <w:r>
              <w:rPr>
                <w:rFonts w:ascii="Arial" w:cs="Arial" w:eastAsia="Arial" w:hAnsi="Arial"/>
                <w:sz w:val="14"/>
                <w:szCs w:val="14"/>
                <w:color w:val="auto"/>
              </w:rPr>
              <w:t>13.6</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26</w:t>
            </w:r>
          </w:p>
        </w:tc>
        <w:tc>
          <w:tcPr>
            <w:tcW w:w="160" w:type="dxa"/>
            <w:vAlign w:val="bottom"/>
          </w:tcPr>
          <w:p>
            <w:pPr>
              <w:spacing w:after="0"/>
              <w:rPr>
                <w:sz w:val="19"/>
                <w:szCs w:val="19"/>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27</w:t>
            </w:r>
          </w:p>
        </w:tc>
        <w:tc>
          <w:tcPr>
            <w:tcW w:w="7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216"/>
        </w:trPr>
        <w:tc>
          <w:tcPr>
            <w:tcW w:w="1720" w:type="dxa"/>
            <w:vAlign w:val="bottom"/>
          </w:tcPr>
          <w:p>
            <w:pPr>
              <w:ind w:left="120"/>
              <w:spacing w:after="0"/>
              <w:rPr>
                <w:sz w:val="20"/>
                <w:szCs w:val="20"/>
                <w:color w:val="auto"/>
              </w:rPr>
            </w:pPr>
            <w:r>
              <w:rPr>
                <w:rFonts w:ascii="Arial" w:cs="Arial" w:eastAsia="Arial" w:hAnsi="Arial"/>
                <w:sz w:val="14"/>
                <w:szCs w:val="14"/>
                <w:color w:val="auto"/>
              </w:rPr>
              <w:t>Money Markets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42,889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36,126</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18.7 %</w:t>
            </w:r>
          </w:p>
        </w:tc>
        <w:tc>
          <w:tcPr>
            <w:tcW w:w="580" w:type="dxa"/>
            <w:vAlign w:val="bottom"/>
          </w:tcPr>
          <w:p>
            <w:pPr>
              <w:jc w:val="right"/>
              <w:spacing w:after="0"/>
              <w:rPr>
                <w:sz w:val="20"/>
                <w:szCs w:val="20"/>
                <w:color w:val="auto"/>
              </w:rPr>
            </w:pPr>
            <w:r>
              <w:rPr>
                <w:rFonts w:ascii="Arial" w:cs="Arial" w:eastAsia="Arial" w:hAnsi="Arial"/>
                <w:sz w:val="14"/>
                <w:szCs w:val="14"/>
                <w:color w:val="auto"/>
              </w:rPr>
              <w:t>17.7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80" w:type="dxa"/>
            <w:vAlign w:val="bottom"/>
            <w:tcBorders>
              <w:bottom w:val="single" w:sz="8" w:color="083566"/>
            </w:tcBorders>
          </w:tcPr>
          <w:p>
            <w:pPr>
              <w:spacing w:after="0"/>
              <w:rPr>
                <w:sz w:val="18"/>
                <w:szCs w:val="18"/>
                <w:color w:val="auto"/>
              </w:rPr>
            </w:pPr>
          </w:p>
        </w:tc>
        <w:tc>
          <w:tcPr>
            <w:tcW w:w="94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83566"/>
            </w:tcBorders>
            <w:shd w:val="clear" w:color="auto" w:fill="D5DCE4"/>
          </w:tcPr>
          <w:p>
            <w:pPr>
              <w:spacing w:after="0"/>
              <w:rPr>
                <w:sz w:val="18"/>
                <w:szCs w:val="18"/>
                <w:color w:val="auto"/>
              </w:rPr>
            </w:pPr>
          </w:p>
        </w:tc>
        <w:tc>
          <w:tcPr>
            <w:tcW w:w="5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42</w:t>
            </w:r>
          </w:p>
        </w:tc>
        <w:tc>
          <w:tcPr>
            <w:tcW w:w="160" w:type="dxa"/>
            <w:vAlign w:val="bottom"/>
            <w:tcBorders>
              <w:bottom w:val="single" w:sz="8" w:color="083566"/>
            </w:tcBorders>
            <w:shd w:val="clear" w:color="auto" w:fill="D5DCE4"/>
          </w:tcPr>
          <w:p>
            <w:pPr>
              <w:spacing w:after="0"/>
              <w:rPr>
                <w:sz w:val="18"/>
                <w:szCs w:val="18"/>
                <w:color w:val="auto"/>
              </w:rPr>
            </w:pPr>
          </w:p>
        </w:tc>
        <w:tc>
          <w:tcPr>
            <w:tcW w:w="700" w:type="dxa"/>
            <w:vAlign w:val="bottom"/>
            <w:tcBorders>
              <w:bottom w:val="single" w:sz="8" w:color="083566"/>
            </w:tcBorders>
            <w:shd w:val="clear" w:color="auto" w:fill="D5DCE4"/>
          </w:tcPr>
          <w:p>
            <w:pPr>
              <w:jc w:val="right"/>
              <w:ind w:right="148"/>
              <w:spacing w:after="0"/>
              <w:rPr>
                <w:sz w:val="20"/>
                <w:szCs w:val="20"/>
                <w:color w:val="auto"/>
              </w:rPr>
            </w:pPr>
            <w:r>
              <w:rPr>
                <w:rFonts w:ascii="Arial" w:cs="Arial" w:eastAsia="Arial" w:hAnsi="Arial"/>
                <w:sz w:val="14"/>
                <w:szCs w:val="14"/>
                <w:color w:val="auto"/>
              </w:rPr>
              <w:t>43</w:t>
            </w:r>
          </w:p>
        </w:tc>
        <w:tc>
          <w:tcPr>
            <w:tcW w:w="7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(1.3)%</w:t>
            </w:r>
          </w:p>
        </w:tc>
      </w:tr>
      <w:tr>
        <w:trPr>
          <w:trHeight w:val="201"/>
        </w:trPr>
        <w:tc>
          <w:tcPr>
            <w:tcW w:w="1720" w:type="dxa"/>
            <w:vAlign w:val="bottom"/>
          </w:tcPr>
          <w:p>
            <w:pPr>
              <w:ind w:left="120"/>
              <w:spacing w:after="0"/>
              <w:rPr>
                <w:sz w:val="20"/>
                <w:szCs w:val="20"/>
                <w:color w:val="auto"/>
              </w:rPr>
            </w:pPr>
            <w:r>
              <w:rPr>
                <w:rFonts w:ascii="Arial" w:cs="Arial" w:eastAsia="Arial" w:hAnsi="Arial"/>
                <w:sz w:val="14"/>
                <w:szCs w:val="14"/>
                <w:color w:val="auto"/>
              </w:rPr>
              <w:t>Market Data</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30,817</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29,760</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3.6 %</w:t>
            </w:r>
          </w:p>
        </w:tc>
        <w:tc>
          <w:tcPr>
            <w:tcW w:w="580" w:type="dxa"/>
            <w:vAlign w:val="bottom"/>
          </w:tcPr>
          <w:p>
            <w:pPr>
              <w:jc w:val="right"/>
              <w:spacing w:after="0"/>
              <w:rPr>
                <w:sz w:val="20"/>
                <w:szCs w:val="20"/>
                <w:color w:val="auto"/>
              </w:rPr>
            </w:pPr>
            <w:r>
              <w:rPr>
                <w:rFonts w:ascii="Arial" w:cs="Arial" w:eastAsia="Arial" w:hAnsi="Arial"/>
                <w:sz w:val="14"/>
                <w:szCs w:val="14"/>
                <w:color w:val="auto"/>
              </w:rPr>
              <w:t>3.0</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Equities</w:t>
            </w:r>
          </w:p>
        </w:tc>
        <w:tc>
          <w:tcPr>
            <w:tcW w:w="940" w:type="dxa"/>
            <w:vAlign w:val="bottom"/>
          </w:tcPr>
          <w:p>
            <w:pPr>
              <w:ind w:left="20"/>
              <w:spacing w:after="0"/>
              <w:rPr>
                <w:sz w:val="20"/>
                <w:szCs w:val="20"/>
                <w:color w:val="auto"/>
              </w:rPr>
            </w:pPr>
            <w:r>
              <w:rPr>
                <w:rFonts w:ascii="Arial" w:cs="Arial" w:eastAsia="Arial" w:hAnsi="Arial"/>
                <w:sz w:val="14"/>
                <w:szCs w:val="14"/>
                <w:color w:val="auto"/>
              </w:rPr>
              <w:t>Cash</w:t>
            </w: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7"/>
                <w:szCs w:val="17"/>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760" w:type="dxa"/>
            <w:vAlign w:val="bottom"/>
          </w:tcPr>
          <w:p>
            <w:pPr>
              <w:jc w:val="right"/>
              <w:spacing w:after="0"/>
              <w:rPr>
                <w:sz w:val="20"/>
                <w:szCs w:val="20"/>
                <w:color w:val="auto"/>
              </w:rPr>
            </w:pPr>
            <w:r>
              <w:rPr>
                <w:rFonts w:ascii="Arial" w:cs="Arial" w:eastAsia="Arial" w:hAnsi="Arial"/>
                <w:sz w:val="14"/>
                <w:szCs w:val="14"/>
                <w:color w:val="auto"/>
              </w:rPr>
              <w:t>14.8 %</w:t>
            </w:r>
          </w:p>
        </w:tc>
      </w:tr>
      <w:tr>
        <w:trPr>
          <w:trHeight w:val="223"/>
        </w:trPr>
        <w:tc>
          <w:tcPr>
            <w:tcW w:w="1720" w:type="dxa"/>
            <w:vAlign w:val="bottom"/>
          </w:tcPr>
          <w:p>
            <w:pPr>
              <w:ind w:left="120"/>
              <w:spacing w:after="0"/>
              <w:rPr>
                <w:sz w:val="20"/>
                <w:szCs w:val="20"/>
                <w:color w:val="auto"/>
              </w:rPr>
            </w:pPr>
            <w:r>
              <w:rPr>
                <w:rFonts w:ascii="Arial" w:cs="Arial" w:eastAsia="Arial" w:hAnsi="Arial"/>
                <w:sz w:val="14"/>
                <w:szCs w:val="14"/>
                <w:color w:val="auto"/>
              </w:rPr>
              <w:t>Other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9,232</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48"/>
              <w:spacing w:after="0"/>
              <w:rPr>
                <w:sz w:val="20"/>
                <w:szCs w:val="20"/>
                <w:color w:val="auto"/>
              </w:rPr>
            </w:pPr>
            <w:r>
              <w:rPr>
                <w:rFonts w:ascii="Arial" w:cs="Arial" w:eastAsia="Arial" w:hAnsi="Arial"/>
                <w:sz w:val="14"/>
                <w:szCs w:val="14"/>
                <w:color w:val="auto"/>
              </w:rPr>
              <w:t>6,088</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51.6 %</w:t>
            </w:r>
          </w:p>
        </w:tc>
        <w:tc>
          <w:tcPr>
            <w:tcW w:w="580" w:type="dxa"/>
            <w:vAlign w:val="bottom"/>
          </w:tcPr>
          <w:p>
            <w:pPr>
              <w:jc w:val="right"/>
              <w:spacing w:after="0"/>
              <w:rPr>
                <w:sz w:val="20"/>
                <w:szCs w:val="20"/>
                <w:color w:val="auto"/>
              </w:rPr>
            </w:pPr>
            <w:r>
              <w:rPr>
                <w:rFonts w:ascii="Arial" w:cs="Arial" w:eastAsia="Arial" w:hAnsi="Arial"/>
                <w:sz w:val="14"/>
                <w:szCs w:val="14"/>
                <w:color w:val="auto"/>
              </w:rPr>
              <w:t>51.5</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9"/>
                <w:szCs w:val="19"/>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13</w:t>
            </w:r>
          </w:p>
        </w:tc>
        <w:tc>
          <w:tcPr>
            <w:tcW w:w="760" w:type="dxa"/>
            <w:vAlign w:val="bottom"/>
          </w:tcPr>
          <w:p>
            <w:pPr>
              <w:jc w:val="right"/>
              <w:spacing w:after="0"/>
              <w:rPr>
                <w:sz w:val="20"/>
                <w:szCs w:val="20"/>
                <w:color w:val="auto"/>
              </w:rPr>
            </w:pPr>
            <w:r>
              <w:rPr>
                <w:rFonts w:ascii="Arial" w:cs="Arial" w:eastAsia="Arial" w:hAnsi="Arial"/>
                <w:sz w:val="14"/>
                <w:szCs w:val="14"/>
                <w:color w:val="auto"/>
              </w:rPr>
              <w:t>13.7 %</w:t>
            </w:r>
          </w:p>
        </w:tc>
      </w:tr>
      <w:tr>
        <w:trPr>
          <w:trHeight w:val="216"/>
        </w:trPr>
        <w:tc>
          <w:tcPr>
            <w:tcW w:w="17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210,549</w:t>
            </w:r>
          </w:p>
        </w:tc>
        <w:tc>
          <w:tcPr>
            <w:tcW w:w="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68"/>
              <w:spacing w:after="0"/>
              <w:rPr>
                <w:sz w:val="20"/>
                <w:szCs w:val="20"/>
                <w:color w:val="auto"/>
              </w:rPr>
            </w:pPr>
            <w:r>
              <w:rPr>
                <w:rFonts w:ascii="Arial" w:cs="Arial" w:eastAsia="Arial" w:hAnsi="Arial"/>
                <w:sz w:val="14"/>
                <w:szCs w:val="14"/>
                <w:color w:val="auto"/>
              </w:rPr>
              <w:t>130,223</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61.7 %</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083566"/>
            </w:tcBorders>
          </w:tcPr>
          <w:p>
            <w:pPr>
              <w:spacing w:after="0"/>
              <w:rPr>
                <w:sz w:val="18"/>
                <w:szCs w:val="18"/>
                <w:color w:val="auto"/>
              </w:rPr>
            </w:pPr>
          </w:p>
        </w:tc>
        <w:tc>
          <w:tcPr>
            <w:tcW w:w="94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083566"/>
            </w:tcBorders>
            <w:shd w:val="clear" w:color="auto" w:fill="D5DCE4"/>
          </w:tcPr>
          <w:p>
            <w:pPr>
              <w:spacing w:after="0"/>
              <w:rPr>
                <w:sz w:val="18"/>
                <w:szCs w:val="18"/>
                <w:color w:val="auto"/>
              </w:rPr>
            </w:pPr>
          </w:p>
        </w:tc>
        <w:tc>
          <w:tcPr>
            <w:tcW w:w="52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26</w:t>
            </w:r>
          </w:p>
        </w:tc>
        <w:tc>
          <w:tcPr>
            <w:tcW w:w="160" w:type="dxa"/>
            <w:vAlign w:val="bottom"/>
            <w:tcBorders>
              <w:bottom w:val="single" w:sz="8" w:color="083566"/>
            </w:tcBorders>
            <w:shd w:val="clear" w:color="auto" w:fill="D5DCE4"/>
          </w:tcPr>
          <w:p>
            <w:pPr>
              <w:spacing w:after="0"/>
              <w:rPr>
                <w:sz w:val="18"/>
                <w:szCs w:val="18"/>
                <w:color w:val="auto"/>
              </w:rPr>
            </w:pPr>
          </w:p>
        </w:tc>
        <w:tc>
          <w:tcPr>
            <w:tcW w:w="700" w:type="dxa"/>
            <w:vAlign w:val="bottom"/>
            <w:tcBorders>
              <w:bottom w:val="single" w:sz="8" w:color="083566"/>
            </w:tcBorders>
            <w:shd w:val="clear" w:color="auto" w:fill="D5DCE4"/>
          </w:tcPr>
          <w:p>
            <w:pPr>
              <w:jc w:val="right"/>
              <w:ind w:right="148"/>
              <w:spacing w:after="0"/>
              <w:rPr>
                <w:sz w:val="20"/>
                <w:szCs w:val="20"/>
                <w:color w:val="auto"/>
              </w:rPr>
            </w:pPr>
            <w:r>
              <w:rPr>
                <w:rFonts w:ascii="Arial" w:cs="Arial" w:eastAsia="Arial" w:hAnsi="Arial"/>
                <w:sz w:val="14"/>
                <w:szCs w:val="14"/>
                <w:color w:val="auto"/>
              </w:rPr>
              <w:t>23</w:t>
            </w:r>
          </w:p>
        </w:tc>
        <w:tc>
          <w:tcPr>
            <w:tcW w:w="7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14.2 %</w:t>
            </w:r>
          </w:p>
        </w:tc>
      </w:tr>
    </w:tbl>
    <w:p>
      <w:pPr>
        <w:spacing w:after="0" w:line="12" w:lineRule="exact"/>
        <w:rPr>
          <w:sz w:val="20"/>
          <w:szCs w:val="20"/>
          <w:color w:val="auto"/>
        </w:rPr>
      </w:pPr>
    </w:p>
    <w:p>
      <w:pPr>
        <w:sectPr>
          <w:pgSz w:w="11900" w:h="16840" w:orient="portrait"/>
          <w:cols w:equalWidth="0" w:num="1">
            <w:col w:w="10240"/>
          </w:cols>
          <w:pgMar w:left="660" w:top="605" w:right="1000"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700" w:type="dxa"/>
            <w:vAlign w:val="bottom"/>
          </w:tcPr>
          <w:p>
            <w:pPr>
              <w:ind w:left="20"/>
              <w:spacing w:after="0"/>
              <w:rPr>
                <w:sz w:val="20"/>
                <w:szCs w:val="20"/>
                <w:color w:val="auto"/>
              </w:rPr>
            </w:pPr>
            <w:r>
              <w:rPr>
                <w:rFonts w:ascii="Arial" w:cs="Arial" w:eastAsia="Arial" w:hAnsi="Arial"/>
                <w:sz w:val="14"/>
                <w:szCs w:val="14"/>
                <w:color w:val="auto"/>
              </w:rPr>
              <w:t>Net income attributable to</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20"/>
              <w:spacing w:after="0"/>
              <w:rPr>
                <w:sz w:val="20"/>
                <w:szCs w:val="20"/>
                <w:color w:val="auto"/>
              </w:rPr>
            </w:pPr>
            <w:r>
              <w:rPr>
                <w:rFonts w:ascii="Arial" w:cs="Arial" w:eastAsia="Arial" w:hAnsi="Arial"/>
                <w:sz w:val="14"/>
                <w:szCs w:val="14"/>
                <w:color w:val="auto"/>
              </w:rPr>
              <w:t xml:space="preserve">Tradeweb Markets Inc. </w:t>
            </w:r>
            <w:r>
              <w:rPr>
                <w:rFonts w:ascii="Arial" w:cs="Arial" w:eastAsia="Arial" w:hAnsi="Arial"/>
                <w:sz w:val="19"/>
                <w:szCs w:val="19"/>
                <w:color w:val="auto"/>
                <w:vertAlign w:val="superscript"/>
              </w:rPr>
              <w:t>(2)</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185,636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113,916</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63.0 %</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70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0.86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0.53</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62.3 %</w:t>
            </w:r>
          </w:p>
        </w:tc>
        <w:tc>
          <w:tcPr>
            <w:tcW w:w="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Arial" w:cs="Arial" w:eastAsia="Arial" w:hAnsi="Arial"/>
                <w:sz w:val="14"/>
                <w:szCs w:val="14"/>
                <w:color w:val="auto"/>
              </w:rPr>
              <w:t>Net income margin</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41.4 %</w:t>
            </w:r>
          </w:p>
        </w:tc>
        <w:tc>
          <w:tcPr>
            <w:tcW w:w="160" w:type="dxa"/>
            <w:vAlign w:val="bottom"/>
          </w:tcPr>
          <w:p>
            <w:pPr>
              <w:spacing w:after="0"/>
              <w:rPr>
                <w:sz w:val="19"/>
                <w:szCs w:val="19"/>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29.0 %</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+1,239 bps</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gridSpan w:val="3"/>
            <w:shd w:val="clear" w:color="auto" w:fill="D5DCE4"/>
          </w:tcPr>
          <w:p>
            <w:pPr>
              <w:ind w:left="20"/>
              <w:spacing w:after="0"/>
              <w:rPr>
                <w:sz w:val="20"/>
                <w:szCs w:val="20"/>
                <w:color w:val="auto"/>
              </w:rPr>
            </w:pPr>
            <w:r>
              <w:rPr>
                <w:rFonts w:ascii="Arial" w:cs="Arial" w:eastAsia="Arial" w:hAnsi="Arial"/>
                <w:sz w:val="14"/>
                <w:szCs w:val="14"/>
                <w:color w:val="auto"/>
              </w:rPr>
              <w:t>Non-GAAP Financial Measures</w:t>
            </w:r>
          </w:p>
        </w:tc>
        <w:tc>
          <w:tcPr>
            <w:tcW w:w="160" w:type="dxa"/>
            <w:vAlign w:val="bottom"/>
            <w:shd w:val="clear" w:color="auto" w:fill="D5DCE4"/>
          </w:tcPr>
          <w:p>
            <w:pPr>
              <w:spacing w:after="0"/>
              <w:rPr>
                <w:sz w:val="19"/>
                <w:szCs w:val="19"/>
                <w:color w:val="auto"/>
              </w:rPr>
            </w:pPr>
          </w:p>
        </w:tc>
        <w:tc>
          <w:tcPr>
            <w:tcW w:w="900" w:type="dxa"/>
            <w:vAlign w:val="bottom"/>
            <w:shd w:val="clear" w:color="auto" w:fill="D5DCE4"/>
          </w:tcPr>
          <w:p>
            <w:pPr>
              <w:spacing w:after="0"/>
              <w:rPr>
                <w:sz w:val="19"/>
                <w:szCs w:val="19"/>
                <w:color w:val="auto"/>
              </w:rPr>
            </w:pPr>
          </w:p>
        </w:tc>
        <w:tc>
          <w:tcPr>
            <w:tcW w:w="980" w:type="dxa"/>
            <w:vAlign w:val="bottom"/>
            <w:shd w:val="clear" w:color="auto" w:fill="D5DCE4"/>
          </w:tcPr>
          <w:p>
            <w:pPr>
              <w:spacing w:after="0"/>
              <w:rPr>
                <w:sz w:val="19"/>
                <w:szCs w:val="19"/>
                <w:color w:val="auto"/>
              </w:rPr>
            </w:pPr>
          </w:p>
        </w:tc>
        <w:tc>
          <w:tcPr>
            <w:tcW w:w="50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700" w:type="dxa"/>
            <w:vAlign w:val="bottom"/>
          </w:tcPr>
          <w:p>
            <w:pPr>
              <w:ind w:left="20"/>
              <w:spacing w:after="0"/>
              <w:rPr>
                <w:sz w:val="20"/>
                <w:szCs w:val="20"/>
                <w:color w:val="auto"/>
              </w:rPr>
            </w:pPr>
            <w:r>
              <w:rPr>
                <w:rFonts w:ascii="Arial" w:cs="Arial" w:eastAsia="Arial" w:hAnsi="Arial"/>
                <w:sz w:val="14"/>
                <w:szCs w:val="14"/>
                <w:color w:val="auto"/>
              </w:rPr>
              <w:t xml:space="preserve">Adjusted EBITDA </w:t>
            </w:r>
            <w:r>
              <w:rPr>
                <w:rFonts w:ascii="Arial" w:cs="Arial" w:eastAsia="Arial" w:hAnsi="Arial"/>
                <w:sz w:val="19"/>
                <w:szCs w:val="19"/>
                <w:color w:val="auto"/>
                <w:vertAlign w:val="superscript"/>
              </w:rPr>
              <w:t>(1)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274,423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239,816</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14.4 %</w:t>
            </w:r>
          </w:p>
        </w:tc>
        <w:tc>
          <w:tcPr>
            <w:tcW w:w="500" w:type="dxa"/>
            <w:vAlign w:val="bottom"/>
          </w:tcPr>
          <w:p>
            <w:pPr>
              <w:jc w:val="right"/>
              <w:spacing w:after="0"/>
              <w:rPr>
                <w:sz w:val="20"/>
                <w:szCs w:val="20"/>
                <w:color w:val="auto"/>
              </w:rPr>
            </w:pPr>
            <w:r>
              <w:rPr>
                <w:rFonts w:ascii="Arial" w:cs="Arial" w:eastAsia="Arial" w:hAnsi="Arial"/>
                <w:sz w:val="14"/>
                <w:szCs w:val="14"/>
                <w:color w:val="auto"/>
              </w:rPr>
              <w:t>12.0</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700" w:type="dxa"/>
            <w:vAlign w:val="bottom"/>
          </w:tcPr>
          <w:p>
            <w:pPr>
              <w:ind w:left="20"/>
              <w:spacing w:after="0" w:line="145" w:lineRule="exact"/>
              <w:rPr>
                <w:sz w:val="20"/>
                <w:szCs w:val="20"/>
                <w:color w:val="auto"/>
              </w:rPr>
            </w:pPr>
            <w:r>
              <w:rPr>
                <w:rFonts w:ascii="Arial" w:cs="Arial" w:eastAsia="Arial" w:hAnsi="Arial"/>
                <w:sz w:val="14"/>
                <w:szCs w:val="14"/>
                <w:color w:val="auto"/>
              </w:rPr>
              <w:t>Adjusted EBITDA margin</w:t>
            </w: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54.0 %</w:t>
            </w:r>
          </w:p>
        </w:tc>
        <w:tc>
          <w:tcPr>
            <w:tcW w:w="160" w:type="dxa"/>
            <w:vAlign w:val="bottom"/>
          </w:tcPr>
          <w:p>
            <w:pPr>
              <w:spacing w:after="0"/>
              <w:rPr>
                <w:sz w:val="12"/>
                <w:szCs w:val="12"/>
                <w:color w:val="auto"/>
              </w:rPr>
            </w:pPr>
          </w:p>
        </w:tc>
        <w:tc>
          <w:tcPr>
            <w:tcW w:w="900" w:type="dxa"/>
            <w:vAlign w:val="bottom"/>
            <w:vMerge w:val="restart"/>
          </w:tcPr>
          <w:p>
            <w:pPr>
              <w:jc w:val="right"/>
              <w:ind w:right="48"/>
              <w:spacing w:after="0"/>
              <w:rPr>
                <w:sz w:val="20"/>
                <w:szCs w:val="20"/>
                <w:color w:val="auto"/>
              </w:rPr>
            </w:pPr>
            <w:r>
              <w:rPr>
                <w:rFonts w:ascii="Arial" w:cs="Arial" w:eastAsia="Arial" w:hAnsi="Arial"/>
                <w:sz w:val="14"/>
                <w:szCs w:val="14"/>
                <w:color w:val="auto"/>
              </w:rPr>
              <w:t>53.4 %</w:t>
            </w: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color w:val="auto"/>
              </w:rPr>
              <w:t>+54 bps</w:t>
            </w:r>
          </w:p>
        </w:tc>
        <w:tc>
          <w:tcPr>
            <w:tcW w:w="94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+30 bps</w:t>
            </w:r>
          </w:p>
        </w:tc>
        <w:tc>
          <w:tcPr>
            <w:tcW w:w="0" w:type="dxa"/>
            <w:vAlign w:val="bottom"/>
          </w:tcPr>
          <w:p>
            <w:pPr>
              <w:spacing w:after="0"/>
              <w:rPr>
                <w:sz w:val="1"/>
                <w:szCs w:val="1"/>
                <w:color w:val="auto"/>
              </w:rPr>
            </w:pPr>
          </w:p>
        </w:tc>
      </w:tr>
      <w:tr>
        <w:trPr>
          <w:trHeight w:val="154"/>
        </w:trPr>
        <w:tc>
          <w:tcPr>
            <w:tcW w:w="1700" w:type="dxa"/>
            <w:vAlign w:val="bottom"/>
          </w:tcPr>
          <w:p>
            <w:pPr>
              <w:ind w:left="20"/>
              <w:spacing w:after="0"/>
              <w:rPr>
                <w:sz w:val="20"/>
                <w:szCs w:val="20"/>
                <w:color w:val="auto"/>
              </w:rPr>
            </w:pPr>
            <w:r>
              <w:rPr>
                <w:rFonts w:ascii="Arial" w:cs="Arial" w:eastAsia="Arial" w:hAnsi="Arial"/>
                <w:sz w:val="10"/>
                <w:szCs w:val="10"/>
                <w:color w:val="auto"/>
              </w:rPr>
              <w:t>(1)</w:t>
            </w:r>
          </w:p>
        </w:tc>
        <w:tc>
          <w:tcPr>
            <w:tcW w:w="2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1700" w:type="dxa"/>
            <w:vAlign w:val="bottom"/>
          </w:tcPr>
          <w:p>
            <w:pPr>
              <w:ind w:left="20"/>
              <w:spacing w:after="0"/>
              <w:rPr>
                <w:sz w:val="20"/>
                <w:szCs w:val="20"/>
                <w:color w:val="auto"/>
              </w:rPr>
            </w:pPr>
            <w:r>
              <w:rPr>
                <w:rFonts w:ascii="Arial" w:cs="Arial" w:eastAsia="Arial" w:hAnsi="Arial"/>
                <w:sz w:val="14"/>
                <w:szCs w:val="14"/>
                <w:color w:val="auto"/>
              </w:rPr>
              <w:t xml:space="preserve">Adjusted EBIT </w:t>
            </w:r>
            <w:r>
              <w:rPr>
                <w:rFonts w:ascii="Arial" w:cs="Arial" w:eastAsia="Arial" w:hAnsi="Arial"/>
                <w:sz w:val="19"/>
                <w:szCs w:val="19"/>
                <w:color w:val="auto"/>
                <w:vertAlign w:val="superscript"/>
              </w:rPr>
              <w:t>(1)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255,546</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223,893</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14.1 %</w:t>
            </w:r>
          </w:p>
        </w:tc>
        <w:tc>
          <w:tcPr>
            <w:tcW w:w="500" w:type="dxa"/>
            <w:vAlign w:val="bottom"/>
          </w:tcPr>
          <w:p>
            <w:pPr>
              <w:jc w:val="right"/>
              <w:spacing w:after="0"/>
              <w:rPr>
                <w:sz w:val="20"/>
                <w:szCs w:val="20"/>
                <w:color w:val="auto"/>
              </w:rPr>
            </w:pPr>
            <w:r>
              <w:rPr>
                <w:rFonts w:ascii="Arial" w:cs="Arial" w:eastAsia="Arial" w:hAnsi="Arial"/>
                <w:sz w:val="14"/>
                <w:szCs w:val="14"/>
                <w:color w:val="auto"/>
              </w:rPr>
              <w:t>11.5</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line="216" w:lineRule="exact"/>
              <w:rPr>
                <w:sz w:val="20"/>
                <w:szCs w:val="20"/>
                <w:color w:val="auto"/>
              </w:rPr>
            </w:pPr>
            <w:r>
              <w:rPr>
                <w:rFonts w:ascii="Arial" w:cs="Arial" w:eastAsia="Arial" w:hAnsi="Arial"/>
                <w:sz w:val="14"/>
                <w:szCs w:val="14"/>
                <w:color w:val="auto"/>
              </w:rPr>
              <w:t xml:space="preserve">Adjusted EBIT margin </w:t>
            </w:r>
            <w:r>
              <w:rPr>
                <w:rFonts w:ascii="Arial" w:cs="Arial" w:eastAsia="Arial" w:hAnsi="Arial"/>
                <w:sz w:val="19"/>
                <w:szCs w:val="19"/>
                <w:color w:val="auto"/>
                <w:vertAlign w:val="superscript"/>
              </w:rPr>
              <w:t>(1)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50.2 %</w:t>
            </w:r>
          </w:p>
        </w:tc>
        <w:tc>
          <w:tcPr>
            <w:tcW w:w="1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49.9 %</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+37 bps</w:t>
            </w:r>
          </w:p>
        </w:tc>
        <w:tc>
          <w:tcPr>
            <w:tcW w:w="940" w:type="dxa"/>
            <w:vAlign w:val="bottom"/>
            <w:gridSpan w:val="2"/>
          </w:tcPr>
          <w:p>
            <w:pPr>
              <w:jc w:val="right"/>
              <w:ind w:right="108"/>
              <w:spacing w:after="0"/>
              <w:rPr>
                <w:sz w:val="20"/>
                <w:szCs w:val="20"/>
                <w:color w:val="auto"/>
              </w:rPr>
            </w:pPr>
            <w:r>
              <w:rPr>
                <w:rFonts w:ascii="Arial" w:cs="Arial" w:eastAsia="Arial" w:hAnsi="Arial"/>
                <w:sz w:val="14"/>
                <w:szCs w:val="14"/>
                <w:color w:val="auto"/>
              </w:rPr>
              <w:t>+8 bps</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line="216" w:lineRule="exact"/>
              <w:rPr>
                <w:sz w:val="20"/>
                <w:szCs w:val="20"/>
                <w:color w:val="auto"/>
              </w:rPr>
            </w:pPr>
            <w:r>
              <w:rPr>
                <w:rFonts w:ascii="Arial" w:cs="Arial" w:eastAsia="Arial" w:hAnsi="Arial"/>
                <w:sz w:val="14"/>
                <w:szCs w:val="14"/>
                <w:color w:val="auto"/>
              </w:rPr>
              <w:t xml:space="preserve">Adjusted Net Income </w:t>
            </w:r>
            <w:r>
              <w:rPr>
                <w:rFonts w:ascii="Arial" w:cs="Arial" w:eastAsia="Arial" w:hAnsi="Arial"/>
                <w:sz w:val="19"/>
                <w:szCs w:val="19"/>
                <w:color w:val="auto"/>
                <w:vertAlign w:val="superscript"/>
              </w:rPr>
              <w:t>(1)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206,529</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179,332</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15.2 %</w:t>
            </w:r>
          </w:p>
        </w:tc>
        <w:tc>
          <w:tcPr>
            <w:tcW w:w="500" w:type="dxa"/>
            <w:vAlign w:val="bottom"/>
          </w:tcPr>
          <w:p>
            <w:pPr>
              <w:jc w:val="right"/>
              <w:spacing w:after="0"/>
              <w:rPr>
                <w:sz w:val="20"/>
                <w:szCs w:val="20"/>
                <w:color w:val="auto"/>
              </w:rPr>
            </w:pPr>
            <w:r>
              <w:rPr>
                <w:rFonts w:ascii="Arial" w:cs="Arial" w:eastAsia="Arial" w:hAnsi="Arial"/>
                <w:sz w:val="14"/>
                <w:szCs w:val="14"/>
                <w:color w:val="auto"/>
              </w:rPr>
              <w:t>12.7</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7"/>
        </w:trPr>
        <w:tc>
          <w:tcPr>
            <w:tcW w:w="1700" w:type="dxa"/>
            <w:vAlign w:val="bottom"/>
          </w:tcPr>
          <w:p>
            <w:pPr>
              <w:ind w:left="20"/>
              <w:spacing w:after="0"/>
              <w:rPr>
                <w:sz w:val="20"/>
                <w:szCs w:val="20"/>
                <w:color w:val="auto"/>
              </w:rPr>
            </w:pPr>
            <w:r>
              <w:rPr>
                <w:rFonts w:ascii="Arial" w:cs="Arial" w:eastAsia="Arial" w:hAnsi="Arial"/>
                <w:sz w:val="14"/>
                <w:szCs w:val="14"/>
                <w:color w:val="auto"/>
              </w:rPr>
              <w:t xml:space="preserve">Adjusted Diluted EPS </w:t>
            </w:r>
            <w:r>
              <w:rPr>
                <w:rFonts w:ascii="Arial" w:cs="Arial" w:eastAsia="Arial" w:hAnsi="Arial"/>
                <w:sz w:val="19"/>
                <w:szCs w:val="19"/>
                <w:color w:val="auto"/>
                <w:vertAlign w:val="superscript"/>
              </w:rPr>
              <w:t>(1)</w:t>
            </w: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0.87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28"/>
              <w:spacing w:after="0"/>
              <w:rPr>
                <w:sz w:val="20"/>
                <w:szCs w:val="20"/>
                <w:color w:val="auto"/>
              </w:rPr>
            </w:pPr>
            <w:r>
              <w:rPr>
                <w:rFonts w:ascii="Arial" w:cs="Arial" w:eastAsia="Arial" w:hAnsi="Arial"/>
                <w:sz w:val="14"/>
                <w:szCs w:val="14"/>
                <w:color w:val="auto"/>
              </w:rPr>
              <w:t>0.75</w:t>
            </w: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16.0 %</w:t>
            </w:r>
          </w:p>
        </w:tc>
        <w:tc>
          <w:tcPr>
            <w:tcW w:w="500" w:type="dxa"/>
            <w:vAlign w:val="bottom"/>
          </w:tcPr>
          <w:p>
            <w:pPr>
              <w:jc w:val="right"/>
              <w:spacing w:after="0"/>
              <w:rPr>
                <w:sz w:val="20"/>
                <w:szCs w:val="20"/>
                <w:color w:val="auto"/>
              </w:rPr>
            </w:pPr>
            <w:r>
              <w:rPr>
                <w:rFonts w:ascii="Arial" w:cs="Arial" w:eastAsia="Arial" w:hAnsi="Arial"/>
                <w:sz w:val="14"/>
                <w:szCs w:val="14"/>
                <w:color w:val="auto"/>
              </w:rPr>
              <w:t>12.0</w:t>
            </w:r>
          </w:p>
        </w:tc>
        <w:tc>
          <w:tcPr>
            <w:tcW w:w="44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2200" w:type="dxa"/>
            <w:vAlign w:val="bottom"/>
            <w:gridSpan w:val="2"/>
          </w:tcPr>
          <w:p>
            <w:pPr>
              <w:spacing w:after="0"/>
              <w:rPr>
                <w:sz w:val="20"/>
                <w:szCs w:val="20"/>
                <w:color w:val="auto"/>
              </w:rPr>
            </w:pPr>
            <w:r>
              <w:rPr>
                <w:rFonts w:ascii="Arial" w:cs="Arial" w:eastAsia="Arial" w:hAnsi="Arial"/>
                <w:sz w:val="14"/>
                <w:szCs w:val="14"/>
                <w:color w:val="auto"/>
              </w:rPr>
              <w:t>Money Markets  Cash</w:t>
            </w:r>
          </w:p>
        </w:tc>
        <w:tc>
          <w:tcPr>
            <w:tcW w:w="660" w:type="dxa"/>
            <w:vAlign w:val="bottom"/>
          </w:tcPr>
          <w:p>
            <w:pPr>
              <w:jc w:val="right"/>
              <w:spacing w:after="0"/>
              <w:rPr>
                <w:sz w:val="20"/>
                <w:szCs w:val="20"/>
                <w:color w:val="auto"/>
              </w:rPr>
            </w:pPr>
            <w:r>
              <w:rPr>
                <w:rFonts w:ascii="Arial" w:cs="Arial" w:eastAsia="Arial" w:hAnsi="Arial"/>
                <w:sz w:val="14"/>
                <w:szCs w:val="14"/>
                <w:color w:val="auto"/>
              </w:rPr>
              <w:t>1,052</w:t>
            </w:r>
          </w:p>
        </w:tc>
        <w:tc>
          <w:tcPr>
            <w:tcW w:w="200" w:type="dxa"/>
            <w:vAlign w:val="bottom"/>
          </w:tcPr>
          <w:p>
            <w:pPr>
              <w:spacing w:after="0"/>
              <w:rPr>
                <w:sz w:val="17"/>
                <w:szCs w:val="17"/>
                <w:color w:val="auto"/>
              </w:rPr>
            </w:pPr>
          </w:p>
        </w:tc>
        <w:tc>
          <w:tcPr>
            <w:tcW w:w="720" w:type="dxa"/>
            <w:vAlign w:val="bottom"/>
          </w:tcPr>
          <w:p>
            <w:pPr>
              <w:jc w:val="right"/>
              <w:ind w:right="148"/>
              <w:spacing w:after="0"/>
              <w:rPr>
                <w:sz w:val="20"/>
                <w:szCs w:val="20"/>
                <w:color w:val="auto"/>
              </w:rPr>
            </w:pPr>
            <w:r>
              <w:rPr>
                <w:rFonts w:ascii="Arial" w:cs="Arial" w:eastAsia="Arial" w:hAnsi="Arial"/>
                <w:sz w:val="14"/>
                <w:szCs w:val="14"/>
                <w:color w:val="auto"/>
              </w:rPr>
              <w:t>940</w:t>
            </w:r>
          </w:p>
        </w:tc>
        <w:tc>
          <w:tcPr>
            <w:tcW w:w="700" w:type="dxa"/>
            <w:vAlign w:val="bottom"/>
          </w:tcPr>
          <w:p>
            <w:pPr>
              <w:jc w:val="right"/>
              <w:spacing w:after="0"/>
              <w:rPr>
                <w:sz w:val="20"/>
                <w:szCs w:val="20"/>
                <w:color w:val="auto"/>
              </w:rPr>
            </w:pPr>
            <w:r>
              <w:rPr>
                <w:rFonts w:ascii="Arial" w:cs="Arial" w:eastAsia="Arial" w:hAnsi="Arial"/>
                <w:sz w:val="14"/>
                <w:szCs w:val="14"/>
                <w:color w:val="auto"/>
              </w:rPr>
              <w:t>11.9 %</w:t>
            </w:r>
          </w:p>
        </w:tc>
      </w:tr>
      <w:tr>
        <w:trPr>
          <w:trHeight w:val="216"/>
        </w:trPr>
        <w:tc>
          <w:tcPr>
            <w:tcW w:w="1080" w:type="dxa"/>
            <w:vAlign w:val="bottom"/>
            <w:tcBorders>
              <w:bottom w:val="single" w:sz="8" w:color="083566"/>
            </w:tcBorders>
          </w:tcPr>
          <w:p>
            <w:pPr>
              <w:spacing w:after="0"/>
              <w:rPr>
                <w:sz w:val="18"/>
                <w:szCs w:val="18"/>
                <w:color w:val="auto"/>
              </w:rPr>
            </w:pPr>
          </w:p>
        </w:tc>
        <w:tc>
          <w:tcPr>
            <w:tcW w:w="112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4"/>
                <w:szCs w:val="14"/>
                <w:color w:val="auto"/>
              </w:rPr>
              <w:t>Total</w:t>
            </w: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1,052</w:t>
            </w:r>
          </w:p>
        </w:tc>
        <w:tc>
          <w:tcPr>
            <w:tcW w:w="200" w:type="dxa"/>
            <w:vAlign w:val="bottom"/>
            <w:tcBorders>
              <w:bottom w:val="single" w:sz="8" w:color="083566"/>
            </w:tcBorders>
            <w:shd w:val="clear" w:color="auto" w:fill="D5DCE4"/>
          </w:tcPr>
          <w:p>
            <w:pPr>
              <w:spacing w:after="0"/>
              <w:rPr>
                <w:sz w:val="18"/>
                <w:szCs w:val="18"/>
                <w:color w:val="auto"/>
              </w:rPr>
            </w:pPr>
          </w:p>
        </w:tc>
        <w:tc>
          <w:tcPr>
            <w:tcW w:w="720" w:type="dxa"/>
            <w:vAlign w:val="bottom"/>
            <w:tcBorders>
              <w:bottom w:val="single" w:sz="8" w:color="083566"/>
            </w:tcBorders>
            <w:shd w:val="clear" w:color="auto" w:fill="D5DCE4"/>
          </w:tcPr>
          <w:p>
            <w:pPr>
              <w:jc w:val="right"/>
              <w:ind w:right="188"/>
              <w:spacing w:after="0"/>
              <w:rPr>
                <w:sz w:val="20"/>
                <w:szCs w:val="20"/>
                <w:color w:val="auto"/>
              </w:rPr>
            </w:pPr>
            <w:r>
              <w:rPr>
                <w:rFonts w:ascii="Arial" w:cs="Arial" w:eastAsia="Arial" w:hAnsi="Arial"/>
                <w:sz w:val="14"/>
                <w:szCs w:val="14"/>
                <w:color w:val="auto"/>
              </w:rPr>
              <w:t>940</w:t>
            </w:r>
          </w:p>
        </w:tc>
        <w:tc>
          <w:tcPr>
            <w:tcW w:w="70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4"/>
                <w:szCs w:val="14"/>
                <w:color w:val="auto"/>
              </w:rPr>
              <w:t>11.9 %</w:t>
            </w:r>
          </w:p>
        </w:tc>
      </w:tr>
      <w:tr>
        <w:trPr>
          <w:trHeight w:val="215"/>
        </w:trPr>
        <w:tc>
          <w:tcPr>
            <w:tcW w:w="1080" w:type="dxa"/>
            <w:vAlign w:val="bottom"/>
          </w:tcPr>
          <w:p>
            <w:pPr>
              <w:spacing w:after="0"/>
              <w:rPr>
                <w:sz w:val="18"/>
                <w:szCs w:val="18"/>
                <w:color w:val="auto"/>
              </w:rPr>
            </w:pPr>
          </w:p>
        </w:tc>
        <w:tc>
          <w:tcPr>
            <w:tcW w:w="112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Total</w:t>
            </w:r>
          </w:p>
        </w:tc>
        <w:tc>
          <w:tcPr>
            <w:tcW w:w="6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  2,575</w:t>
            </w:r>
          </w:p>
        </w:tc>
        <w:tc>
          <w:tcPr>
            <w:tcW w:w="200" w:type="dxa"/>
            <w:vAlign w:val="bottom"/>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D5DCE4"/>
          </w:tcPr>
          <w:p>
            <w:pPr>
              <w:jc w:val="right"/>
              <w:ind w:right="188"/>
              <w:spacing w:after="0"/>
              <w:rPr>
                <w:sz w:val="20"/>
                <w:szCs w:val="20"/>
                <w:color w:val="auto"/>
              </w:rPr>
            </w:pPr>
            <w:r>
              <w:rPr>
                <w:rFonts w:ascii="Arial" w:cs="Arial" w:eastAsia="Arial" w:hAnsi="Arial"/>
                <w:sz w:val="14"/>
                <w:szCs w:val="14"/>
                <w:b w:val="1"/>
                <w:bCs w:val="1"/>
                <w:color w:val="auto"/>
              </w:rPr>
              <w:t>2,303</w:t>
            </w:r>
          </w:p>
        </w:tc>
        <w:tc>
          <w:tcPr>
            <w:tcW w:w="70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11.8 %</w:t>
            </w:r>
          </w:p>
        </w:tc>
      </w:tr>
    </w:tbl>
    <w:p>
      <w:pPr>
        <w:spacing w:after="0" w:line="200" w:lineRule="exact"/>
        <w:rPr>
          <w:sz w:val="20"/>
          <w:szCs w:val="20"/>
          <w:color w:val="auto"/>
        </w:rPr>
      </w:pPr>
    </w:p>
    <w:p>
      <w:pPr>
        <w:spacing w:after="0" w:line="256" w:lineRule="exact"/>
        <w:rPr>
          <w:sz w:val="20"/>
          <w:szCs w:val="20"/>
          <w:color w:val="auto"/>
        </w:rPr>
      </w:pPr>
    </w:p>
    <w:p>
      <w:pPr>
        <w:ind w:left="220" w:right="20" w:hanging="212"/>
        <w:spacing w:after="0" w:line="236" w:lineRule="auto"/>
        <w:tabs>
          <w:tab w:leader="none" w:pos="160" w:val="left"/>
        </w:tabs>
        <w:numPr>
          <w:ilvl w:val="0"/>
          <w:numId w:val="1"/>
        </w:numPr>
        <w:rPr>
          <w:rFonts w:ascii="Arial" w:cs="Arial" w:eastAsia="Arial" w:hAnsi="Arial"/>
          <w:sz w:val="11"/>
          <w:szCs w:val="11"/>
          <w:color w:val="auto"/>
        </w:rPr>
      </w:pPr>
      <w:r>
        <w:rPr>
          <w:rFonts w:ascii="Arial" w:cs="Arial" w:eastAsia="Arial" w:hAnsi="Arial"/>
          <w:sz w:val="11"/>
          <w:szCs w:val="11"/>
          <w:color w:val="auto"/>
        </w:rPr>
        <w:t>Adjusted EBITDA, Adjusted EBITDA margin, Adjusted EBIT, Adjusted EBIT margin, Adjusted Net Income, Adjusted Diluted EPS and constant currency change are non-GAAP financial measures. See "Non-GAAP Financial Measures" below and the attached schedules for additional information and reconciliations of such non-GAAP financial measures.</w:t>
      </w:r>
    </w:p>
    <w:p>
      <w:pPr>
        <w:spacing w:after="0" w:line="2" w:lineRule="exact"/>
        <w:rPr>
          <w:rFonts w:ascii="Arial" w:cs="Arial" w:eastAsia="Arial" w:hAnsi="Arial"/>
          <w:sz w:val="11"/>
          <w:szCs w:val="11"/>
          <w:color w:val="auto"/>
        </w:rPr>
      </w:pPr>
    </w:p>
    <w:p>
      <w:pPr>
        <w:ind w:left="160" w:hanging="152"/>
        <w:spacing w:after="0"/>
        <w:tabs>
          <w:tab w:leader="none" w:pos="160" w:val="left"/>
        </w:tabs>
        <w:numPr>
          <w:ilvl w:val="0"/>
          <w:numId w:val="1"/>
        </w:numPr>
        <w:rPr>
          <w:rFonts w:ascii="Arial" w:cs="Arial" w:eastAsia="Arial" w:hAnsi="Arial"/>
          <w:sz w:val="11"/>
          <w:szCs w:val="11"/>
          <w:color w:val="auto"/>
        </w:rPr>
      </w:pPr>
      <w:r>
        <w:rPr>
          <w:rFonts w:ascii="Arial" w:cs="Arial" w:eastAsia="Arial" w:hAnsi="Arial"/>
          <w:sz w:val="11"/>
          <w:szCs w:val="11"/>
          <w:color w:val="auto"/>
        </w:rPr>
        <w:t>Represents net income less net income attributable to non-controlling interests.</w:t>
      </w:r>
    </w:p>
    <w:p>
      <w:pPr>
        <w:sectPr>
          <w:pgSz w:w="11900" w:h="16840" w:orient="portrait"/>
          <w:cols w:equalWidth="0" w:num="2">
            <w:col w:w="5680" w:space="80"/>
            <w:col w:w="4480"/>
          </w:cols>
          <w:pgMar w:left="660" w:top="605" w:right="1000"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b w:val="1"/>
          <w:bCs w:val="1"/>
          <w:color w:val="083566"/>
        </w:rPr>
        <w:t>DISCUSSION OF RESULTS</w:t>
      </w:r>
    </w:p>
    <w:p>
      <w:pPr>
        <w:spacing w:after="0" w:line="103" w:lineRule="exact"/>
        <w:rPr>
          <w:sz w:val="20"/>
          <w:szCs w:val="20"/>
          <w:color w:val="auto"/>
        </w:rPr>
      </w:pPr>
    </w:p>
    <w:p>
      <w:pPr>
        <w:ind w:right="80"/>
        <w:spacing w:after="0" w:line="241" w:lineRule="auto"/>
        <w:rPr>
          <w:sz w:val="20"/>
          <w:szCs w:val="20"/>
          <w:color w:val="auto"/>
        </w:rPr>
      </w:pPr>
      <w:r>
        <w:rPr>
          <w:rFonts w:ascii="Arial" w:cs="Arial" w:eastAsia="Arial" w:hAnsi="Arial"/>
          <w:sz w:val="14"/>
          <w:szCs w:val="14"/>
          <w:b w:val="1"/>
          <w:bCs w:val="1"/>
          <w:color w:val="auto"/>
        </w:rPr>
        <w:t xml:space="preserve">Rates </w:t>
      </w:r>
      <w:r>
        <w:rPr>
          <w:rFonts w:ascii="Arial" w:cs="Arial" w:eastAsia="Arial" w:hAnsi="Arial"/>
          <w:sz w:val="14"/>
          <w:szCs w:val="14"/>
          <w:color w:val="auto"/>
        </w:rPr>
        <w:t>– Revenues of $274.5 million in the third quarter of 2025 increased 17.7% compared to prior year period (increased 15.3% on a constant currency basis).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Rates ADV was up 12.1% from prior year period, driven by record ADV in mortgages and swaps/swaptions &lt; 1-year. U.S. government bond volumes were supported by continued client engagement across a diverse set of trading protocols. European government bonds ADV was </w:t>
      </w:r>
      <w:r>
        <w:rPr>
          <w:rFonts w:ascii="Arial" w:cs="Arial" w:eastAsia="Arial" w:hAnsi="Arial"/>
          <w:sz w:val="15"/>
          <w:szCs w:val="15"/>
          <w:color w:val="auto"/>
        </w:rPr>
        <w:t>up</w:t>
      </w:r>
      <w:r>
        <w:rPr>
          <w:rFonts w:ascii="Arial" w:cs="Arial" w:eastAsia="Arial" w:hAnsi="Arial"/>
          <w:sz w:val="14"/>
          <w:szCs w:val="14"/>
          <w:color w:val="auto"/>
        </w:rPr>
        <w:t xml:space="preserve"> 22.9% from prior year period, led by strong volumes across our institutional and wholesale client channels. Mortgages ADV was up 12.3% from prior year period, reflecting record volumes driven by a growing number of clients executing on the platform and robust To-Be- Announced ("TBA") activity, supported by higher real money trading activity YoY. Specified pool volumes also saw strong gains, primarily due to broader client adoption and an expanding network of liquidity providers leveraging our platform technology.</w:t>
      </w:r>
    </w:p>
    <w:p>
      <w:pPr>
        <w:spacing w:after="0" w:line="183" w:lineRule="exact"/>
        <w:rPr>
          <w:sz w:val="20"/>
          <w:szCs w:val="20"/>
          <w:color w:val="auto"/>
        </w:rPr>
      </w:pPr>
    </w:p>
    <w:p>
      <w:pPr>
        <w:ind w:right="100"/>
        <w:spacing w:after="0" w:line="224" w:lineRule="auto"/>
        <w:rPr>
          <w:sz w:val="20"/>
          <w:szCs w:val="20"/>
          <w:color w:val="auto"/>
        </w:rPr>
      </w:pPr>
      <w:r>
        <w:rPr>
          <w:rFonts w:ascii="Arial" w:cs="Arial" w:eastAsia="Arial" w:hAnsi="Arial"/>
          <w:sz w:val="14"/>
          <w:szCs w:val="14"/>
          <w:b w:val="1"/>
          <w:bCs w:val="1"/>
          <w:color w:val="auto"/>
        </w:rPr>
        <w:t xml:space="preserve">Credit </w:t>
      </w:r>
      <w:r>
        <w:rPr>
          <w:rFonts w:ascii="Arial" w:cs="Arial" w:eastAsia="Arial" w:hAnsi="Arial"/>
          <w:sz w:val="14"/>
          <w:szCs w:val="14"/>
          <w:color w:val="auto"/>
        </w:rPr>
        <w:t>– Revenues of $121.3 million in the third quarter of 2025 increased 2.6% compared to prior year period (increased 1.2% on a constant currency basis).</w:t>
      </w:r>
      <w:r>
        <w:rPr>
          <w:rFonts w:ascii="Arial" w:cs="Arial" w:eastAsia="Arial" w:hAnsi="Arial"/>
          <w:sz w:val="14"/>
          <w:szCs w:val="14"/>
          <w:b w:val="1"/>
          <w:bCs w:val="1"/>
          <w:color w:val="auto"/>
        </w:rPr>
        <w:t xml:space="preserve"> </w:t>
      </w:r>
      <w:r>
        <w:rPr>
          <w:rFonts w:ascii="Arial" w:cs="Arial" w:eastAsia="Arial" w:hAnsi="Arial"/>
          <w:sz w:val="14"/>
          <w:szCs w:val="14"/>
          <w:color w:val="auto"/>
        </w:rPr>
        <w:t>Municipal bond ADV was up 36.1% from prior year period, led by strong growth across the retail and institutional platforms. U.S. credit ADV was up 8.5% from prior year period, driven by strong client adoption across Tradeweb protocols, most notably in request -for- quote ("RFQ") and Tradeweb AllTrade®. European credit ADV was up 19.8% from prior year period, driven by strong activity across a wide range of protocols, including Tradeweb's Automated Intelligent Execution ("AiEX") tool. We reported 18.6% share of fully electronic U.S. high grade TRACE, up 85 basis points (bps) from prior year period and 7.5% share of fully electronic U.S. high yield TRACE, down 26 bps from prior year period. We also reported 26.2% total share of U.S. high grade TRACE, up 150 bps from prior year period and 9.8% total share of U.S. high yield TRACE, down 67 bps from prior 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Equities </w:t>
      </w:r>
      <w:r>
        <w:rPr>
          <w:rFonts w:ascii="Arial" w:cs="Arial" w:eastAsia="Arial" w:hAnsi="Arial"/>
          <w:sz w:val="14"/>
          <w:szCs w:val="14"/>
          <w:color w:val="auto"/>
        </w:rPr>
        <w:t>– Revenues of $29.8 million in the third quarter of 2025 increased 16.9% compared to prior year period (increased 13.6% on a constant currency basis).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Equities ADV was up 14.2% from prior year period, driven by record activity in convertibles/swaps/options and higher trading volumes for International and U.S.</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exchange traded funds ("ETFs").</w:t>
      </w:r>
    </w:p>
    <w:p>
      <w:pPr>
        <w:spacing w:after="0" w:line="221" w:lineRule="exact"/>
        <w:rPr>
          <w:sz w:val="20"/>
          <w:szCs w:val="20"/>
          <w:color w:val="auto"/>
        </w:rPr>
      </w:pPr>
    </w:p>
    <w:p>
      <w:pPr>
        <w:ind w:right="300"/>
        <w:spacing w:after="0" w:line="276" w:lineRule="auto"/>
        <w:rPr>
          <w:sz w:val="20"/>
          <w:szCs w:val="20"/>
          <w:color w:val="auto"/>
        </w:rPr>
      </w:pPr>
      <w:r>
        <w:rPr>
          <w:rFonts w:ascii="Arial" w:cs="Arial" w:eastAsia="Arial" w:hAnsi="Arial"/>
          <w:sz w:val="14"/>
          <w:szCs w:val="14"/>
          <w:b w:val="1"/>
          <w:bCs w:val="1"/>
          <w:color w:val="auto"/>
        </w:rPr>
        <w:t xml:space="preserve">Money Markets </w:t>
      </w:r>
      <w:r>
        <w:rPr>
          <w:rFonts w:ascii="Arial" w:cs="Arial" w:eastAsia="Arial" w:hAnsi="Arial"/>
          <w:sz w:val="14"/>
          <w:szCs w:val="14"/>
          <w:color w:val="auto"/>
        </w:rPr>
        <w:t>– Revenues of $42.9 million in the third quarter of 2025 increased 18.7% compared to prior year period (increased 17.7% on a constant currency</w:t>
      </w:r>
      <w:r>
        <w:rPr>
          <w:rFonts w:ascii="Arial" w:cs="Arial" w:eastAsia="Arial" w:hAnsi="Arial"/>
          <w:sz w:val="14"/>
          <w:szCs w:val="14"/>
          <w:b w:val="1"/>
          <w:bCs w:val="1"/>
          <w:color w:val="auto"/>
        </w:rPr>
        <w:t xml:space="preserve"> </w:t>
      </w:r>
      <w:r>
        <w:rPr>
          <w:rFonts w:ascii="Arial" w:cs="Arial" w:eastAsia="Arial" w:hAnsi="Arial"/>
          <w:sz w:val="14"/>
          <w:szCs w:val="14"/>
          <w:color w:val="auto"/>
        </w:rPr>
        <w:t>basis). Money Markets ADV was up 11.9% from prior year period, driven by record activity in global repurchase agreements.</w:t>
      </w:r>
    </w:p>
    <w:p>
      <w:pPr>
        <w:spacing w:after="0" w:line="170"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b w:val="1"/>
          <w:bCs w:val="1"/>
          <w:color w:val="auto"/>
        </w:rPr>
        <w:t xml:space="preserve">Market Data </w:t>
      </w:r>
      <w:r>
        <w:rPr>
          <w:rFonts w:ascii="Arial" w:cs="Arial" w:eastAsia="Arial" w:hAnsi="Arial"/>
          <w:sz w:val="14"/>
          <w:szCs w:val="14"/>
          <w:color w:val="auto"/>
        </w:rPr>
        <w:t>– Revenues of $30.8 million in the third quarter of 2025 increased 3.6% compared to prior year period (increased 3.0% on a constant currency basis)</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due to increases in proprietary third party market data revenue.</w:t>
      </w:r>
    </w:p>
    <w:p>
      <w:pPr>
        <w:spacing w:after="0" w:line="170" w:lineRule="exact"/>
        <w:rPr>
          <w:sz w:val="20"/>
          <w:szCs w:val="20"/>
          <w:color w:val="auto"/>
        </w:rPr>
      </w:pPr>
    </w:p>
    <w:p>
      <w:pPr>
        <w:ind w:right="20"/>
        <w:spacing w:after="0" w:line="294" w:lineRule="auto"/>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14"/>
          <w:szCs w:val="14"/>
          <w:color w:val="auto"/>
        </w:rPr>
        <w:t>– Revenues of $9.2 million in the third quarter of 2025 increased 51.6% compared to prior year period (increased 51.5% on a constant currency basis) primarily</w:t>
      </w:r>
      <w:r>
        <w:rPr>
          <w:rFonts w:ascii="Arial" w:cs="Arial" w:eastAsia="Arial" w:hAnsi="Arial"/>
          <w:sz w:val="14"/>
          <w:szCs w:val="14"/>
          <w:b w:val="1"/>
          <w:bCs w:val="1"/>
          <w:color w:val="auto"/>
        </w:rPr>
        <w:t xml:space="preserve"> </w:t>
      </w:r>
      <w:r>
        <w:rPr>
          <w:rFonts w:ascii="Arial" w:cs="Arial" w:eastAsia="Arial" w:hAnsi="Arial"/>
          <w:sz w:val="14"/>
          <w:szCs w:val="14"/>
          <w:color w:val="auto"/>
        </w:rPr>
        <w:t>due to an increase in digital asset revenue earned for performing validation services on the Canton Network.</w:t>
      </w:r>
    </w:p>
    <w:p>
      <w:pPr>
        <w:spacing w:after="0" w:line="170" w:lineRule="exact"/>
        <w:rPr>
          <w:sz w:val="20"/>
          <w:szCs w:val="20"/>
          <w:color w:val="auto"/>
        </w:rPr>
      </w:pPr>
    </w:p>
    <w:p>
      <w:pPr>
        <w:ind w:right="40"/>
        <w:spacing w:after="0" w:line="243" w:lineRule="auto"/>
        <w:rPr>
          <w:sz w:val="20"/>
          <w:szCs w:val="20"/>
          <w:color w:val="auto"/>
        </w:rPr>
      </w:pPr>
      <w:r>
        <w:rPr>
          <w:rFonts w:ascii="Arial" w:cs="Arial" w:eastAsia="Arial" w:hAnsi="Arial"/>
          <w:sz w:val="14"/>
          <w:szCs w:val="14"/>
          <w:b w:val="1"/>
          <w:bCs w:val="1"/>
          <w:color w:val="auto"/>
        </w:rPr>
        <w:t xml:space="preserve">Operating Expenses </w:t>
      </w:r>
      <w:r>
        <w:rPr>
          <w:rFonts w:ascii="Arial" w:cs="Arial" w:eastAsia="Arial" w:hAnsi="Arial"/>
          <w:sz w:val="14"/>
          <w:szCs w:val="14"/>
          <w:color w:val="auto"/>
        </w:rPr>
        <w:t>of $298.2 million in the third quarter of 2025 increased 3.0% compared to $289.6 million in prior year period, primarily due to (i) increased</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 in our data strategy and infrastructure, as well as increased clearance and data fees driven primarily by higher trading volumes period-over-period, (ii) an increase in depreciation and amortization expense primarily related to the assets acquired in connection with the 2024 acquisition of ICD and other investments in our infrastructure and (iii) an increase in employee compensation and benefits primarily due to an increase in headcount associated with our continued growth. These increases were partially offset by a decrease in professional fees related to acquisitions.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4"/>
          <w:szCs w:val="14"/>
          <w:b w:val="1"/>
          <w:bCs w:val="1"/>
          <w:color w:val="auto"/>
        </w:rPr>
        <w:t xml:space="preserve">Adjusted Expenses </w:t>
      </w:r>
      <w:r>
        <w:rPr>
          <w:rFonts w:ascii="Arial" w:cs="Arial" w:eastAsia="Arial" w:hAnsi="Arial"/>
          <w:sz w:val="14"/>
          <w:szCs w:val="14"/>
          <w:color w:val="auto"/>
        </w:rPr>
        <w:t>of $253.1 million in the third quarter of 2025 increased 12.5% (increased 11.1% on a constant currency basis) compared to prior year period</w:t>
      </w:r>
      <w:r>
        <w:rPr>
          <w:rFonts w:ascii="Arial" w:cs="Arial" w:eastAsia="Arial" w:hAnsi="Arial"/>
          <w:sz w:val="14"/>
          <w:szCs w:val="14"/>
          <w:b w:val="1"/>
          <w:bCs w:val="1"/>
          <w:color w:val="auto"/>
        </w:rPr>
        <w:t xml:space="preserve"> </w:t>
      </w:r>
      <w:r>
        <w:rPr>
          <w:rFonts w:ascii="Arial" w:cs="Arial" w:eastAsia="Arial" w:hAnsi="Arial"/>
          <w:sz w:val="14"/>
          <w:szCs w:val="14"/>
          <w:color w:val="auto"/>
        </w:rPr>
        <w:t>primarily due to (i) increased investment in our data strategy and infrastructure, as well as increased clearance and data fees driven primarily by higher trading volumes period-over-period, (ii) an increase in employee compensation and benefits primarily due to an increase in headcount associated with our continued growth and (iii) an increase in general and administrative expenses primarily due to increases in travel and entertainment expenses and realized foreign exchange losses. Please see "Non-GAAP Financial Measures" below for additional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RECENT HIGHLIGHTS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October 2025</w:t>
      </w:r>
    </w:p>
    <w:p>
      <w:pPr>
        <w:spacing w:after="0" w:line="21" w:lineRule="exact"/>
        <w:rPr>
          <w:sz w:val="20"/>
          <w:szCs w:val="20"/>
          <w:color w:val="auto"/>
        </w:rPr>
      </w:pPr>
    </w:p>
    <w:p>
      <w:pPr>
        <w:ind w:left="580" w:right="120" w:hanging="286"/>
        <w:spacing w:after="0" w:line="250" w:lineRule="auto"/>
        <w:tabs>
          <w:tab w:leader="none" w:pos="568"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Appointed Rich Chun as Managing Director, Head of Asia. Based in Hong Kong, Mr. Chun will oversee Tradeweb's business operations, client engagement efforts and strategic growth initiatives in the Asia Pacific region.</w:t>
      </w:r>
    </w:p>
    <w:p>
      <w:pPr>
        <w:ind w:left="580" w:right="480" w:hanging="286"/>
        <w:spacing w:after="0" w:line="250" w:lineRule="auto"/>
        <w:tabs>
          <w:tab w:leader="none" w:pos="568" w:val="left"/>
        </w:tabs>
        <w:numPr>
          <w:ilvl w:val="0"/>
          <w:numId w:val="2"/>
        </w:numPr>
        <w:rPr>
          <w:rFonts w:ascii="Arial" w:cs="Arial" w:eastAsia="Arial" w:hAnsi="Arial"/>
          <w:sz w:val="14"/>
          <w:szCs w:val="14"/>
          <w:color w:val="auto"/>
        </w:rPr>
      </w:pPr>
      <w:r>
        <w:rPr>
          <w:rFonts w:ascii="Arial" w:cs="Arial" w:eastAsia="Arial" w:hAnsi="Arial"/>
          <w:sz w:val="14"/>
          <w:szCs w:val="14"/>
          <w:color w:val="auto"/>
        </w:rPr>
        <w:t>Completed the first-ever fully electronic request-for-market swaption package trade. Citadel and Barclays were counterparties on the trade, which was executed on the Tradeweb Swap Execution Facility.</w:t>
      </w:r>
    </w:p>
    <w:p>
      <w:pPr>
        <w:ind w:left="580" w:right="60" w:hanging="286"/>
        <w:spacing w:after="0" w:line="250" w:lineRule="auto"/>
        <w:tabs>
          <w:tab w:leader="none" w:pos="568" w:val="left"/>
        </w:tabs>
        <w:numPr>
          <w:ilvl w:val="0"/>
          <w:numId w:val="2"/>
        </w:numPr>
        <w:rPr>
          <w:rFonts w:ascii="Arial" w:cs="Arial" w:eastAsia="Arial" w:hAnsi="Arial"/>
          <w:sz w:val="14"/>
          <w:szCs w:val="14"/>
          <w:color w:val="auto"/>
        </w:rPr>
      </w:pPr>
      <w:r>
        <w:rPr>
          <w:rFonts w:ascii="Arial" w:cs="Arial" w:eastAsia="Arial" w:hAnsi="Arial"/>
          <w:sz w:val="14"/>
          <w:szCs w:val="14"/>
          <w:color w:val="auto"/>
        </w:rPr>
        <w:t>Expanded its dealer algorithmic execution capabilities for U.S. Treasuries, providing institutional clients with access to deeper liquidity and smarter execution strategies through Tradeweb's comprehensive dealer algo suite.</w:t>
      </w:r>
    </w:p>
    <w:p>
      <w:pPr>
        <w:ind w:left="580" w:hanging="286"/>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Appointed Sandra "Sandee" Buchanan as the Global Head of Human Capital and a member of the firm's Executive Committee.</w:t>
      </w:r>
    </w:p>
    <w:p>
      <w:pPr>
        <w:spacing w:after="0" w:line="7" w:lineRule="exact"/>
        <w:rPr>
          <w:rFonts w:ascii="Arial" w:cs="Arial" w:eastAsia="Arial" w:hAnsi="Arial"/>
          <w:sz w:val="14"/>
          <w:szCs w:val="14"/>
          <w:color w:val="auto"/>
        </w:rPr>
      </w:pPr>
    </w:p>
    <w:p>
      <w:pPr>
        <w:ind w:left="580" w:hanging="286"/>
        <w:spacing w:after="0"/>
        <w:tabs>
          <w:tab w:leader="none" w:pos="580"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Tradeweb awarded "Best AI Solution for Liquidity Discovery" in the</w:t>
      </w:r>
      <w:r>
        <w:rPr>
          <w:rFonts w:ascii="Arial" w:cs="Arial" w:eastAsia="Arial" w:hAnsi="Arial"/>
          <w:sz w:val="14"/>
          <w:szCs w:val="14"/>
          <w:i w:val="1"/>
          <w:iCs w:val="1"/>
          <w:color w:val="auto"/>
        </w:rPr>
        <w:t>A-Team Insight</w:t>
      </w:r>
      <w:r>
        <w:rPr>
          <w:rFonts w:ascii="Arial" w:cs="Arial" w:eastAsia="Arial" w:hAnsi="Arial"/>
          <w:sz w:val="14"/>
          <w:szCs w:val="14"/>
          <w:color w:val="auto"/>
        </w:rPr>
        <w:t xml:space="preserve"> AI in Capital Markets Awards 2025.</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Quarter 2025</w:t>
      </w:r>
    </w:p>
    <w:p>
      <w:pPr>
        <w:spacing w:after="0" w:line="21" w:lineRule="exact"/>
        <w:rPr>
          <w:sz w:val="20"/>
          <w:szCs w:val="20"/>
          <w:color w:val="auto"/>
        </w:rPr>
      </w:pPr>
    </w:p>
    <w:p>
      <w:pPr>
        <w:ind w:left="580" w:right="360" w:hanging="286"/>
        <w:spacing w:after="0" w:line="232" w:lineRule="auto"/>
        <w:tabs>
          <w:tab w:leader="none" w:pos="568" w:val="left"/>
        </w:tabs>
        <w:numPr>
          <w:ilvl w:val="0"/>
          <w:numId w:val="3"/>
        </w:numPr>
        <w:rPr>
          <w:rFonts w:ascii="Arial" w:cs="Arial" w:eastAsia="Arial" w:hAnsi="Arial"/>
          <w:sz w:val="14"/>
          <w:szCs w:val="14"/>
          <w:color w:val="auto"/>
        </w:rPr>
      </w:pPr>
      <w:r>
        <w:rPr>
          <w:rFonts w:ascii="Arial" w:cs="Arial" w:eastAsia="Arial" w:hAnsi="Arial"/>
          <w:sz w:val="14"/>
          <w:szCs w:val="14"/>
          <w:color w:val="auto"/>
        </w:rPr>
        <w:t>Participated in Fnality's Series C funding round, supporting the development of next generation wholesale payment systems regulated by central banks, alongside WisdomTree, Bank of America, Citi, KBC Bank &amp; Verzekering and Temasek.</w:t>
      </w:r>
    </w:p>
    <w:p>
      <w:pPr>
        <w:ind w:left="580" w:hanging="286"/>
        <w:spacing w:after="0" w:line="232"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Executed the first fully electronic bilateral multi-asset package list trade between Pension Insurance Corporation (PIC) and Citi on Tradeweb.</w:t>
      </w:r>
    </w:p>
    <w:p>
      <w:pPr>
        <w:ind w:left="580" w:hanging="286"/>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Supported J.P. Morgan in executing its first fully-automated European Government Bond Basis RFQ trade on Tradeweb's platform.</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2</w:t>
      </w:r>
    </w:p>
    <w:p>
      <w:pPr>
        <w:sectPr>
          <w:pgSz w:w="11900" w:h="16840" w:orient="portrait"/>
          <w:cols w:equalWidth="0" w:num="1">
            <w:col w:w="10580"/>
          </w:cols>
          <w:pgMar w:left="660" w:top="1253" w:right="660" w:bottom="1440" w:gutter="0" w:footer="0" w:header="0"/>
        </w:sectPr>
      </w:pPr>
    </w:p>
    <w:bookmarkStart w:id="5" w:name="page6"/>
    <w:bookmarkEnd w:id="5"/>
    <w:p>
      <w:pPr>
        <w:ind w:left="580" w:right="280" w:hanging="286"/>
        <w:spacing w:after="0" w:line="243" w:lineRule="auto"/>
        <w:tabs>
          <w:tab w:leader="none" w:pos="568" w:val="left"/>
        </w:tabs>
        <w:numPr>
          <w:ilvl w:val="0"/>
          <w:numId w:val="4"/>
        </w:numPr>
        <w:rPr>
          <w:rFonts w:ascii="Arial" w:cs="Arial" w:eastAsia="Arial" w:hAnsi="Arial"/>
          <w:sz w:val="14"/>
          <w:szCs w:val="14"/>
          <w:color w:val="auto"/>
        </w:rPr>
      </w:pPr>
      <w:r>
        <w:rPr>
          <w:rFonts w:ascii="Arial" w:cs="Arial" w:eastAsia="Arial" w:hAnsi="Arial"/>
          <w:sz w:val="14"/>
          <w:szCs w:val="14"/>
          <w:color w:val="auto"/>
        </w:rPr>
        <w:t>Participated in a working group focused on advancing on-chain initiatives through the Canton Network, marking a first in enabling real-time, fully on-chain financing of U.S. Treasuries against USDC.</w:t>
      </w:r>
    </w:p>
    <w:p>
      <w:pPr>
        <w:ind w:left="580" w:right="480" w:hanging="286"/>
        <w:spacing w:after="0" w:line="232" w:lineRule="auto"/>
        <w:tabs>
          <w:tab w:leader="none" w:pos="568" w:val="left"/>
        </w:tabs>
        <w:numPr>
          <w:ilvl w:val="0"/>
          <w:numId w:val="4"/>
        </w:numPr>
        <w:rPr>
          <w:rFonts w:ascii="Arial" w:cs="Arial" w:eastAsia="Arial" w:hAnsi="Arial"/>
          <w:sz w:val="14"/>
          <w:szCs w:val="14"/>
          <w:color w:val="auto"/>
        </w:rPr>
      </w:pPr>
      <w:r>
        <w:rPr>
          <w:rFonts w:ascii="Arial" w:cs="Arial" w:eastAsia="Arial" w:hAnsi="Arial"/>
          <w:sz w:val="14"/>
          <w:szCs w:val="14"/>
          <w:color w:val="auto"/>
        </w:rPr>
        <w:t>Supported the Canton Network with a major upgrade across 200+ validators and operators of its decentralized infrastructure to improve resiliency and reliability.</w:t>
      </w:r>
    </w:p>
    <w:p>
      <w:pPr>
        <w:ind w:left="580" w:right="140" w:hanging="286"/>
        <w:spacing w:after="0" w:line="232" w:lineRule="auto"/>
        <w:tabs>
          <w:tab w:leader="none" w:pos="568" w:val="left"/>
        </w:tabs>
        <w:numPr>
          <w:ilvl w:val="0"/>
          <w:numId w:val="4"/>
        </w:numPr>
        <w:rPr>
          <w:rFonts w:ascii="Arial" w:cs="Arial" w:eastAsia="Arial" w:hAnsi="Arial"/>
          <w:sz w:val="14"/>
          <w:szCs w:val="14"/>
          <w:color w:val="auto"/>
        </w:rPr>
      </w:pPr>
      <w:r>
        <w:rPr>
          <w:rFonts w:ascii="Arial" w:cs="Arial" w:eastAsia="Arial" w:hAnsi="Arial"/>
          <w:sz w:val="14"/>
          <w:szCs w:val="14"/>
          <w:color w:val="auto"/>
        </w:rPr>
        <w:t>Passed Gate 1 approval for the Bank of England’s Digital Securities Sandbox, an initiative to support the use of Distributed Ledger Technology (DLT) in the issuance, trading and settlement of securities in the UK.</w:t>
      </w:r>
    </w:p>
    <w:p>
      <w:pPr>
        <w:ind w:left="580" w:hanging="286"/>
        <w:spacing w:after="0"/>
        <w:tabs>
          <w:tab w:leader="none" w:pos="58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Enrico Bruni named in </w:t>
      </w:r>
      <w:r>
        <w:rPr>
          <w:rFonts w:ascii="Arial" w:cs="Arial" w:eastAsia="Arial" w:hAnsi="Arial"/>
          <w:sz w:val="14"/>
          <w:szCs w:val="14"/>
          <w:i w:val="1"/>
          <w:iCs w:val="1"/>
          <w:color w:val="auto"/>
        </w:rPr>
        <w:t>Financial News</w:t>
      </w:r>
      <w:r>
        <w:rPr>
          <w:rFonts w:ascii="Arial" w:cs="Arial" w:eastAsia="Arial" w:hAnsi="Arial"/>
          <w:sz w:val="14"/>
          <w:szCs w:val="14"/>
          <w:color w:val="auto"/>
        </w:rPr>
        <w:t>’ Most Influential in European Finance 2025 list.</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CAPITAL MANAGEMENT</w:t>
      </w:r>
    </w:p>
    <w:p>
      <w:pPr>
        <w:spacing w:after="0" w:line="103" w:lineRule="exact"/>
        <w:rPr>
          <w:sz w:val="20"/>
          <w:szCs w:val="20"/>
          <w:color w:val="auto"/>
        </w:rPr>
      </w:pPr>
    </w:p>
    <w:p>
      <w:pPr>
        <w:ind w:left="580" w:hanging="286"/>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$1.9 billion in cash and cash equivalents and an undrawn $500 million credit facility at September 30, 2025</w:t>
      </w:r>
    </w:p>
    <w:p>
      <w:pPr>
        <w:spacing w:after="0" w:line="21" w:lineRule="exact"/>
        <w:rPr>
          <w:rFonts w:ascii="Arial" w:cs="Arial" w:eastAsia="Arial" w:hAnsi="Arial"/>
          <w:sz w:val="14"/>
          <w:szCs w:val="14"/>
          <w:color w:val="auto"/>
        </w:rPr>
      </w:pPr>
    </w:p>
    <w:p>
      <w:pPr>
        <w:ind w:left="580" w:right="580" w:hanging="286"/>
        <w:spacing w:after="0" w:line="250" w:lineRule="auto"/>
        <w:tabs>
          <w:tab w:leader="none" w:pos="568" w:val="left"/>
        </w:tabs>
        <w:numPr>
          <w:ilvl w:val="0"/>
          <w:numId w:val="5"/>
        </w:numPr>
        <w:rPr>
          <w:rFonts w:ascii="Arial" w:cs="Arial" w:eastAsia="Arial" w:hAnsi="Arial"/>
          <w:sz w:val="14"/>
          <w:szCs w:val="14"/>
          <w:color w:val="auto"/>
        </w:rPr>
      </w:pPr>
      <w:r>
        <w:rPr>
          <w:rFonts w:ascii="Arial" w:cs="Arial" w:eastAsia="Arial" w:hAnsi="Arial"/>
          <w:sz w:val="14"/>
          <w:szCs w:val="14"/>
          <w:color w:val="auto"/>
        </w:rPr>
        <w:t>Free cash flow for the trailing twelve months ended September 30, 2025 of $987.5 million, up 23.8% compared to prior year period. See “Non-GAAP Financial Measures” for additional information</w:t>
      </w:r>
    </w:p>
    <w:p>
      <w:pPr>
        <w:ind w:left="580" w:hanging="286"/>
        <w:spacing w:after="0"/>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Cash capital expenditures and capitalized software development during the third quarter of 2025 of $31.4 million</w:t>
      </w:r>
    </w:p>
    <w:p>
      <w:pPr>
        <w:spacing w:after="0" w:line="7" w:lineRule="exact"/>
        <w:rPr>
          <w:rFonts w:ascii="Arial" w:cs="Arial" w:eastAsia="Arial" w:hAnsi="Arial"/>
          <w:sz w:val="14"/>
          <w:szCs w:val="14"/>
          <w:color w:val="auto"/>
        </w:rPr>
      </w:pPr>
    </w:p>
    <w:p>
      <w:pPr>
        <w:ind w:left="580" w:right="80" w:hanging="286"/>
        <w:spacing w:after="0" w:line="250" w:lineRule="auto"/>
        <w:tabs>
          <w:tab w:leader="none" w:pos="568" w:val="left"/>
        </w:tabs>
        <w:numPr>
          <w:ilvl w:val="0"/>
          <w:numId w:val="5"/>
        </w:numPr>
        <w:rPr>
          <w:rFonts w:ascii="Arial" w:cs="Arial" w:eastAsia="Arial" w:hAnsi="Arial"/>
          <w:sz w:val="14"/>
          <w:szCs w:val="14"/>
          <w:color w:val="auto"/>
        </w:rPr>
      </w:pPr>
      <w:r>
        <w:rPr>
          <w:rFonts w:ascii="Arial" w:cs="Arial" w:eastAsia="Arial" w:hAnsi="Arial"/>
          <w:sz w:val="14"/>
          <w:szCs w:val="14"/>
          <w:color w:val="auto"/>
        </w:rPr>
        <w:t>$15.0 million in cash proceeds received on sale of Canton Coins during the third quarter of 2025. 1.7 billion of Canton Coins held and valued at $55.8 million as of September 30, 2025, with $14.9 million in realized gains on Canton Coins sold and $28.3 million in unrealized gains during the third quarter of 2025 (both included in other income on the consolidated statements of income and excluded from all non-GAAP financial measures)</w:t>
      </w:r>
    </w:p>
    <w:p>
      <w:pPr>
        <w:spacing w:after="0" w:line="1" w:lineRule="exact"/>
        <w:rPr>
          <w:rFonts w:ascii="Arial" w:cs="Arial" w:eastAsia="Arial" w:hAnsi="Arial"/>
          <w:sz w:val="14"/>
          <w:szCs w:val="14"/>
          <w:color w:val="auto"/>
        </w:rPr>
      </w:pPr>
    </w:p>
    <w:p>
      <w:pPr>
        <w:ind w:left="580" w:right="520" w:hanging="286"/>
        <w:spacing w:after="0" w:line="250" w:lineRule="auto"/>
        <w:tabs>
          <w:tab w:leader="none" w:pos="568" w:val="left"/>
        </w:tabs>
        <w:numPr>
          <w:ilvl w:val="0"/>
          <w:numId w:val="5"/>
        </w:numPr>
        <w:rPr>
          <w:rFonts w:ascii="Arial" w:cs="Arial" w:eastAsia="Arial" w:hAnsi="Arial"/>
          <w:sz w:val="14"/>
          <w:szCs w:val="14"/>
          <w:color w:val="auto"/>
        </w:rPr>
      </w:pPr>
      <w:r>
        <w:rPr>
          <w:rFonts w:ascii="Arial" w:cs="Arial" w:eastAsia="Arial" w:hAnsi="Arial"/>
          <w:sz w:val="14"/>
          <w:szCs w:val="14"/>
          <w:color w:val="auto"/>
        </w:rPr>
        <w:t>$179.9 million remained available for repurchase pursuant to the share repurchase program authorization as of September 30, 2025. No shares were repurchased during the third quarter of 2025</w:t>
      </w:r>
    </w:p>
    <w:p>
      <w:pPr>
        <w:ind w:left="580" w:right="320" w:hanging="286"/>
        <w:spacing w:after="0" w:line="250" w:lineRule="auto"/>
        <w:tabs>
          <w:tab w:leader="none" w:pos="568" w:val="left"/>
        </w:tabs>
        <w:numPr>
          <w:ilvl w:val="0"/>
          <w:numId w:val="5"/>
        </w:numPr>
        <w:rPr>
          <w:rFonts w:ascii="Arial" w:cs="Arial" w:eastAsia="Arial" w:hAnsi="Arial"/>
          <w:sz w:val="14"/>
          <w:szCs w:val="14"/>
          <w:color w:val="auto"/>
        </w:rPr>
      </w:pPr>
      <w:r>
        <w:rPr>
          <w:rFonts w:ascii="Arial" w:cs="Arial" w:eastAsia="Arial" w:hAnsi="Arial"/>
          <w:sz w:val="14"/>
          <w:szCs w:val="14"/>
          <w:color w:val="auto"/>
        </w:rPr>
        <w:t>$1.2 million in shares of Class A common stock were withheld during the third quarter of 2025 to satisfy tax obligations related to the vesting of restricted stock units and performance-based restricted stock units held by employees</w:t>
      </w:r>
    </w:p>
    <w:p>
      <w:pPr>
        <w:ind w:left="580" w:right="360" w:hanging="286"/>
        <w:spacing w:after="0" w:line="273" w:lineRule="auto"/>
        <w:tabs>
          <w:tab w:leader="none" w:pos="568"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Board declared a quarterly cash dividend of $0.12 per share of Class A common stock and Class B common stock. The dividend will be payable on December 15, 2025 to stockholders of record as of December 1, 2025</w:t>
      </w:r>
    </w:p>
    <w:p>
      <w:pPr>
        <w:spacing w:after="0" w:line="148"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OTHER MATTERS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Updated Full-Year 2025 Guidance*</w:t>
      </w:r>
    </w:p>
    <w:p>
      <w:pPr>
        <w:spacing w:after="0" w:line="103" w:lineRule="exact"/>
        <w:rPr>
          <w:sz w:val="20"/>
          <w:szCs w:val="20"/>
          <w:color w:val="auto"/>
        </w:rPr>
      </w:pPr>
    </w:p>
    <w:p>
      <w:pPr>
        <w:ind w:left="580" w:hanging="286"/>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Expenses: $1,000 - 1,025 million</w:t>
      </w:r>
    </w:p>
    <w:p>
      <w:pPr>
        <w:spacing w:after="0" w:line="29" w:lineRule="exact"/>
        <w:rPr>
          <w:rFonts w:ascii="Arial" w:cs="Arial" w:eastAsia="Arial" w:hAnsi="Arial"/>
          <w:sz w:val="14"/>
          <w:szCs w:val="14"/>
          <w:color w:val="auto"/>
        </w:rPr>
      </w:pPr>
    </w:p>
    <w:p>
      <w:pPr>
        <w:ind w:left="580" w:hanging="286"/>
        <w:spacing w:after="0" w:line="224"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4"/>
          <w:szCs w:val="14"/>
          <w:color w:val="auto"/>
        </w:rPr>
        <w:t>Acquisition and Refinitiv Transaction related depreciation and amortization expense: $176 million</w:t>
      </w:r>
    </w:p>
    <w:p>
      <w:pPr>
        <w:ind w:left="580" w:hanging="286"/>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Assumed non-GAAP tax rate: ~24.5% - 25.5%</w:t>
      </w:r>
    </w:p>
    <w:p>
      <w:pPr>
        <w:spacing w:after="0" w:line="7" w:lineRule="exact"/>
        <w:rPr>
          <w:rFonts w:ascii="Arial" w:cs="Arial" w:eastAsia="Arial" w:hAnsi="Arial"/>
          <w:sz w:val="14"/>
          <w:szCs w:val="14"/>
          <w:color w:val="auto"/>
        </w:rPr>
      </w:pPr>
    </w:p>
    <w:p>
      <w:pPr>
        <w:ind w:left="580" w:hanging="286"/>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Cash capital expenditures and capitalized software development: ~$99 - 109 million</w:t>
      </w:r>
    </w:p>
    <w:p>
      <w:pPr>
        <w:spacing w:after="0" w:line="7" w:lineRule="exact"/>
        <w:rPr>
          <w:rFonts w:ascii="Arial" w:cs="Arial" w:eastAsia="Arial" w:hAnsi="Arial"/>
          <w:sz w:val="14"/>
          <w:szCs w:val="14"/>
          <w:color w:val="auto"/>
        </w:rPr>
      </w:pPr>
    </w:p>
    <w:p>
      <w:pPr>
        <w:ind w:left="580" w:hanging="286"/>
        <w:spacing w:after="0"/>
        <w:tabs>
          <w:tab w:leader="none" w:pos="580" w:val="left"/>
        </w:tabs>
        <w:numPr>
          <w:ilvl w:val="0"/>
          <w:numId w:val="6"/>
        </w:numPr>
        <w:rPr>
          <w:rFonts w:ascii="Arial" w:cs="Arial" w:eastAsia="Arial" w:hAnsi="Arial"/>
          <w:sz w:val="14"/>
          <w:szCs w:val="14"/>
          <w:color w:val="auto"/>
        </w:rPr>
      </w:pPr>
      <w:r>
        <w:rPr>
          <w:rFonts w:ascii="Arial" w:cs="Arial" w:eastAsia="Arial" w:hAnsi="Arial"/>
          <w:sz w:val="14"/>
          <w:szCs w:val="14"/>
          <w:color w:val="auto"/>
        </w:rPr>
        <w:t>LSEG Market Data Contract Revenue: ~$92 million for the year ended December 31, 2025, including ~$22 million for 4Q25</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The guidance has been revised to reflect a tighter adjusted expense range and an increase to the LSEG Market Data Contract Revenue given current expectations.</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Depreciation and amortization, assumed non-GAAP tax rate and expenditures guidance is unchanged from the prior quarter guidance.</w:t>
      </w:r>
    </w:p>
    <w:p>
      <w:pPr>
        <w:spacing w:after="0" w:line="222" w:lineRule="exact"/>
        <w:rPr>
          <w:sz w:val="20"/>
          <w:szCs w:val="20"/>
          <w:color w:val="auto"/>
        </w:rPr>
      </w:pPr>
    </w:p>
    <w:p>
      <w:pPr>
        <w:ind w:left="300" w:right="660"/>
        <w:spacing w:after="0" w:line="289" w:lineRule="auto"/>
        <w:rPr>
          <w:sz w:val="20"/>
          <w:szCs w:val="20"/>
          <w:color w:val="auto"/>
        </w:rPr>
      </w:pPr>
      <w:r>
        <w:rPr>
          <w:rFonts w:ascii="Arial" w:cs="Arial" w:eastAsia="Arial" w:hAnsi="Arial"/>
          <w:sz w:val="13"/>
          <w:szCs w:val="13"/>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2025 Sterling/US$ foreign exchange rate of 1.28.</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CONFERENCE CALL</w:t>
      </w:r>
    </w:p>
    <w:p>
      <w:pPr>
        <w:spacing w:after="0" w:line="103" w:lineRule="exact"/>
        <w:rPr>
          <w:sz w:val="20"/>
          <w:szCs w:val="20"/>
          <w:color w:val="auto"/>
        </w:rPr>
      </w:pPr>
    </w:p>
    <w:p>
      <w:pPr>
        <w:ind w:right="400"/>
        <w:spacing w:after="0" w:line="294" w:lineRule="auto"/>
        <w:rPr>
          <w:sz w:val="20"/>
          <w:szCs w:val="20"/>
          <w:color w:val="auto"/>
        </w:rPr>
      </w:pPr>
      <w:r>
        <w:rPr>
          <w:rFonts w:ascii="Arial" w:cs="Arial" w:eastAsia="Arial" w:hAnsi="Arial"/>
          <w:sz w:val="14"/>
          <w:szCs w:val="14"/>
          <w:color w:val="auto"/>
        </w:rPr>
        <w:t xml:space="preserve">Tradeweb Markets will hold a conference call to discuss third quarter 2025 results starting at 9:30 AM EDT today, October 30, 2025. A live, audio webcast of the conference call along with related presentation materials will be available at </w:t>
      </w:r>
      <w:r>
        <w:rPr>
          <w:rFonts w:ascii="Arial" w:cs="Arial" w:eastAsia="Arial" w:hAnsi="Arial"/>
          <w:sz w:val="14"/>
          <w:szCs w:val="14"/>
          <w:u w:val="single" w:color="auto"/>
          <w:color w:val="0E32E1"/>
        </w:rPr>
        <w:t>https://investors.tradeweb.com/events-and-presentations</w:t>
      </w:r>
      <w:r>
        <w:rPr>
          <w:rFonts w:ascii="Arial" w:cs="Arial" w:eastAsia="Arial" w:hAnsi="Arial"/>
          <w:sz w:val="14"/>
          <w:szCs w:val="14"/>
          <w:color w:val="auto"/>
        </w:rPr>
        <w:t>.</w:t>
      </w:r>
    </w:p>
    <w:p>
      <w:pPr>
        <w:spacing w:after="0" w:line="177" w:lineRule="exact"/>
        <w:rPr>
          <w:sz w:val="20"/>
          <w:szCs w:val="20"/>
          <w:color w:val="auto"/>
        </w:rPr>
      </w:pPr>
    </w:p>
    <w:p>
      <w:pPr>
        <w:ind w:left="580" w:hanging="286"/>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4"/>
          <w:szCs w:val="14"/>
          <w:color w:val="auto"/>
        </w:rPr>
        <w:t>To join the call via audio webcast, click here:</w:t>
      </w:r>
      <w:r>
        <w:rPr>
          <w:rFonts w:ascii="Arial" w:cs="Arial" w:eastAsia="Arial" w:hAnsi="Arial"/>
          <w:sz w:val="14"/>
          <w:szCs w:val="14"/>
          <w:u w:val="single" w:color="auto"/>
          <w:color w:val="0E32E1"/>
        </w:rPr>
        <w:t>https://edge.media-server.com/mmc/p/7v6gjy5v/</w:t>
      </w:r>
    </w:p>
    <w:p>
      <w:pPr>
        <w:spacing w:after="0" w:line="12" w:lineRule="exact"/>
        <w:rPr>
          <w:rFonts w:ascii="Arial" w:cs="Arial" w:eastAsia="Arial" w:hAnsi="Arial"/>
          <w:sz w:val="18"/>
          <w:szCs w:val="18"/>
          <w:color w:val="auto"/>
        </w:rPr>
      </w:pPr>
    </w:p>
    <w:p>
      <w:pPr>
        <w:ind w:left="580" w:right="700" w:hanging="286"/>
        <w:spacing w:after="0" w:line="211" w:lineRule="auto"/>
        <w:tabs>
          <w:tab w:leader="none" w:pos="568" w:val="left"/>
        </w:tabs>
        <w:numPr>
          <w:ilvl w:val="0"/>
          <w:numId w:val="7"/>
        </w:numPr>
        <w:rPr>
          <w:rFonts w:ascii="Arial" w:cs="Arial" w:eastAsia="Arial" w:hAnsi="Arial"/>
          <w:sz w:val="18"/>
          <w:szCs w:val="18"/>
          <w:color w:val="auto"/>
        </w:rPr>
      </w:pPr>
      <w:r>
        <w:rPr>
          <w:rFonts w:ascii="Arial" w:cs="Arial" w:eastAsia="Arial" w:hAnsi="Arial"/>
          <w:sz w:val="14"/>
          <w:szCs w:val="14"/>
          <w:color w:val="auto"/>
        </w:rPr>
        <w:t>To join the call via phone, please register in advance here:</w:t>
      </w:r>
      <w:r>
        <w:rPr>
          <w:rFonts w:ascii="Arial" w:cs="Arial" w:eastAsia="Arial" w:hAnsi="Arial"/>
          <w:sz w:val="14"/>
          <w:szCs w:val="14"/>
          <w:u w:val="single" w:color="auto"/>
          <w:color w:val="0E32E1"/>
        </w:rPr>
        <w:t>https://register-conf.media-server.com/register/BI2f7ea36f83e8472db7e9e5a6ac010f7e</w:t>
      </w:r>
      <w:r>
        <w:rPr>
          <w:rFonts w:ascii="Arial" w:cs="Arial" w:eastAsia="Arial" w:hAnsi="Arial"/>
          <w:sz w:val="14"/>
          <w:szCs w:val="14"/>
          <w:color w:val="auto"/>
        </w:rPr>
        <w:t>. Registered participants will receive an email confirmation with a unique PIN to access the conference call.</w:t>
      </w:r>
    </w:p>
    <w:p>
      <w:pPr>
        <w:spacing w:after="0" w:line="194" w:lineRule="exact"/>
        <w:rPr>
          <w:sz w:val="20"/>
          <w:szCs w:val="20"/>
          <w:color w:val="auto"/>
        </w:rPr>
      </w:pPr>
    </w:p>
    <w:p>
      <w:pPr>
        <w:spacing w:after="0"/>
        <w:rPr>
          <w:sz w:val="20"/>
          <w:szCs w:val="20"/>
          <w:color w:val="auto"/>
        </w:rPr>
      </w:pPr>
      <w:r>
        <w:rPr>
          <w:rFonts w:ascii="Arial" w:cs="Arial" w:eastAsia="Arial" w:hAnsi="Arial"/>
          <w:sz w:val="14"/>
          <w:szCs w:val="14"/>
          <w:color w:val="auto"/>
        </w:rPr>
        <w:t>An archived recording of the call will be available afterward at</w:t>
      </w:r>
      <w:r>
        <w:rPr>
          <w:rFonts w:ascii="Arial" w:cs="Arial" w:eastAsia="Arial" w:hAnsi="Arial"/>
          <w:sz w:val="14"/>
          <w:szCs w:val="14"/>
          <w:u w:val="single" w:color="auto"/>
          <w:color w:val="0E32E1"/>
        </w:rPr>
        <w:t>https://investors.tradeweb.com</w:t>
      </w:r>
      <w:r>
        <w:rPr>
          <w:rFonts w:ascii="Arial" w:cs="Arial" w:eastAsia="Arial" w:hAnsi="Arial"/>
          <w:sz w:val="14"/>
          <w:szCs w:val="14"/>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ABOUT TRADEWEB MARKETS</w:t>
      </w:r>
    </w:p>
    <w:p>
      <w:pPr>
        <w:spacing w:after="0" w:line="10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$2.4 trillion in notional value traded per day over the past four fiscal quarters. For more information, please go to </w:t>
      </w:r>
      <w:r>
        <w:rPr>
          <w:rFonts w:ascii="Arial" w:cs="Arial" w:eastAsia="Arial" w:hAnsi="Arial"/>
          <w:sz w:val="14"/>
          <w:szCs w:val="14"/>
          <w:u w:val="single" w:color="auto"/>
          <w:color w:val="0E32E1"/>
        </w:rPr>
        <w:t>www.tradeweb.com</w:t>
      </w:r>
      <w:r>
        <w:rPr>
          <w:rFonts w:ascii="Arial" w:cs="Arial" w:eastAsia="Arial" w:hAnsi="Arial"/>
          <w:sz w:val="14"/>
          <w:szCs w:val="14"/>
          <w:color w:val="0E32E1"/>
        </w:rPr>
        <w:t>.</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3</w:t>
      </w:r>
    </w:p>
    <w:p>
      <w:pPr>
        <w:sectPr>
          <w:pgSz w:w="11900" w:h="16840" w:orient="portrait"/>
          <w:cols w:equalWidth="0" w:num="1">
            <w:col w:w="10580"/>
          </w:cols>
          <w:pgMar w:left="660" w:top="1061" w:right="660"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CONSOLIDATED STATEMENTS OF INCOME</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8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9"/>
        </w:trPr>
        <w:tc>
          <w:tcPr>
            <w:tcW w:w="49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900" w:type="dxa"/>
            <w:vAlign w:val="bottom"/>
            <w:tcBorders>
              <w:bottom w:val="single" w:sz="8" w:color="D5DCE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D5DCE4"/>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D5DCE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9"/>
        </w:trPr>
        <w:tc>
          <w:tcPr>
            <w:tcW w:w="490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D5DCE4"/>
          </w:tcPr>
          <w:p>
            <w:pPr>
              <w:spacing w:after="0"/>
              <w:rPr>
                <w:sz w:val="17"/>
                <w:szCs w:val="17"/>
                <w:color w:val="auto"/>
              </w:rPr>
            </w:pPr>
          </w:p>
        </w:tc>
        <w:tc>
          <w:tcPr>
            <w:tcW w:w="4480" w:type="dxa"/>
            <w:vAlign w:val="bottom"/>
            <w:gridSpan w:val="9"/>
            <w:shd w:val="clear" w:color="auto" w:fill="D5DCE4"/>
          </w:tcPr>
          <w:p>
            <w:pPr>
              <w:jc w:val="right"/>
              <w:ind w:right="30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88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Arial" w:cs="Arial" w:eastAsia="Arial" w:hAnsi="Arial"/>
                <w:sz w:val="14"/>
                <w:szCs w:val="14"/>
                <w:color w:val="auto"/>
              </w:rPr>
              <w:t>Transaction fees and commissions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421,309</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373,493</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1,272,421</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1,039,419</w:t>
            </w:r>
          </w:p>
        </w:tc>
        <w:tc>
          <w:tcPr>
            <w:tcW w:w="0" w:type="dxa"/>
            <w:vAlign w:val="bottom"/>
          </w:tcPr>
          <w:p>
            <w:pPr>
              <w:spacing w:after="0"/>
              <w:rPr>
                <w:sz w:val="1"/>
                <w:szCs w:val="1"/>
                <w:color w:val="auto"/>
              </w:rPr>
            </w:pPr>
          </w:p>
        </w:tc>
      </w:tr>
      <w:tr>
        <w:trPr>
          <w:trHeight w:val="223"/>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Subscription fees</w:t>
            </w:r>
          </w:p>
        </w:tc>
        <w:tc>
          <w:tcPr>
            <w:tcW w:w="30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60,830</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51,206</w:t>
            </w: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173,999</w:t>
            </w:r>
          </w:p>
        </w:tc>
        <w:tc>
          <w:tcPr>
            <w:tcW w:w="80" w:type="dxa"/>
            <w:vAlign w:val="bottom"/>
            <w:shd w:val="clear" w:color="auto" w:fill="D5DCE4"/>
          </w:tcPr>
          <w:p>
            <w:pPr>
              <w:spacing w:after="0"/>
              <w:rPr>
                <w:sz w:val="19"/>
                <w:szCs w:val="19"/>
                <w:color w:val="auto"/>
              </w:rPr>
            </w:pPr>
          </w:p>
        </w:tc>
        <w:tc>
          <w:tcPr>
            <w:tcW w:w="46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151,633</w:t>
            </w: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Arial" w:cs="Arial" w:eastAsia="Arial" w:hAnsi="Arial"/>
                <w:sz w:val="14"/>
                <w:szCs w:val="14"/>
                <w:color w:val="auto"/>
              </w:rPr>
              <w:t>LSEG market data fees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20,512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70,028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61,593</w:t>
            </w:r>
          </w:p>
        </w:tc>
        <w:tc>
          <w:tcPr>
            <w:tcW w:w="0" w:type="dxa"/>
            <w:vAlign w:val="bottom"/>
          </w:tcPr>
          <w:p>
            <w:pPr>
              <w:spacing w:after="0"/>
              <w:rPr>
                <w:sz w:val="1"/>
                <w:szCs w:val="1"/>
                <w:color w:val="auto"/>
              </w:rPr>
            </w:pPr>
          </w:p>
        </w:tc>
      </w:tr>
      <w:tr>
        <w:trPr>
          <w:trHeight w:val="223"/>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D5DCE4"/>
          </w:tcPr>
          <w:p>
            <w:pPr>
              <w:spacing w:after="0"/>
              <w:rPr>
                <w:sz w:val="19"/>
                <w:szCs w:val="19"/>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5,925</w:t>
            </w:r>
          </w:p>
        </w:tc>
        <w:tc>
          <w:tcPr>
            <w:tcW w:w="80" w:type="dxa"/>
            <w:vAlign w:val="bottom"/>
            <w:shd w:val="clear" w:color="auto" w:fill="D5DCE4"/>
          </w:tcPr>
          <w:p>
            <w:pPr>
              <w:spacing w:after="0"/>
              <w:rPr>
                <w:sz w:val="19"/>
                <w:szCs w:val="19"/>
                <w:color w:val="auto"/>
              </w:rPr>
            </w:pPr>
          </w:p>
        </w:tc>
        <w:tc>
          <w:tcPr>
            <w:tcW w:w="48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3,704</w:t>
            </w:r>
          </w:p>
        </w:tc>
        <w:tc>
          <w:tcPr>
            <w:tcW w:w="80" w:type="dxa"/>
            <w:vAlign w:val="bottom"/>
            <w:shd w:val="clear" w:color="auto" w:fill="D5DCE4"/>
          </w:tcPr>
          <w:p>
            <w:pPr>
              <w:spacing w:after="0"/>
              <w:rPr>
                <w:sz w:val="19"/>
                <w:szCs w:val="19"/>
                <w:color w:val="auto"/>
              </w:rPr>
            </w:pPr>
          </w:p>
        </w:tc>
        <w:tc>
          <w:tcPr>
            <w:tcW w:w="280" w:type="dxa"/>
            <w:vAlign w:val="bottom"/>
            <w:tcBorders>
              <w:bottom w:val="single" w:sz="8" w:color="auto"/>
            </w:tcBorders>
            <w:shd w:val="clear" w:color="auto" w:fill="D5DCE4"/>
          </w:tcPr>
          <w:p>
            <w:pPr>
              <w:spacing w:after="0"/>
              <w:rPr>
                <w:sz w:val="19"/>
                <w:szCs w:val="19"/>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14,798</w:t>
            </w:r>
          </w:p>
        </w:tc>
        <w:tc>
          <w:tcPr>
            <w:tcW w:w="80" w:type="dxa"/>
            <w:vAlign w:val="bottom"/>
            <w:shd w:val="clear" w:color="auto" w:fill="D5DCE4"/>
          </w:tcPr>
          <w:p>
            <w:pPr>
              <w:spacing w:after="0"/>
              <w:rPr>
                <w:sz w:val="19"/>
                <w:szCs w:val="19"/>
                <w:color w:val="auto"/>
              </w:rPr>
            </w:pPr>
          </w:p>
        </w:tc>
        <w:tc>
          <w:tcPr>
            <w:tcW w:w="460" w:type="dxa"/>
            <w:vAlign w:val="bottom"/>
            <w:tcBorders>
              <w:bottom w:val="single" w:sz="8" w:color="auto"/>
            </w:tcBorders>
            <w:shd w:val="clear" w:color="auto" w:fill="D5DCE4"/>
          </w:tcPr>
          <w:p>
            <w:pPr>
              <w:spacing w:after="0"/>
              <w:rPr>
                <w:sz w:val="19"/>
                <w:szCs w:val="19"/>
                <w:color w:val="auto"/>
              </w:rPr>
            </w:pPr>
          </w:p>
        </w:tc>
        <w:tc>
          <w:tcPr>
            <w:tcW w:w="8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9,960</w:t>
            </w:r>
          </w:p>
        </w:tc>
        <w:tc>
          <w:tcPr>
            <w:tcW w:w="0" w:type="dxa"/>
            <w:vAlign w:val="bottom"/>
          </w:tcPr>
          <w:p>
            <w:pPr>
              <w:spacing w:after="0"/>
              <w:rPr>
                <w:sz w:val="1"/>
                <w:szCs w:val="1"/>
                <w:color w:val="auto"/>
              </w:rPr>
            </w:pPr>
          </w:p>
        </w:tc>
      </w:tr>
      <w:tr>
        <w:trPr>
          <w:trHeight w:val="205"/>
        </w:trPr>
        <w:tc>
          <w:tcPr>
            <w:tcW w:w="4900" w:type="dxa"/>
            <w:vAlign w:val="bottom"/>
          </w:tcPr>
          <w:p>
            <w:pPr>
              <w:ind w:left="200"/>
              <w:spacing w:after="0"/>
              <w:rPr>
                <w:sz w:val="20"/>
                <w:szCs w:val="20"/>
                <w:color w:val="auto"/>
              </w:rPr>
            </w:pPr>
            <w:r>
              <w:rPr>
                <w:rFonts w:ascii="Arial" w:cs="Arial" w:eastAsia="Arial" w:hAnsi="Arial"/>
                <w:sz w:val="14"/>
                <w:szCs w:val="14"/>
                <w:b w:val="1"/>
                <w:bCs w:val="1"/>
                <w:color w:val="auto"/>
              </w:rPr>
              <w:t>Total revenue</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508,598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448,915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1,531,246</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1,262,605</w:t>
            </w:r>
          </w:p>
        </w:tc>
        <w:tc>
          <w:tcPr>
            <w:tcW w:w="0" w:type="dxa"/>
            <w:vAlign w:val="bottom"/>
          </w:tcPr>
          <w:p>
            <w:pPr>
              <w:spacing w:after="0"/>
              <w:rPr>
                <w:sz w:val="1"/>
                <w:szCs w:val="1"/>
                <w:color w:val="auto"/>
              </w:rPr>
            </w:pPr>
          </w:p>
        </w:tc>
      </w:tr>
      <w:tr>
        <w:trPr>
          <w:trHeight w:val="243"/>
        </w:trPr>
        <w:tc>
          <w:tcPr>
            <w:tcW w:w="4900" w:type="dxa"/>
            <w:vAlign w:val="bottom"/>
            <w:shd w:val="clear" w:color="auto" w:fill="D5DCE4"/>
          </w:tcPr>
          <w:p>
            <w:pPr>
              <w:spacing w:after="0"/>
              <w:rPr>
                <w:sz w:val="21"/>
                <w:szCs w:val="21"/>
                <w:color w:val="auto"/>
              </w:rPr>
            </w:pPr>
          </w:p>
        </w:tc>
        <w:tc>
          <w:tcPr>
            <w:tcW w:w="300" w:type="dxa"/>
            <w:vAlign w:val="bottom"/>
            <w:shd w:val="clear" w:color="auto" w:fill="D5DCE4"/>
          </w:tcPr>
          <w:p>
            <w:pPr>
              <w:spacing w:after="0"/>
              <w:rPr>
                <w:sz w:val="21"/>
                <w:szCs w:val="21"/>
                <w:color w:val="auto"/>
              </w:rPr>
            </w:pPr>
          </w:p>
        </w:tc>
        <w:tc>
          <w:tcPr>
            <w:tcW w:w="10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8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280" w:type="dxa"/>
            <w:vAlign w:val="bottom"/>
            <w:shd w:val="clear" w:color="auto" w:fill="D5DCE4"/>
          </w:tcPr>
          <w:p>
            <w:pPr>
              <w:spacing w:after="0"/>
              <w:rPr>
                <w:sz w:val="21"/>
                <w:szCs w:val="21"/>
                <w:color w:val="auto"/>
              </w:rPr>
            </w:pPr>
          </w:p>
        </w:tc>
        <w:tc>
          <w:tcPr>
            <w:tcW w:w="1060" w:type="dxa"/>
            <w:vAlign w:val="bottom"/>
            <w:shd w:val="clear" w:color="auto" w:fill="D5DCE4"/>
          </w:tcPr>
          <w:p>
            <w:pPr>
              <w:spacing w:after="0"/>
              <w:rPr>
                <w:sz w:val="21"/>
                <w:szCs w:val="21"/>
                <w:color w:val="auto"/>
              </w:rPr>
            </w:pP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spacing w:after="0"/>
              <w:rPr>
                <w:sz w:val="21"/>
                <w:szCs w:val="21"/>
                <w:color w:val="auto"/>
              </w:rPr>
            </w:pPr>
          </w:p>
        </w:tc>
        <w:tc>
          <w:tcPr>
            <w:tcW w:w="880" w:type="dxa"/>
            <w:vAlign w:val="bottom"/>
            <w:shd w:val="clear" w:color="auto" w:fill="D5DCE4"/>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Employee compensation and benefits</w:t>
            </w:r>
          </w:p>
        </w:tc>
        <w:tc>
          <w:tcPr>
            <w:tcW w:w="30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164,993</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160,161</w:t>
            </w: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511,563</w:t>
            </w:r>
          </w:p>
        </w:tc>
        <w:tc>
          <w:tcPr>
            <w:tcW w:w="80" w:type="dxa"/>
            <w:vAlign w:val="bottom"/>
            <w:shd w:val="clear" w:color="auto" w:fill="D5DCE4"/>
          </w:tcPr>
          <w:p>
            <w:pPr>
              <w:spacing w:after="0"/>
              <w:rPr>
                <w:sz w:val="19"/>
                <w:szCs w:val="19"/>
                <w:color w:val="auto"/>
              </w:rPr>
            </w:pPr>
          </w:p>
        </w:tc>
        <w:tc>
          <w:tcPr>
            <w:tcW w:w="46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440,484</w:t>
            </w: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64,351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57,872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190,098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157,145</w:t>
            </w:r>
          </w:p>
        </w:tc>
        <w:tc>
          <w:tcPr>
            <w:tcW w:w="0" w:type="dxa"/>
            <w:vAlign w:val="bottom"/>
          </w:tcPr>
          <w:p>
            <w:pPr>
              <w:spacing w:after="0"/>
              <w:rPr>
                <w:sz w:val="1"/>
                <w:szCs w:val="1"/>
                <w:color w:val="auto"/>
              </w:rPr>
            </w:pPr>
          </w:p>
        </w:tc>
      </w:tr>
      <w:tr>
        <w:trPr>
          <w:trHeight w:val="223"/>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Technology and communications</w:t>
            </w:r>
          </w:p>
        </w:tc>
        <w:tc>
          <w:tcPr>
            <w:tcW w:w="30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33,867</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24,300</w:t>
            </w: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92,807</w:t>
            </w:r>
          </w:p>
        </w:tc>
        <w:tc>
          <w:tcPr>
            <w:tcW w:w="80" w:type="dxa"/>
            <w:vAlign w:val="bottom"/>
            <w:shd w:val="clear" w:color="auto" w:fill="D5DCE4"/>
          </w:tcPr>
          <w:p>
            <w:pPr>
              <w:spacing w:after="0"/>
              <w:rPr>
                <w:sz w:val="19"/>
                <w:szCs w:val="19"/>
                <w:color w:val="auto"/>
              </w:rPr>
            </w:pPr>
          </w:p>
        </w:tc>
        <w:tc>
          <w:tcPr>
            <w:tcW w:w="46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69,840</w:t>
            </w: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16,892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20,417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66,616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44,026</w:t>
            </w:r>
          </w:p>
        </w:tc>
        <w:tc>
          <w:tcPr>
            <w:tcW w:w="0" w:type="dxa"/>
            <w:vAlign w:val="bottom"/>
          </w:tcPr>
          <w:p>
            <w:pPr>
              <w:spacing w:after="0"/>
              <w:rPr>
                <w:sz w:val="1"/>
                <w:szCs w:val="1"/>
                <w:color w:val="auto"/>
              </w:rPr>
            </w:pPr>
          </w:p>
        </w:tc>
      </w:tr>
      <w:tr>
        <w:trPr>
          <w:trHeight w:val="223"/>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Professional fees</w:t>
            </w:r>
          </w:p>
        </w:tc>
        <w:tc>
          <w:tcPr>
            <w:tcW w:w="30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11,483</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21,434</w:t>
            </w: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38,100</w:t>
            </w:r>
          </w:p>
        </w:tc>
        <w:tc>
          <w:tcPr>
            <w:tcW w:w="80" w:type="dxa"/>
            <w:vAlign w:val="bottom"/>
            <w:shd w:val="clear" w:color="auto" w:fill="D5DCE4"/>
          </w:tcPr>
          <w:p>
            <w:pPr>
              <w:spacing w:after="0"/>
              <w:rPr>
                <w:sz w:val="19"/>
                <w:szCs w:val="19"/>
                <w:color w:val="auto"/>
              </w:rPr>
            </w:pPr>
          </w:p>
        </w:tc>
        <w:tc>
          <w:tcPr>
            <w:tcW w:w="46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46,558</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D5DCE4"/>
            </w:tcBorders>
          </w:tcPr>
          <w:p>
            <w:pPr>
              <w:ind w:left="120"/>
              <w:spacing w:after="0"/>
              <w:rPr>
                <w:sz w:val="20"/>
                <w:szCs w:val="20"/>
                <w:color w:val="auto"/>
              </w:rPr>
            </w:pPr>
            <w:r>
              <w:rPr>
                <w:rFonts w:ascii="Arial" w:cs="Arial" w:eastAsia="Arial" w:hAnsi="Arial"/>
                <w:sz w:val="14"/>
                <w:szCs w:val="14"/>
                <w:color w:val="auto"/>
              </w:rPr>
              <w:t>Occupancy</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6,641</w:t>
            </w:r>
          </w:p>
        </w:tc>
        <w:tc>
          <w:tcPr>
            <w:tcW w:w="80" w:type="dxa"/>
            <w:vAlign w:val="bottom"/>
            <w:tcBorders>
              <w:bottom w:val="single" w:sz="8" w:color="D5DCE4"/>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5,415</w:t>
            </w: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17,737</w:t>
            </w:r>
          </w:p>
        </w:tc>
        <w:tc>
          <w:tcPr>
            <w:tcW w:w="80" w:type="dxa"/>
            <w:vAlign w:val="bottom"/>
            <w:tcBorders>
              <w:bottom w:val="single" w:sz="8" w:color="D5DCE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15,064</w:t>
            </w:r>
          </w:p>
        </w:tc>
        <w:tc>
          <w:tcPr>
            <w:tcW w:w="0" w:type="dxa"/>
            <w:vAlign w:val="bottom"/>
          </w:tcPr>
          <w:p>
            <w:pPr>
              <w:spacing w:after="0"/>
              <w:rPr>
                <w:sz w:val="1"/>
                <w:szCs w:val="1"/>
                <w:color w:val="auto"/>
              </w:rPr>
            </w:pPr>
          </w:p>
        </w:tc>
      </w:tr>
      <w:tr>
        <w:trPr>
          <w:trHeight w:val="215"/>
        </w:trPr>
        <w:tc>
          <w:tcPr>
            <w:tcW w:w="4900" w:type="dxa"/>
            <w:vAlign w:val="bottom"/>
            <w:shd w:val="clear" w:color="auto" w:fill="D5DCE4"/>
          </w:tcPr>
          <w:p>
            <w:pPr>
              <w:ind w:left="200"/>
              <w:spacing w:after="0"/>
              <w:rPr>
                <w:sz w:val="20"/>
                <w:szCs w:val="20"/>
                <w:color w:val="auto"/>
              </w:rPr>
            </w:pPr>
            <w:r>
              <w:rPr>
                <w:rFonts w:ascii="Arial" w:cs="Arial" w:eastAsia="Arial" w:hAnsi="Arial"/>
                <w:sz w:val="14"/>
                <w:szCs w:val="14"/>
                <w:b w:val="1"/>
                <w:bCs w:val="1"/>
                <w:color w:val="auto"/>
              </w:rPr>
              <w:t>Total expenses</w:t>
            </w:r>
          </w:p>
        </w:tc>
        <w:tc>
          <w:tcPr>
            <w:tcW w:w="300" w:type="dxa"/>
            <w:vAlign w:val="bottom"/>
            <w:tcBorders>
              <w:bottom w:val="single" w:sz="8" w:color="auto"/>
            </w:tcBorders>
            <w:shd w:val="clear" w:color="auto" w:fill="D5DCE4"/>
          </w:tcPr>
          <w:p>
            <w:pPr>
              <w:spacing w:after="0"/>
              <w:rPr>
                <w:sz w:val="18"/>
                <w:szCs w:val="18"/>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298,227</w:t>
            </w:r>
          </w:p>
        </w:tc>
        <w:tc>
          <w:tcPr>
            <w:tcW w:w="80" w:type="dxa"/>
            <w:vAlign w:val="bottom"/>
            <w:shd w:val="clear" w:color="auto" w:fill="D5DCE4"/>
          </w:tcPr>
          <w:p>
            <w:pPr>
              <w:spacing w:after="0"/>
              <w:rPr>
                <w:sz w:val="18"/>
                <w:szCs w:val="18"/>
                <w:color w:val="auto"/>
              </w:rPr>
            </w:pPr>
          </w:p>
        </w:tc>
        <w:tc>
          <w:tcPr>
            <w:tcW w:w="480" w:type="dxa"/>
            <w:vAlign w:val="bottom"/>
            <w:tcBorders>
              <w:bottom w:val="single" w:sz="8" w:color="auto"/>
            </w:tcBorders>
            <w:shd w:val="clear" w:color="auto" w:fill="D5DCE4"/>
          </w:tcPr>
          <w:p>
            <w:pPr>
              <w:spacing w:after="0"/>
              <w:rPr>
                <w:sz w:val="18"/>
                <w:szCs w:val="18"/>
                <w:color w:val="auto"/>
              </w:rPr>
            </w:pPr>
          </w:p>
        </w:tc>
        <w:tc>
          <w:tcPr>
            <w:tcW w:w="90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289,599</w:t>
            </w:r>
          </w:p>
        </w:tc>
        <w:tc>
          <w:tcPr>
            <w:tcW w:w="80" w:type="dxa"/>
            <w:vAlign w:val="bottom"/>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916,921</w:t>
            </w:r>
          </w:p>
        </w:tc>
        <w:tc>
          <w:tcPr>
            <w:tcW w:w="80" w:type="dxa"/>
            <w:vAlign w:val="bottom"/>
            <w:shd w:val="clear" w:color="auto" w:fill="D5DCE4"/>
          </w:tcPr>
          <w:p>
            <w:pPr>
              <w:spacing w:after="0"/>
              <w:rPr>
                <w:sz w:val="18"/>
                <w:szCs w:val="18"/>
                <w:color w:val="auto"/>
              </w:rPr>
            </w:pPr>
          </w:p>
        </w:tc>
        <w:tc>
          <w:tcPr>
            <w:tcW w:w="460" w:type="dxa"/>
            <w:vAlign w:val="bottom"/>
            <w:tcBorders>
              <w:bottom w:val="single" w:sz="8" w:color="auto"/>
            </w:tcBorders>
            <w:shd w:val="clear" w:color="auto" w:fill="D5DCE4"/>
          </w:tcPr>
          <w:p>
            <w:pPr>
              <w:spacing w:after="0"/>
              <w:rPr>
                <w:sz w:val="18"/>
                <w:szCs w:val="18"/>
                <w:color w:val="auto"/>
              </w:rPr>
            </w:pPr>
          </w:p>
        </w:tc>
        <w:tc>
          <w:tcPr>
            <w:tcW w:w="8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773,117</w:t>
            </w:r>
          </w:p>
        </w:tc>
        <w:tc>
          <w:tcPr>
            <w:tcW w:w="0" w:type="dxa"/>
            <w:vAlign w:val="bottom"/>
          </w:tcPr>
          <w:p>
            <w:pPr>
              <w:spacing w:after="0"/>
              <w:rPr>
                <w:sz w:val="1"/>
                <w:szCs w:val="1"/>
                <w:color w:val="auto"/>
              </w:rPr>
            </w:pPr>
          </w:p>
        </w:tc>
      </w:tr>
      <w:tr>
        <w:trPr>
          <w:trHeight w:val="205"/>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4"/>
                <w:szCs w:val="14"/>
                <w:b w:val="1"/>
                <w:bCs w:val="1"/>
                <w:color w:val="auto"/>
              </w:rPr>
              <w:t>Operating income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210,371</w:t>
            </w:r>
          </w:p>
        </w:tc>
        <w:tc>
          <w:tcPr>
            <w:tcW w:w="80" w:type="dxa"/>
            <w:vAlign w:val="bottom"/>
            <w:tcBorders>
              <w:bottom w:val="single" w:sz="8" w:color="D5DCE4"/>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159,316</w:t>
            </w:r>
          </w:p>
        </w:tc>
        <w:tc>
          <w:tcPr>
            <w:tcW w:w="80" w:type="dxa"/>
            <w:vAlign w:val="bottom"/>
            <w:tcBorders>
              <w:bottom w:val="single" w:sz="8" w:color="D5DCE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614,325</w:t>
            </w:r>
          </w:p>
        </w:tc>
        <w:tc>
          <w:tcPr>
            <w:tcW w:w="80" w:type="dxa"/>
            <w:vAlign w:val="bottom"/>
            <w:tcBorders>
              <w:bottom w:val="single" w:sz="8" w:color="D5DCE4"/>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489,488</w:t>
            </w:r>
          </w:p>
        </w:tc>
        <w:tc>
          <w:tcPr>
            <w:tcW w:w="0" w:type="dxa"/>
            <w:vAlign w:val="bottom"/>
          </w:tcPr>
          <w:p>
            <w:pPr>
              <w:spacing w:after="0"/>
              <w:rPr>
                <w:sz w:val="1"/>
                <w:szCs w:val="1"/>
                <w:color w:val="auto"/>
              </w:rPr>
            </w:pPr>
          </w:p>
        </w:tc>
      </w:tr>
      <w:tr>
        <w:trPr>
          <w:trHeight w:val="211"/>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Tax receivable agreement liability adjustment</w:t>
            </w:r>
          </w:p>
        </w:tc>
        <w:tc>
          <w:tcPr>
            <w:tcW w:w="3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(870)</w:t>
            </w: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D5DCE4"/>
          </w:tcPr>
          <w:p>
            <w:pPr>
              <w:spacing w:after="0"/>
              <w:rPr>
                <w:sz w:val="18"/>
                <w:szCs w:val="18"/>
                <w:color w:val="auto"/>
              </w:rPr>
            </w:pPr>
          </w:p>
        </w:tc>
        <w:tc>
          <w:tcPr>
            <w:tcW w:w="460" w:type="dxa"/>
            <w:vAlign w:val="bottom"/>
            <w:shd w:val="clear" w:color="auto" w:fill="D5DCE4"/>
          </w:tcPr>
          <w:p>
            <w:pPr>
              <w:spacing w:after="0"/>
              <w:rPr>
                <w:sz w:val="18"/>
                <w:szCs w:val="18"/>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9"/>
        </w:trPr>
        <w:tc>
          <w:tcPr>
            <w:tcW w:w="490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16,663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49,169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59,234</w:t>
            </w:r>
          </w:p>
        </w:tc>
        <w:tc>
          <w:tcPr>
            <w:tcW w:w="0" w:type="dxa"/>
            <w:vAlign w:val="bottom"/>
          </w:tcPr>
          <w:p>
            <w:pPr>
              <w:spacing w:after="0"/>
              <w:rPr>
                <w:sz w:val="1"/>
                <w:szCs w:val="1"/>
                <w:color w:val="auto"/>
              </w:rPr>
            </w:pPr>
          </w:p>
        </w:tc>
      </w:tr>
      <w:tr>
        <w:trPr>
          <w:trHeight w:val="223"/>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(522)</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(1,446)</w:t>
            </w: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(1,538)</w:t>
            </w:r>
          </w:p>
        </w:tc>
        <w:tc>
          <w:tcPr>
            <w:tcW w:w="80" w:type="dxa"/>
            <w:vAlign w:val="bottom"/>
            <w:shd w:val="clear" w:color="auto" w:fill="D5DCE4"/>
          </w:tcPr>
          <w:p>
            <w:pPr>
              <w:spacing w:after="0"/>
              <w:rPr>
                <w:sz w:val="19"/>
                <w:szCs w:val="19"/>
                <w:color w:val="auto"/>
              </w:rPr>
            </w:pPr>
          </w:p>
        </w:tc>
        <w:tc>
          <w:tcPr>
            <w:tcW w:w="46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(3,706)</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D5DCE4"/>
            </w:tcBorders>
          </w:tcPr>
          <w:p>
            <w:pPr>
              <w:ind w:left="120"/>
              <w:spacing w:after="0"/>
              <w:rPr>
                <w:sz w:val="20"/>
                <w:szCs w:val="20"/>
                <w:color w:val="auto"/>
              </w:rPr>
            </w:pPr>
            <w:r>
              <w:rPr>
                <w:rFonts w:ascii="Arial" w:cs="Arial" w:eastAsia="Arial" w:hAnsi="Arial"/>
                <w:sz w:val="14"/>
                <w:szCs w:val="14"/>
                <w:color w:val="auto"/>
              </w:rPr>
              <w:t>Other income (loss),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39,420</w:t>
            </w:r>
          </w:p>
        </w:tc>
        <w:tc>
          <w:tcPr>
            <w:tcW w:w="80" w:type="dxa"/>
            <w:vAlign w:val="bottom"/>
            <w:tcBorders>
              <w:bottom w:val="single" w:sz="8" w:color="D5DCE4"/>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56,306</w:t>
            </w:r>
          </w:p>
        </w:tc>
        <w:tc>
          <w:tcPr>
            <w:tcW w:w="80" w:type="dxa"/>
            <w:vAlign w:val="bottom"/>
            <w:tcBorders>
              <w:bottom w:val="single" w:sz="8" w:color="D5DCE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12"/>
        </w:trPr>
        <w:tc>
          <w:tcPr>
            <w:tcW w:w="490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Income before taxes</w:t>
            </w:r>
          </w:p>
        </w:tc>
        <w:tc>
          <w:tcPr>
            <w:tcW w:w="300" w:type="dxa"/>
            <w:vAlign w:val="bottom"/>
            <w:tcBorders>
              <w:bottom w:val="single" w:sz="8" w:color="auto"/>
            </w:tcBorders>
            <w:shd w:val="clear" w:color="auto" w:fill="D5DCE4"/>
          </w:tcPr>
          <w:p>
            <w:pPr>
              <w:spacing w:after="0"/>
              <w:rPr>
                <w:sz w:val="18"/>
                <w:szCs w:val="18"/>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269,617</w:t>
            </w:r>
          </w:p>
        </w:tc>
        <w:tc>
          <w:tcPr>
            <w:tcW w:w="80" w:type="dxa"/>
            <w:vAlign w:val="bottom"/>
            <w:shd w:val="clear" w:color="auto" w:fill="D5DCE4"/>
          </w:tcPr>
          <w:p>
            <w:pPr>
              <w:spacing w:after="0"/>
              <w:rPr>
                <w:sz w:val="18"/>
                <w:szCs w:val="18"/>
                <w:color w:val="auto"/>
              </w:rPr>
            </w:pPr>
          </w:p>
        </w:tc>
        <w:tc>
          <w:tcPr>
            <w:tcW w:w="480" w:type="dxa"/>
            <w:vAlign w:val="bottom"/>
            <w:tcBorders>
              <w:bottom w:val="single" w:sz="8" w:color="auto"/>
            </w:tcBorders>
            <w:shd w:val="clear" w:color="auto" w:fill="D5DCE4"/>
          </w:tcPr>
          <w:p>
            <w:pPr>
              <w:spacing w:after="0"/>
              <w:rPr>
                <w:sz w:val="18"/>
                <w:szCs w:val="18"/>
                <w:color w:val="auto"/>
              </w:rPr>
            </w:pPr>
          </w:p>
        </w:tc>
        <w:tc>
          <w:tcPr>
            <w:tcW w:w="9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173,673</w:t>
            </w:r>
          </w:p>
        </w:tc>
        <w:tc>
          <w:tcPr>
            <w:tcW w:w="80" w:type="dxa"/>
            <w:vAlign w:val="bottom"/>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718,262</w:t>
            </w:r>
          </w:p>
        </w:tc>
        <w:tc>
          <w:tcPr>
            <w:tcW w:w="80" w:type="dxa"/>
            <w:vAlign w:val="bottom"/>
            <w:shd w:val="clear" w:color="auto" w:fill="D5DCE4"/>
          </w:tcPr>
          <w:p>
            <w:pPr>
              <w:spacing w:after="0"/>
              <w:rPr>
                <w:sz w:val="18"/>
                <w:szCs w:val="18"/>
                <w:color w:val="auto"/>
              </w:rPr>
            </w:pPr>
          </w:p>
        </w:tc>
        <w:tc>
          <w:tcPr>
            <w:tcW w:w="460" w:type="dxa"/>
            <w:vAlign w:val="bottom"/>
            <w:tcBorders>
              <w:bottom w:val="single" w:sz="8" w:color="auto"/>
            </w:tcBorders>
            <w:shd w:val="clear" w:color="auto" w:fill="D5DCE4"/>
          </w:tcPr>
          <w:p>
            <w:pPr>
              <w:spacing w:after="0"/>
              <w:rPr>
                <w:sz w:val="18"/>
                <w:szCs w:val="18"/>
                <w:color w:val="auto"/>
              </w:rPr>
            </w:pPr>
          </w:p>
        </w:tc>
        <w:tc>
          <w:tcPr>
            <w:tcW w:w="8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544,156</w:t>
            </w:r>
          </w:p>
        </w:tc>
        <w:tc>
          <w:tcPr>
            <w:tcW w:w="0" w:type="dxa"/>
            <w:vAlign w:val="bottom"/>
          </w:tcPr>
          <w:p>
            <w:pPr>
              <w:spacing w:after="0"/>
              <w:rPr>
                <w:sz w:val="1"/>
                <w:szCs w:val="1"/>
                <w:color w:val="auto"/>
              </w:rPr>
            </w:pPr>
          </w:p>
        </w:tc>
      </w:tr>
      <w:tr>
        <w:trPr>
          <w:trHeight w:val="204"/>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(59,068)</w:t>
            </w:r>
          </w:p>
        </w:tc>
        <w:tc>
          <w:tcPr>
            <w:tcW w:w="80" w:type="dxa"/>
            <w:vAlign w:val="bottom"/>
            <w:tcBorders>
              <w:bottom w:val="single" w:sz="8" w:color="D5DCE4"/>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(43,450)</w:t>
            </w:r>
          </w:p>
        </w:tc>
        <w:tc>
          <w:tcPr>
            <w:tcW w:w="80" w:type="dxa"/>
            <w:vAlign w:val="bottom"/>
            <w:tcBorders>
              <w:bottom w:val="single" w:sz="8" w:color="D5DCE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(163,886)</w:t>
            </w:r>
          </w:p>
        </w:tc>
        <w:tc>
          <w:tcPr>
            <w:tcW w:w="80" w:type="dxa"/>
            <w:vAlign w:val="bottom"/>
            <w:tcBorders>
              <w:bottom w:val="single" w:sz="8" w:color="D5DCE4"/>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(134,135)</w:t>
            </w:r>
          </w:p>
        </w:tc>
        <w:tc>
          <w:tcPr>
            <w:tcW w:w="0" w:type="dxa"/>
            <w:vAlign w:val="bottom"/>
          </w:tcPr>
          <w:p>
            <w:pPr>
              <w:spacing w:after="0"/>
              <w:rPr>
                <w:sz w:val="1"/>
                <w:szCs w:val="1"/>
                <w:color w:val="auto"/>
              </w:rPr>
            </w:pPr>
          </w:p>
        </w:tc>
      </w:tr>
      <w:tr>
        <w:trPr>
          <w:trHeight w:val="215"/>
        </w:trPr>
        <w:tc>
          <w:tcPr>
            <w:tcW w:w="490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Net income</w:t>
            </w:r>
          </w:p>
        </w:tc>
        <w:tc>
          <w:tcPr>
            <w:tcW w:w="30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210,549</w:t>
            </w: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130,223</w:t>
            </w:r>
          </w:p>
        </w:tc>
        <w:tc>
          <w:tcPr>
            <w:tcW w:w="80" w:type="dxa"/>
            <w:vAlign w:val="bottom"/>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554,376</w:t>
            </w:r>
          </w:p>
        </w:tc>
        <w:tc>
          <w:tcPr>
            <w:tcW w:w="80" w:type="dxa"/>
            <w:vAlign w:val="bottom"/>
            <w:shd w:val="clear" w:color="auto" w:fill="D5DCE4"/>
          </w:tcPr>
          <w:p>
            <w:pPr>
              <w:spacing w:after="0"/>
              <w:rPr>
                <w:sz w:val="18"/>
                <w:szCs w:val="18"/>
                <w:color w:val="auto"/>
              </w:rPr>
            </w:pPr>
          </w:p>
        </w:tc>
        <w:tc>
          <w:tcPr>
            <w:tcW w:w="460" w:type="dxa"/>
            <w:vAlign w:val="bottom"/>
            <w:shd w:val="clear" w:color="auto" w:fill="D5DCE4"/>
          </w:tcPr>
          <w:p>
            <w:pPr>
              <w:spacing w:after="0"/>
              <w:rPr>
                <w:sz w:val="18"/>
                <w:szCs w:val="18"/>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410,021</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D5DCE4"/>
            </w:tcBorders>
          </w:tcPr>
          <w:p>
            <w:pPr>
              <w:ind w:left="20"/>
              <w:spacing w:after="0"/>
              <w:rPr>
                <w:sz w:val="20"/>
                <w:szCs w:val="20"/>
                <w:color w:val="auto"/>
              </w:rPr>
            </w:pPr>
            <w:r>
              <w:rPr>
                <w:rFonts w:ascii="Arial" w:cs="Arial" w:eastAsia="Arial" w:hAnsi="Arial"/>
                <w:sz w:val="14"/>
                <w:szCs w:val="14"/>
                <w:color w:val="auto"/>
              </w:rPr>
              <w:t>Less: Net income attributable to non-controlling interests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24,913</w:t>
            </w:r>
          </w:p>
        </w:tc>
        <w:tc>
          <w:tcPr>
            <w:tcW w:w="80" w:type="dxa"/>
            <w:vAlign w:val="bottom"/>
            <w:tcBorders>
              <w:bottom w:val="single" w:sz="8" w:color="D5DCE4"/>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16,307</w:t>
            </w:r>
          </w:p>
        </w:tc>
        <w:tc>
          <w:tcPr>
            <w:tcW w:w="8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66,576</w:t>
            </w:r>
          </w:p>
        </w:tc>
        <w:tc>
          <w:tcPr>
            <w:tcW w:w="80" w:type="dxa"/>
            <w:vAlign w:val="bottom"/>
            <w:tcBorders>
              <w:bottom w:val="single" w:sz="8" w:color="D5DCE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50,724</w:t>
            </w:r>
          </w:p>
        </w:tc>
        <w:tc>
          <w:tcPr>
            <w:tcW w:w="0" w:type="dxa"/>
            <w:vAlign w:val="bottom"/>
          </w:tcPr>
          <w:p>
            <w:pPr>
              <w:spacing w:after="0"/>
              <w:rPr>
                <w:sz w:val="1"/>
                <w:szCs w:val="1"/>
                <w:color w:val="auto"/>
              </w:rPr>
            </w:pPr>
          </w:p>
        </w:tc>
      </w:tr>
      <w:tr>
        <w:trPr>
          <w:trHeight w:val="235"/>
        </w:trPr>
        <w:tc>
          <w:tcPr>
            <w:tcW w:w="490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Net income attributable to Tradeweb Markets Inc.</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185,636</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113,916</w:t>
            </w:r>
          </w:p>
        </w:tc>
        <w:tc>
          <w:tcPr>
            <w:tcW w:w="360" w:type="dxa"/>
            <w:vAlign w:val="bottom"/>
            <w:gridSpan w:val="2"/>
            <w:shd w:val="clear" w:color="auto" w:fill="D5DCE4"/>
          </w:tcPr>
          <w:p>
            <w:pPr>
              <w:jc w:val="right"/>
              <w:ind w:right="20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487,800</w:t>
            </w:r>
          </w:p>
        </w:tc>
        <w:tc>
          <w:tcPr>
            <w:tcW w:w="540" w:type="dxa"/>
            <w:vAlign w:val="bottom"/>
            <w:gridSpan w:val="2"/>
            <w:shd w:val="clear" w:color="auto" w:fill="D5DCE4"/>
          </w:tcPr>
          <w:p>
            <w:pPr>
              <w:jc w:val="right"/>
              <w:ind w:right="36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359,297</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900" w:type="dxa"/>
            <w:vAlign w:val="bottom"/>
            <w:shd w:val="clear" w:color="auto" w:fill="D5DCE4"/>
          </w:tcPr>
          <w:p>
            <w:pPr>
              <w:ind w:left="20"/>
              <w:spacing w:after="0"/>
              <w:rPr>
                <w:sz w:val="20"/>
                <w:szCs w:val="20"/>
                <w:color w:val="auto"/>
              </w:rPr>
            </w:pPr>
            <w:r>
              <w:rPr>
                <w:rFonts w:ascii="Arial" w:cs="Arial" w:eastAsia="Arial" w:hAnsi="Arial"/>
                <w:sz w:val="14"/>
                <w:szCs w:val="14"/>
                <w:color w:val="auto"/>
              </w:rPr>
              <w:t>Earnings per share attributable to Tradeweb Markets Inc. Class A and B</w:t>
            </w:r>
          </w:p>
        </w:tc>
        <w:tc>
          <w:tcPr>
            <w:tcW w:w="300" w:type="dxa"/>
            <w:vAlign w:val="bottom"/>
            <w:shd w:val="clear" w:color="auto" w:fill="D5DCE4"/>
          </w:tcPr>
          <w:p>
            <w:pPr>
              <w:spacing w:after="0"/>
              <w:rPr>
                <w:sz w:val="15"/>
                <w:szCs w:val="15"/>
                <w:color w:val="auto"/>
              </w:rPr>
            </w:pPr>
          </w:p>
        </w:tc>
        <w:tc>
          <w:tcPr>
            <w:tcW w:w="106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80" w:type="dxa"/>
            <w:vAlign w:val="bottom"/>
            <w:shd w:val="clear" w:color="auto" w:fill="D5DCE4"/>
          </w:tcPr>
          <w:p>
            <w:pPr>
              <w:spacing w:after="0"/>
              <w:rPr>
                <w:sz w:val="15"/>
                <w:szCs w:val="15"/>
                <w:color w:val="auto"/>
              </w:rPr>
            </w:pPr>
          </w:p>
        </w:tc>
        <w:tc>
          <w:tcPr>
            <w:tcW w:w="90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280" w:type="dxa"/>
            <w:vAlign w:val="bottom"/>
            <w:shd w:val="clear" w:color="auto" w:fill="D5DCE4"/>
          </w:tcPr>
          <w:p>
            <w:pPr>
              <w:spacing w:after="0"/>
              <w:rPr>
                <w:sz w:val="15"/>
                <w:szCs w:val="15"/>
                <w:color w:val="auto"/>
              </w:rPr>
            </w:pPr>
          </w:p>
        </w:tc>
        <w:tc>
          <w:tcPr>
            <w:tcW w:w="106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60" w:type="dxa"/>
            <w:vAlign w:val="bottom"/>
            <w:shd w:val="clear" w:color="auto" w:fill="D5DCE4"/>
          </w:tcPr>
          <w:p>
            <w:pPr>
              <w:spacing w:after="0"/>
              <w:rPr>
                <w:sz w:val="15"/>
                <w:szCs w:val="15"/>
                <w:color w:val="auto"/>
              </w:rPr>
            </w:pPr>
          </w:p>
        </w:tc>
        <w:tc>
          <w:tcPr>
            <w:tcW w:w="880" w:type="dxa"/>
            <w:vAlign w:val="bottom"/>
            <w:shd w:val="clear" w:color="auto" w:fill="D5DCE4"/>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900" w:type="dxa"/>
            <w:vAlign w:val="bottom"/>
            <w:shd w:val="clear" w:color="auto" w:fill="D5DCE4"/>
          </w:tcPr>
          <w:p>
            <w:pPr>
              <w:ind w:left="20"/>
              <w:spacing w:after="0"/>
              <w:rPr>
                <w:sz w:val="20"/>
                <w:szCs w:val="20"/>
                <w:color w:val="auto"/>
              </w:rPr>
            </w:pPr>
            <w:r>
              <w:rPr>
                <w:rFonts w:ascii="Arial" w:cs="Arial" w:eastAsia="Arial" w:hAnsi="Arial"/>
                <w:sz w:val="14"/>
                <w:szCs w:val="14"/>
                <w:color w:val="auto"/>
              </w:rPr>
              <w:t>common stockholders:</w:t>
            </w:r>
          </w:p>
        </w:tc>
        <w:tc>
          <w:tcPr>
            <w:tcW w:w="300" w:type="dxa"/>
            <w:vAlign w:val="bottom"/>
            <w:shd w:val="clear" w:color="auto" w:fill="D5DCE4"/>
          </w:tcPr>
          <w:p>
            <w:pPr>
              <w:spacing w:after="0"/>
              <w:rPr>
                <w:sz w:val="17"/>
                <w:szCs w:val="17"/>
                <w:color w:val="auto"/>
              </w:rPr>
            </w:pPr>
          </w:p>
        </w:tc>
        <w:tc>
          <w:tcPr>
            <w:tcW w:w="106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480" w:type="dxa"/>
            <w:vAlign w:val="bottom"/>
            <w:shd w:val="clear" w:color="auto" w:fill="D5DCE4"/>
          </w:tcPr>
          <w:p>
            <w:pPr>
              <w:spacing w:after="0"/>
              <w:rPr>
                <w:sz w:val="17"/>
                <w:szCs w:val="17"/>
                <w:color w:val="auto"/>
              </w:rPr>
            </w:pPr>
          </w:p>
        </w:tc>
        <w:tc>
          <w:tcPr>
            <w:tcW w:w="90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280" w:type="dxa"/>
            <w:vAlign w:val="bottom"/>
            <w:shd w:val="clear" w:color="auto" w:fill="D5DCE4"/>
          </w:tcPr>
          <w:p>
            <w:pPr>
              <w:spacing w:after="0"/>
              <w:rPr>
                <w:sz w:val="17"/>
                <w:szCs w:val="17"/>
                <w:color w:val="auto"/>
              </w:rPr>
            </w:pPr>
          </w:p>
        </w:tc>
        <w:tc>
          <w:tcPr>
            <w:tcW w:w="1060" w:type="dxa"/>
            <w:vAlign w:val="bottom"/>
            <w:shd w:val="clear" w:color="auto" w:fill="D5DCE4"/>
          </w:tcPr>
          <w:p>
            <w:pPr>
              <w:spacing w:after="0"/>
              <w:rPr>
                <w:sz w:val="17"/>
                <w:szCs w:val="17"/>
                <w:color w:val="auto"/>
              </w:rPr>
            </w:pPr>
          </w:p>
        </w:tc>
        <w:tc>
          <w:tcPr>
            <w:tcW w:w="80" w:type="dxa"/>
            <w:vAlign w:val="bottom"/>
            <w:shd w:val="clear" w:color="auto" w:fill="D5DCE4"/>
          </w:tcPr>
          <w:p>
            <w:pPr>
              <w:spacing w:after="0"/>
              <w:rPr>
                <w:sz w:val="17"/>
                <w:szCs w:val="17"/>
                <w:color w:val="auto"/>
              </w:rPr>
            </w:pPr>
          </w:p>
        </w:tc>
        <w:tc>
          <w:tcPr>
            <w:tcW w:w="460" w:type="dxa"/>
            <w:vAlign w:val="bottom"/>
            <w:shd w:val="clear" w:color="auto" w:fill="D5DCE4"/>
          </w:tcPr>
          <w:p>
            <w:pPr>
              <w:spacing w:after="0"/>
              <w:rPr>
                <w:sz w:val="17"/>
                <w:szCs w:val="17"/>
                <w:color w:val="auto"/>
              </w:rPr>
            </w:pPr>
          </w:p>
        </w:tc>
        <w:tc>
          <w:tcPr>
            <w:tcW w:w="880" w:type="dxa"/>
            <w:vAlign w:val="bottom"/>
            <w:shd w:val="clear" w:color="auto" w:fill="D5DCE4"/>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0.87</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0.53</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2.29</w:t>
            </w:r>
          </w:p>
        </w:tc>
        <w:tc>
          <w:tcPr>
            <w:tcW w:w="54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490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0.86</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0.53</w:t>
            </w:r>
          </w:p>
        </w:tc>
        <w:tc>
          <w:tcPr>
            <w:tcW w:w="360" w:type="dxa"/>
            <w:vAlign w:val="bottom"/>
            <w:gridSpan w:val="2"/>
            <w:shd w:val="clear" w:color="auto" w:fill="D5DCE4"/>
          </w:tcPr>
          <w:p>
            <w:pPr>
              <w:jc w:val="right"/>
              <w:ind w:right="2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2.27</w:t>
            </w:r>
          </w:p>
        </w:tc>
        <w:tc>
          <w:tcPr>
            <w:tcW w:w="540" w:type="dxa"/>
            <w:vAlign w:val="bottom"/>
            <w:gridSpan w:val="2"/>
            <w:shd w:val="clear" w:color="auto" w:fill="D5DCE4"/>
          </w:tcPr>
          <w:p>
            <w:pPr>
              <w:jc w:val="right"/>
              <w:ind w:right="360"/>
              <w:spacing w:after="0"/>
              <w:rPr>
                <w:sz w:val="20"/>
                <w:szCs w:val="20"/>
                <w:color w:val="auto"/>
              </w:rPr>
            </w:pPr>
            <w:r>
              <w:rPr>
                <w:rFonts w:ascii="Arial" w:cs="Arial" w:eastAsia="Arial" w:hAnsi="Arial"/>
                <w:sz w:val="14"/>
                <w:szCs w:val="14"/>
                <w:color w:val="auto"/>
              </w:rPr>
              <w:t>$</w:t>
            </w: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4900" w:type="dxa"/>
            <w:vAlign w:val="bottom"/>
            <w:tcBorders>
              <w:top w:val="single" w:sz="8" w:color="D5DCE4"/>
              <w:bottom w:val="single" w:sz="8" w:color="D5DCE4"/>
            </w:tcBorders>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9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00" w:type="dxa"/>
            <w:vAlign w:val="bottom"/>
            <w:shd w:val="clear" w:color="auto" w:fill="D5DCE4"/>
          </w:tcPr>
          <w:p>
            <w:pPr>
              <w:ind w:left="120"/>
              <w:spacing w:after="0"/>
              <w:rPr>
                <w:sz w:val="20"/>
                <w:szCs w:val="20"/>
                <w:color w:val="auto"/>
              </w:rPr>
            </w:pPr>
            <w:r>
              <w:rPr>
                <w:rFonts w:ascii="Arial" w:cs="Arial" w:eastAsia="Arial" w:hAnsi="Arial"/>
                <w:sz w:val="14"/>
                <w:szCs w:val="14"/>
                <w:color w:val="auto"/>
              </w:rPr>
              <w:t>Basic</w:t>
            </w:r>
          </w:p>
        </w:tc>
        <w:tc>
          <w:tcPr>
            <w:tcW w:w="30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213,359,090</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213,206,193</w:t>
            </w:r>
          </w:p>
        </w:tc>
        <w:tc>
          <w:tcPr>
            <w:tcW w:w="8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10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213,263,111</w:t>
            </w:r>
          </w:p>
        </w:tc>
        <w:tc>
          <w:tcPr>
            <w:tcW w:w="80" w:type="dxa"/>
            <w:vAlign w:val="bottom"/>
            <w:shd w:val="clear" w:color="auto" w:fill="D5DCE4"/>
          </w:tcPr>
          <w:p>
            <w:pPr>
              <w:spacing w:after="0"/>
              <w:rPr>
                <w:sz w:val="19"/>
                <w:szCs w:val="19"/>
                <w:color w:val="auto"/>
              </w:rPr>
            </w:pPr>
          </w:p>
        </w:tc>
        <w:tc>
          <w:tcPr>
            <w:tcW w:w="46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213,026,732</w:t>
            </w:r>
          </w:p>
        </w:tc>
        <w:tc>
          <w:tcPr>
            <w:tcW w:w="0" w:type="dxa"/>
            <w:vAlign w:val="bottom"/>
          </w:tcPr>
          <w:p>
            <w:pPr>
              <w:spacing w:after="0"/>
              <w:rPr>
                <w:sz w:val="1"/>
                <w:szCs w:val="1"/>
                <w:color w:val="auto"/>
              </w:rPr>
            </w:pPr>
          </w:p>
        </w:tc>
      </w:tr>
      <w:tr>
        <w:trPr>
          <w:trHeight w:val="202"/>
        </w:trPr>
        <w:tc>
          <w:tcPr>
            <w:tcW w:w="4900" w:type="dxa"/>
            <w:vAlign w:val="bottom"/>
          </w:tcPr>
          <w:p>
            <w:pPr>
              <w:ind w:left="120"/>
              <w:spacing w:after="0"/>
              <w:rPr>
                <w:sz w:val="20"/>
                <w:szCs w:val="20"/>
                <w:color w:val="auto"/>
              </w:rPr>
            </w:pPr>
            <w:r>
              <w:rPr>
                <w:rFonts w:ascii="Arial" w:cs="Arial" w:eastAsia="Arial" w:hAnsi="Arial"/>
                <w:sz w:val="14"/>
                <w:szCs w:val="14"/>
                <w:color w:val="auto"/>
              </w:rPr>
              <w:t>Diluted</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214,983,486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215,096,974</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214,951,279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214,885,210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4</w:t>
      </w:r>
    </w:p>
    <w:p>
      <w:pPr>
        <w:sectPr>
          <w:pgSz w:w="11900" w:h="16840" w:orient="portrait"/>
          <w:cols w:equalWidth="0" w:num="1">
            <w:col w:w="10580"/>
          </w:cols>
          <w:pgMar w:left="660" w:top="1061" w:right="66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RECONCILIATION OF NON-GAAP FINANCIAL MEASURES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222"/>
        </w:trPr>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Net Income to Adjusted EBITDA, Adjusted</w:t>
            </w: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9"/>
                <w:szCs w:val="19"/>
                <w:color w:val="auto"/>
              </w:rPr>
            </w:pPr>
          </w:p>
        </w:tc>
      </w:tr>
      <w:tr>
        <w:trPr>
          <w:trHeight w:val="205"/>
        </w:trPr>
        <w:tc>
          <w:tcPr>
            <w:tcW w:w="4660" w:type="dxa"/>
            <w:vAlign w:val="bottom"/>
            <w:gridSpan w:val="2"/>
          </w:tcPr>
          <w:p>
            <w:pPr>
              <w:ind w:left="20"/>
              <w:spacing w:after="0"/>
              <w:rPr>
                <w:sz w:val="20"/>
                <w:szCs w:val="20"/>
                <w:color w:val="auto"/>
              </w:rPr>
            </w:pPr>
            <w:r>
              <w:rPr>
                <w:rFonts w:ascii="Arial" w:cs="Arial" w:eastAsia="Arial" w:hAnsi="Arial"/>
                <w:sz w:val="14"/>
                <w:szCs w:val="14"/>
                <w:b w:val="1"/>
                <w:bCs w:val="1"/>
                <w:color w:val="auto"/>
              </w:rPr>
              <w:t>EBITDA Margin, Adjusted EBIT and Adjusted EBIT Margin</w:t>
            </w:r>
          </w:p>
        </w:tc>
        <w:tc>
          <w:tcPr>
            <w:tcW w:w="32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208"/>
        </w:trPr>
        <w:tc>
          <w:tcPr>
            <w:tcW w:w="4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19"/>
        </w:trPr>
        <w:tc>
          <w:tcPr>
            <w:tcW w:w="46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D5DCE4"/>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210,549</w:t>
            </w:r>
          </w:p>
        </w:tc>
        <w:tc>
          <w:tcPr>
            <w:tcW w:w="580" w:type="dxa"/>
            <w:vAlign w:val="bottom"/>
            <w:gridSpan w:val="2"/>
            <w:shd w:val="clear" w:color="auto" w:fill="D5DCE4"/>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130,223</w:t>
            </w:r>
          </w:p>
        </w:tc>
        <w:tc>
          <w:tcPr>
            <w:tcW w:w="420" w:type="dxa"/>
            <w:vAlign w:val="bottom"/>
            <w:gridSpan w:val="2"/>
            <w:shd w:val="clear" w:color="auto" w:fill="D5DCE4"/>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554,376</w:t>
            </w:r>
          </w:p>
        </w:tc>
        <w:tc>
          <w:tcPr>
            <w:tcW w:w="600" w:type="dxa"/>
            <w:vAlign w:val="bottom"/>
            <w:gridSpan w:val="2"/>
            <w:shd w:val="clear" w:color="auto" w:fill="D5DCE4"/>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410,021</w:t>
            </w:r>
          </w:p>
        </w:tc>
      </w:tr>
      <w:tr>
        <w:trPr>
          <w:trHeight w:val="216"/>
        </w:trPr>
        <w:tc>
          <w:tcPr>
            <w:tcW w:w="4660" w:type="dxa"/>
            <w:vAlign w:val="bottom"/>
            <w:gridSpan w:val="2"/>
          </w:tcPr>
          <w:p>
            <w:pPr>
              <w:ind w:left="20"/>
              <w:spacing w:after="0" w:line="216" w:lineRule="exact"/>
              <w:rPr>
                <w:sz w:val="20"/>
                <w:szCs w:val="20"/>
                <w:color w:val="auto"/>
              </w:rPr>
            </w:pPr>
            <w:r>
              <w:rPr>
                <w:rFonts w:ascii="Arial" w:cs="Arial" w:eastAsia="Arial" w:hAnsi="Arial"/>
                <w:sz w:val="14"/>
                <w:szCs w:val="14"/>
                <w:color w:val="auto"/>
              </w:rPr>
              <w:t xml:space="preserve">Merger and acquisition transaction and integration costs </w:t>
            </w:r>
            <w:r>
              <w:rPr>
                <w:rFonts w:ascii="Arial" w:cs="Arial" w:eastAsia="Arial" w:hAnsi="Arial"/>
                <w:sz w:val="19"/>
                <w:szCs w:val="19"/>
                <w:color w:val="auto"/>
                <w:vertAlign w:val="superscript"/>
              </w:rPr>
              <w:t>(1)</w:t>
            </w: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14,488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6,734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21,752</w:t>
            </w:r>
          </w:p>
        </w:tc>
      </w:tr>
      <w:tr>
        <w:trPr>
          <w:trHeight w:val="216"/>
        </w:trPr>
        <w:tc>
          <w:tcPr>
            <w:tcW w:w="46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Interest income</w:t>
            </w: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68"/>
              <w:spacing w:after="0"/>
              <w:rPr>
                <w:sz w:val="20"/>
                <w:szCs w:val="20"/>
                <w:color w:val="auto"/>
              </w:rPr>
            </w:pPr>
            <w:r>
              <w:rPr>
                <w:rFonts w:ascii="Arial" w:cs="Arial" w:eastAsia="Arial" w:hAnsi="Arial"/>
                <w:sz w:val="14"/>
                <w:szCs w:val="14"/>
                <w:color w:val="auto"/>
              </w:rPr>
              <w:t>(20,348)</w:t>
            </w:r>
          </w:p>
        </w:tc>
        <w:tc>
          <w:tcPr>
            <w:tcW w:w="10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920" w:type="dxa"/>
            <w:vAlign w:val="bottom"/>
            <w:shd w:val="clear" w:color="auto" w:fill="D5DCE4"/>
          </w:tcPr>
          <w:p>
            <w:pPr>
              <w:jc w:val="right"/>
              <w:ind w:right="68"/>
              <w:spacing w:after="0"/>
              <w:rPr>
                <w:sz w:val="20"/>
                <w:szCs w:val="20"/>
                <w:color w:val="auto"/>
              </w:rPr>
            </w:pPr>
            <w:r>
              <w:rPr>
                <w:rFonts w:ascii="Arial" w:cs="Arial" w:eastAsia="Arial" w:hAnsi="Arial"/>
                <w:sz w:val="14"/>
                <w:szCs w:val="14"/>
                <w:color w:val="auto"/>
              </w:rPr>
              <w:t>(16,663)</w:t>
            </w:r>
          </w:p>
        </w:tc>
        <w:tc>
          <w:tcPr>
            <w:tcW w:w="10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68"/>
              <w:spacing w:after="0"/>
              <w:rPr>
                <w:sz w:val="20"/>
                <w:szCs w:val="20"/>
                <w:color w:val="auto"/>
              </w:rPr>
            </w:pPr>
            <w:r>
              <w:rPr>
                <w:rFonts w:ascii="Arial" w:cs="Arial" w:eastAsia="Arial" w:hAnsi="Arial"/>
                <w:sz w:val="14"/>
                <w:szCs w:val="14"/>
                <w:color w:val="auto"/>
              </w:rPr>
              <w:t>(49,169)</w:t>
            </w:r>
          </w:p>
        </w:tc>
        <w:tc>
          <w:tcPr>
            <w:tcW w:w="100" w:type="dxa"/>
            <w:vAlign w:val="bottom"/>
            <w:shd w:val="clear" w:color="auto" w:fill="D5DCE4"/>
          </w:tcPr>
          <w:p>
            <w:pPr>
              <w:spacing w:after="0"/>
              <w:rPr>
                <w:sz w:val="18"/>
                <w:szCs w:val="18"/>
                <w:color w:val="auto"/>
              </w:rPr>
            </w:pPr>
          </w:p>
        </w:tc>
        <w:tc>
          <w:tcPr>
            <w:tcW w:w="500" w:type="dxa"/>
            <w:vAlign w:val="bottom"/>
            <w:shd w:val="clear" w:color="auto" w:fill="D5DCE4"/>
          </w:tcPr>
          <w:p>
            <w:pPr>
              <w:spacing w:after="0"/>
              <w:rPr>
                <w:sz w:val="18"/>
                <w:szCs w:val="18"/>
                <w:color w:val="auto"/>
              </w:rPr>
            </w:pPr>
          </w:p>
        </w:tc>
        <w:tc>
          <w:tcPr>
            <w:tcW w:w="900" w:type="dxa"/>
            <w:vAlign w:val="bottom"/>
            <w:shd w:val="clear" w:color="auto" w:fill="D5DCE4"/>
          </w:tcPr>
          <w:p>
            <w:pPr>
              <w:jc w:val="right"/>
              <w:ind w:right="68"/>
              <w:spacing w:after="0"/>
              <w:rPr>
                <w:sz w:val="20"/>
                <w:szCs w:val="20"/>
                <w:color w:val="auto"/>
              </w:rPr>
            </w:pPr>
            <w:r>
              <w:rPr>
                <w:rFonts w:ascii="Arial" w:cs="Arial" w:eastAsia="Arial" w:hAnsi="Arial"/>
                <w:sz w:val="14"/>
                <w:szCs w:val="14"/>
                <w:color w:val="auto"/>
              </w:rPr>
              <w:t>(59,234)</w:t>
            </w:r>
          </w:p>
        </w:tc>
      </w:tr>
      <w:tr>
        <w:trPr>
          <w:trHeight w:val="209"/>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Interest expense</w:t>
            </w: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3,706</w:t>
            </w:r>
          </w:p>
        </w:tc>
      </w:tr>
      <w:tr>
        <w:trPr>
          <w:trHeight w:val="223"/>
        </w:trPr>
        <w:tc>
          <w:tcPr>
            <w:tcW w:w="46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64,351</w:t>
            </w:r>
          </w:p>
        </w:tc>
        <w:tc>
          <w:tcPr>
            <w:tcW w:w="10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2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57,872</w:t>
            </w:r>
          </w:p>
        </w:tc>
        <w:tc>
          <w:tcPr>
            <w:tcW w:w="100" w:type="dxa"/>
            <w:vAlign w:val="bottom"/>
            <w:shd w:val="clear" w:color="auto" w:fill="D5DCE4"/>
          </w:tcPr>
          <w:p>
            <w:pPr>
              <w:spacing w:after="0"/>
              <w:rPr>
                <w:sz w:val="19"/>
                <w:szCs w:val="19"/>
                <w:color w:val="auto"/>
              </w:rPr>
            </w:pPr>
          </w:p>
        </w:tc>
        <w:tc>
          <w:tcPr>
            <w:tcW w:w="32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190,098</w:t>
            </w:r>
          </w:p>
        </w:tc>
        <w:tc>
          <w:tcPr>
            <w:tcW w:w="100" w:type="dxa"/>
            <w:vAlign w:val="bottom"/>
            <w:shd w:val="clear" w:color="auto" w:fill="D5DCE4"/>
          </w:tcPr>
          <w:p>
            <w:pPr>
              <w:spacing w:after="0"/>
              <w:rPr>
                <w:sz w:val="19"/>
                <w:szCs w:val="19"/>
                <w:color w:val="auto"/>
              </w:rPr>
            </w:pPr>
          </w:p>
        </w:tc>
        <w:tc>
          <w:tcPr>
            <w:tcW w:w="500" w:type="dxa"/>
            <w:vAlign w:val="bottom"/>
            <w:shd w:val="clear" w:color="auto" w:fill="D5DCE4"/>
          </w:tcPr>
          <w:p>
            <w:pPr>
              <w:spacing w:after="0"/>
              <w:rPr>
                <w:sz w:val="19"/>
                <w:szCs w:val="19"/>
                <w:color w:val="auto"/>
              </w:rPr>
            </w:pPr>
          </w:p>
        </w:tc>
        <w:tc>
          <w:tcPr>
            <w:tcW w:w="90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157,145</w:t>
            </w:r>
          </w:p>
        </w:tc>
      </w:tr>
      <w:tr>
        <w:trPr>
          <w:trHeight w:val="216"/>
        </w:trPr>
        <w:tc>
          <w:tcPr>
            <w:tcW w:w="4660" w:type="dxa"/>
            <w:vAlign w:val="bottom"/>
            <w:gridSpan w:val="2"/>
          </w:tcPr>
          <w:p>
            <w:pPr>
              <w:ind w:left="20"/>
              <w:spacing w:after="0" w:line="216" w:lineRule="exact"/>
              <w:rPr>
                <w:sz w:val="20"/>
                <w:szCs w:val="20"/>
                <w:color w:val="auto"/>
              </w:rPr>
            </w:pPr>
            <w:r>
              <w:rPr>
                <w:rFonts w:ascii="Arial" w:cs="Arial" w:eastAsia="Arial" w:hAnsi="Arial"/>
                <w:sz w:val="14"/>
                <w:szCs w:val="14"/>
                <w:color w:val="auto"/>
              </w:rPr>
              <w:t xml:space="preserve">Stock-based compensation expense </w:t>
            </w:r>
            <w:r>
              <w:rPr>
                <w:rFonts w:ascii="Arial" w:cs="Arial" w:eastAsia="Arial" w:hAnsi="Arial"/>
                <w:sz w:val="19"/>
                <w:szCs w:val="19"/>
                <w:color w:val="auto"/>
                <w:vertAlign w:val="superscript"/>
              </w:rPr>
              <w:t>(2)</w:t>
            </w: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3,681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1,802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5,395</w:t>
            </w:r>
          </w:p>
        </w:tc>
      </w:tr>
      <w:tr>
        <w:trPr>
          <w:trHeight w:val="216"/>
        </w:trPr>
        <w:tc>
          <w:tcPr>
            <w:tcW w:w="46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Provision for income taxes</w:t>
            </w: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59,068</w:t>
            </w:r>
          </w:p>
        </w:tc>
        <w:tc>
          <w:tcPr>
            <w:tcW w:w="10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92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43,450</w:t>
            </w:r>
          </w:p>
        </w:tc>
        <w:tc>
          <w:tcPr>
            <w:tcW w:w="10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163,886</w:t>
            </w:r>
          </w:p>
        </w:tc>
        <w:tc>
          <w:tcPr>
            <w:tcW w:w="100" w:type="dxa"/>
            <w:vAlign w:val="bottom"/>
            <w:shd w:val="clear" w:color="auto" w:fill="D5DCE4"/>
          </w:tcPr>
          <w:p>
            <w:pPr>
              <w:spacing w:after="0"/>
              <w:rPr>
                <w:sz w:val="18"/>
                <w:szCs w:val="18"/>
                <w:color w:val="auto"/>
              </w:rPr>
            </w:pPr>
          </w:p>
        </w:tc>
        <w:tc>
          <w:tcPr>
            <w:tcW w:w="500" w:type="dxa"/>
            <w:vAlign w:val="bottom"/>
            <w:shd w:val="clear" w:color="auto" w:fill="D5DCE4"/>
          </w:tcPr>
          <w:p>
            <w:pPr>
              <w:spacing w:after="0"/>
              <w:rPr>
                <w:sz w:val="18"/>
                <w:szCs w:val="18"/>
                <w:color w:val="auto"/>
              </w:rPr>
            </w:pPr>
          </w:p>
        </w:tc>
        <w:tc>
          <w:tcPr>
            <w:tcW w:w="90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134,135</w:t>
            </w:r>
          </w:p>
        </w:tc>
      </w:tr>
      <w:tr>
        <w:trPr>
          <w:trHeight w:val="216"/>
        </w:trPr>
        <w:tc>
          <w:tcPr>
            <w:tcW w:w="4660" w:type="dxa"/>
            <w:vAlign w:val="bottom"/>
            <w:gridSpan w:val="2"/>
          </w:tcPr>
          <w:p>
            <w:pPr>
              <w:ind w:left="20"/>
              <w:spacing w:after="0" w:line="216" w:lineRule="exact"/>
              <w:rPr>
                <w:sz w:val="20"/>
                <w:szCs w:val="20"/>
                <w:color w:val="auto"/>
              </w:rPr>
            </w:pPr>
            <w:r>
              <w:rPr>
                <w:rFonts w:ascii="Arial" w:cs="Arial" w:eastAsia="Arial" w:hAnsi="Arial"/>
                <w:sz w:val="14"/>
                <w:szCs w:val="14"/>
                <w:color w:val="auto"/>
              </w:rPr>
              <w:t xml:space="preserve">Foreign exchange (gains) / losses </w:t>
            </w:r>
            <w:r>
              <w:rPr>
                <w:rFonts w:ascii="Arial" w:cs="Arial" w:eastAsia="Arial" w:hAnsi="Arial"/>
                <w:sz w:val="19"/>
                <w:szCs w:val="19"/>
                <w:color w:val="auto"/>
                <w:vertAlign w:val="superscript"/>
              </w:rPr>
              <w:t>(3)</w:t>
            </w:r>
          </w:p>
        </w:tc>
        <w:tc>
          <w:tcPr>
            <w:tcW w:w="320" w:type="dxa"/>
            <w:vAlign w:val="bottom"/>
          </w:tcPr>
          <w:p>
            <w:pPr>
              <w:spacing w:after="0"/>
              <w:rPr>
                <w:sz w:val="18"/>
                <w:szCs w:val="18"/>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(1,372)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4,459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17,579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2,097</w:t>
            </w:r>
          </w:p>
        </w:tc>
      </w:tr>
      <w:tr>
        <w:trPr>
          <w:trHeight w:val="216"/>
        </w:trPr>
        <w:tc>
          <w:tcPr>
            <w:tcW w:w="4660" w:type="dxa"/>
            <w:vAlign w:val="bottom"/>
            <w:gridSpan w:val="2"/>
            <w:shd w:val="clear" w:color="auto" w:fill="D5DCE4"/>
          </w:tcPr>
          <w:p>
            <w:pPr>
              <w:ind w:left="20"/>
              <w:spacing w:after="0" w:line="216" w:lineRule="exact"/>
              <w:rPr>
                <w:sz w:val="20"/>
                <w:szCs w:val="20"/>
                <w:color w:val="auto"/>
              </w:rPr>
            </w:pPr>
            <w:r>
              <w:rPr>
                <w:rFonts w:ascii="Arial" w:cs="Arial" w:eastAsia="Arial" w:hAnsi="Arial"/>
                <w:sz w:val="14"/>
                <w:szCs w:val="14"/>
                <w:color w:val="auto"/>
              </w:rPr>
              <w:t xml:space="preserve">Tax receivable agreement liability adjustment </w:t>
            </w:r>
            <w:r>
              <w:rPr>
                <w:rFonts w:ascii="Arial" w:cs="Arial" w:eastAsia="Arial" w:hAnsi="Arial"/>
                <w:sz w:val="19"/>
                <w:szCs w:val="19"/>
                <w:color w:val="auto"/>
                <w:vertAlign w:val="superscript"/>
              </w:rPr>
              <w:t>(4)</w:t>
            </w: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92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870</w:t>
            </w:r>
          </w:p>
        </w:tc>
        <w:tc>
          <w:tcPr>
            <w:tcW w:w="10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5DCE4"/>
          </w:tcPr>
          <w:p>
            <w:pPr>
              <w:spacing w:after="0"/>
              <w:rPr>
                <w:sz w:val="18"/>
                <w:szCs w:val="18"/>
                <w:color w:val="auto"/>
              </w:rPr>
            </w:pPr>
          </w:p>
        </w:tc>
        <w:tc>
          <w:tcPr>
            <w:tcW w:w="500" w:type="dxa"/>
            <w:vAlign w:val="bottom"/>
            <w:shd w:val="clear" w:color="auto" w:fill="D5DCE4"/>
          </w:tcPr>
          <w:p>
            <w:pPr>
              <w:spacing w:after="0"/>
              <w:rPr>
                <w:sz w:val="18"/>
                <w:szCs w:val="18"/>
                <w:color w:val="auto"/>
              </w:rPr>
            </w:pPr>
          </w:p>
        </w:tc>
        <w:tc>
          <w:tcPr>
            <w:tcW w:w="90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870</w:t>
            </w:r>
          </w:p>
        </w:tc>
      </w:tr>
      <w:tr>
        <w:trPr>
          <w:trHeight w:val="209"/>
        </w:trPr>
        <w:tc>
          <w:tcPr>
            <w:tcW w:w="4660" w:type="dxa"/>
            <w:vAlign w:val="bottom"/>
            <w:tcBorders>
              <w:bottom w:val="single" w:sz="8" w:color="D5DCE4"/>
            </w:tcBorders>
            <w:gridSpan w:val="2"/>
          </w:tcPr>
          <w:p>
            <w:pPr>
              <w:ind w:left="20"/>
              <w:spacing w:after="0"/>
              <w:rPr>
                <w:sz w:val="20"/>
                <w:szCs w:val="20"/>
                <w:color w:val="auto"/>
              </w:rPr>
            </w:pPr>
            <w:r>
              <w:rPr>
                <w:rFonts w:ascii="Arial" w:cs="Arial" w:eastAsia="Arial" w:hAnsi="Arial"/>
                <w:sz w:val="14"/>
                <w:szCs w:val="14"/>
                <w:color w:val="auto"/>
              </w:rPr>
              <w:t>Other (income) loss,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(39,420)</w:t>
            </w:r>
          </w:p>
        </w:tc>
        <w:tc>
          <w:tcPr>
            <w:tcW w:w="100" w:type="dxa"/>
            <w:vAlign w:val="bottom"/>
            <w:tcBorders>
              <w:bottom w:val="single" w:sz="8" w:color="D5DCE4"/>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D5DCE4"/>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(56,306)</w:t>
            </w:r>
          </w:p>
        </w:tc>
        <w:tc>
          <w:tcPr>
            <w:tcW w:w="100" w:type="dxa"/>
            <w:vAlign w:val="bottom"/>
            <w:tcBorders>
              <w:bottom w:val="single" w:sz="8" w:color="D5DCE4"/>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r>
      <w:tr>
        <w:trPr>
          <w:trHeight w:val="235"/>
        </w:trPr>
        <w:tc>
          <w:tcPr>
            <w:tcW w:w="46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Adjusted EBITDA</w:t>
            </w:r>
          </w:p>
        </w:tc>
        <w:tc>
          <w:tcPr>
            <w:tcW w:w="320" w:type="dxa"/>
            <w:vAlign w:val="bottom"/>
            <w:shd w:val="clear" w:color="auto" w:fill="D5DCE4"/>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274,423</w:t>
            </w:r>
          </w:p>
        </w:tc>
        <w:tc>
          <w:tcPr>
            <w:tcW w:w="580" w:type="dxa"/>
            <w:vAlign w:val="bottom"/>
            <w:gridSpan w:val="2"/>
            <w:shd w:val="clear" w:color="auto" w:fill="D5DCE4"/>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239,816</w:t>
            </w:r>
          </w:p>
        </w:tc>
        <w:tc>
          <w:tcPr>
            <w:tcW w:w="420" w:type="dxa"/>
            <w:vAlign w:val="bottom"/>
            <w:gridSpan w:val="2"/>
            <w:shd w:val="clear" w:color="auto" w:fill="D5DCE4"/>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830,538</w:t>
            </w:r>
          </w:p>
        </w:tc>
        <w:tc>
          <w:tcPr>
            <w:tcW w:w="600" w:type="dxa"/>
            <w:vAlign w:val="bottom"/>
            <w:gridSpan w:val="2"/>
            <w:shd w:val="clear" w:color="auto" w:fill="D5DCE4"/>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shd w:val="clear" w:color="auto" w:fill="D5DCE4"/>
          </w:tcPr>
          <w:p>
            <w:pPr>
              <w:jc w:val="right"/>
              <w:ind w:right="108"/>
              <w:spacing w:after="0"/>
              <w:rPr>
                <w:sz w:val="20"/>
                <w:szCs w:val="20"/>
                <w:color w:val="auto"/>
              </w:rPr>
            </w:pPr>
            <w:r>
              <w:rPr>
                <w:rFonts w:ascii="Arial" w:cs="Arial" w:eastAsia="Arial" w:hAnsi="Arial"/>
                <w:sz w:val="14"/>
                <w:szCs w:val="14"/>
                <w:color w:val="auto"/>
              </w:rPr>
              <w:t>675,877</w:t>
            </w:r>
          </w:p>
        </w:tc>
      </w:tr>
      <w:tr>
        <w:trPr>
          <w:trHeight w:val="20"/>
        </w:trPr>
        <w:tc>
          <w:tcPr>
            <w:tcW w:w="4660" w:type="dxa"/>
            <w:vAlign w:val="bottom"/>
            <w:tcBorders>
              <w:top w:val="single" w:sz="8" w:color="D5DCE4"/>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7"/>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Less: Depreciation and amortization</w:t>
            </w:r>
          </w:p>
        </w:tc>
        <w:tc>
          <w:tcPr>
            <w:tcW w:w="3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(64,351)</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(57,872)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(190,098)</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(157,145)</w:t>
            </w:r>
          </w:p>
        </w:tc>
      </w:tr>
      <w:tr>
        <w:trPr>
          <w:trHeight w:val="223"/>
        </w:trPr>
        <w:tc>
          <w:tcPr>
            <w:tcW w:w="46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 xml:space="preserve">Add: D&amp;A related to acquisitions and the Refinitiv Transaction </w:t>
            </w:r>
            <w:r>
              <w:rPr>
                <w:rFonts w:ascii="Arial" w:cs="Arial" w:eastAsia="Arial" w:hAnsi="Arial"/>
                <w:sz w:val="19"/>
                <w:szCs w:val="19"/>
                <w:color w:val="auto"/>
                <w:vertAlign w:val="superscript"/>
              </w:rPr>
              <w:t>(5)</w:t>
            </w:r>
          </w:p>
        </w:tc>
        <w:tc>
          <w:tcPr>
            <w:tcW w:w="320" w:type="dxa"/>
            <w:vAlign w:val="bottom"/>
            <w:tcBorders>
              <w:bottom w:val="single" w:sz="8" w:color="auto"/>
            </w:tcBorders>
            <w:shd w:val="clear" w:color="auto" w:fill="D5DCE4"/>
          </w:tcPr>
          <w:p>
            <w:pPr>
              <w:spacing w:after="0"/>
              <w:rPr>
                <w:sz w:val="19"/>
                <w:szCs w:val="19"/>
                <w:color w:val="auto"/>
              </w:rPr>
            </w:pPr>
          </w:p>
        </w:tc>
        <w:tc>
          <w:tcPr>
            <w:tcW w:w="1080" w:type="dxa"/>
            <w:vAlign w:val="bottom"/>
            <w:tcBorders>
              <w:bottom w:val="single" w:sz="8" w:color="auto"/>
            </w:tcBorders>
            <w:shd w:val="clear" w:color="auto" w:fill="D5DCE4"/>
          </w:tcPr>
          <w:p>
            <w:pPr>
              <w:jc w:val="right"/>
              <w:ind w:right="108"/>
              <w:spacing w:after="0"/>
              <w:rPr>
                <w:sz w:val="20"/>
                <w:szCs w:val="20"/>
                <w:color w:val="auto"/>
              </w:rPr>
            </w:pPr>
            <w:r>
              <w:rPr>
                <w:rFonts w:ascii="Arial" w:cs="Arial" w:eastAsia="Arial" w:hAnsi="Arial"/>
                <w:sz w:val="14"/>
                <w:szCs w:val="14"/>
                <w:color w:val="auto"/>
              </w:rPr>
              <w:t>45,474</w:t>
            </w:r>
          </w:p>
        </w:tc>
        <w:tc>
          <w:tcPr>
            <w:tcW w:w="100" w:type="dxa"/>
            <w:vAlign w:val="bottom"/>
            <w:shd w:val="clear" w:color="auto" w:fill="D5DCE4"/>
          </w:tcPr>
          <w:p>
            <w:pPr>
              <w:spacing w:after="0"/>
              <w:rPr>
                <w:sz w:val="19"/>
                <w:szCs w:val="19"/>
                <w:color w:val="auto"/>
              </w:rPr>
            </w:pPr>
          </w:p>
        </w:tc>
        <w:tc>
          <w:tcPr>
            <w:tcW w:w="480" w:type="dxa"/>
            <w:vAlign w:val="bottom"/>
            <w:tcBorders>
              <w:bottom w:val="single" w:sz="8" w:color="auto"/>
            </w:tcBorders>
            <w:shd w:val="clear" w:color="auto" w:fill="D5DCE4"/>
          </w:tcPr>
          <w:p>
            <w:pPr>
              <w:spacing w:after="0"/>
              <w:rPr>
                <w:sz w:val="19"/>
                <w:szCs w:val="19"/>
                <w:color w:val="auto"/>
              </w:rPr>
            </w:pPr>
          </w:p>
        </w:tc>
        <w:tc>
          <w:tcPr>
            <w:tcW w:w="920" w:type="dxa"/>
            <w:vAlign w:val="bottom"/>
            <w:tcBorders>
              <w:bottom w:val="single" w:sz="8" w:color="auto"/>
            </w:tcBorders>
            <w:shd w:val="clear" w:color="auto" w:fill="D5DCE4"/>
          </w:tcPr>
          <w:p>
            <w:pPr>
              <w:jc w:val="right"/>
              <w:ind w:right="108"/>
              <w:spacing w:after="0"/>
              <w:rPr>
                <w:sz w:val="20"/>
                <w:szCs w:val="20"/>
                <w:color w:val="auto"/>
              </w:rPr>
            </w:pPr>
            <w:r>
              <w:rPr>
                <w:rFonts w:ascii="Arial" w:cs="Arial" w:eastAsia="Arial" w:hAnsi="Arial"/>
                <w:sz w:val="14"/>
                <w:szCs w:val="14"/>
                <w:color w:val="auto"/>
              </w:rPr>
              <w:t>41,949</w:t>
            </w:r>
          </w:p>
        </w:tc>
        <w:tc>
          <w:tcPr>
            <w:tcW w:w="100" w:type="dxa"/>
            <w:vAlign w:val="bottom"/>
            <w:shd w:val="clear" w:color="auto" w:fill="D5DCE4"/>
          </w:tcPr>
          <w:p>
            <w:pPr>
              <w:spacing w:after="0"/>
              <w:rPr>
                <w:sz w:val="19"/>
                <w:szCs w:val="19"/>
                <w:color w:val="auto"/>
              </w:rPr>
            </w:pPr>
          </w:p>
        </w:tc>
        <w:tc>
          <w:tcPr>
            <w:tcW w:w="320" w:type="dxa"/>
            <w:vAlign w:val="bottom"/>
            <w:tcBorders>
              <w:bottom w:val="single" w:sz="8" w:color="auto"/>
            </w:tcBorders>
            <w:shd w:val="clear" w:color="auto" w:fill="D5DCE4"/>
          </w:tcPr>
          <w:p>
            <w:pPr>
              <w:spacing w:after="0"/>
              <w:rPr>
                <w:sz w:val="19"/>
                <w:szCs w:val="19"/>
                <w:color w:val="auto"/>
              </w:rPr>
            </w:pPr>
          </w:p>
        </w:tc>
        <w:tc>
          <w:tcPr>
            <w:tcW w:w="1080" w:type="dxa"/>
            <w:vAlign w:val="bottom"/>
            <w:tcBorders>
              <w:bottom w:val="single" w:sz="8" w:color="auto"/>
            </w:tcBorders>
            <w:shd w:val="clear" w:color="auto" w:fill="D5DCE4"/>
          </w:tcPr>
          <w:p>
            <w:pPr>
              <w:jc w:val="right"/>
              <w:ind w:right="108"/>
              <w:spacing w:after="0"/>
              <w:rPr>
                <w:sz w:val="20"/>
                <w:szCs w:val="20"/>
                <w:color w:val="auto"/>
              </w:rPr>
            </w:pPr>
            <w:r>
              <w:rPr>
                <w:rFonts w:ascii="Arial" w:cs="Arial" w:eastAsia="Arial" w:hAnsi="Arial"/>
                <w:sz w:val="14"/>
                <w:szCs w:val="14"/>
                <w:color w:val="auto"/>
              </w:rPr>
              <w:t>136,421</w:t>
            </w:r>
          </w:p>
        </w:tc>
        <w:tc>
          <w:tcPr>
            <w:tcW w:w="100" w:type="dxa"/>
            <w:vAlign w:val="bottom"/>
            <w:shd w:val="clear" w:color="auto" w:fill="D5DCE4"/>
          </w:tcPr>
          <w:p>
            <w:pPr>
              <w:spacing w:after="0"/>
              <w:rPr>
                <w:sz w:val="19"/>
                <w:szCs w:val="19"/>
                <w:color w:val="auto"/>
              </w:rPr>
            </w:pPr>
          </w:p>
        </w:tc>
        <w:tc>
          <w:tcPr>
            <w:tcW w:w="50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tcBorders>
            <w:shd w:val="clear" w:color="auto" w:fill="D5DCE4"/>
          </w:tcPr>
          <w:p>
            <w:pPr>
              <w:jc w:val="right"/>
              <w:ind w:right="108"/>
              <w:spacing w:after="0"/>
              <w:rPr>
                <w:sz w:val="20"/>
                <w:szCs w:val="20"/>
                <w:color w:val="auto"/>
              </w:rPr>
            </w:pPr>
            <w:r>
              <w:rPr>
                <w:rFonts w:ascii="Arial" w:cs="Arial" w:eastAsia="Arial" w:hAnsi="Arial"/>
                <w:sz w:val="14"/>
                <w:szCs w:val="14"/>
                <w:color w:val="auto"/>
              </w:rPr>
              <w:t>111,031</w:t>
            </w:r>
          </w:p>
        </w:tc>
      </w:tr>
      <w:tr>
        <w:trPr>
          <w:trHeight w:val="208"/>
        </w:trPr>
        <w:tc>
          <w:tcPr>
            <w:tcW w:w="4660" w:type="dxa"/>
            <w:vAlign w:val="bottom"/>
            <w:gridSpan w:val="2"/>
          </w:tcPr>
          <w:p>
            <w:pPr>
              <w:ind w:left="20"/>
              <w:spacing w:after="0"/>
              <w:rPr>
                <w:sz w:val="20"/>
                <w:szCs w:val="20"/>
                <w:color w:val="auto"/>
              </w:rPr>
            </w:pPr>
            <w:r>
              <w:rPr>
                <w:rFonts w:ascii="Arial" w:cs="Arial" w:eastAsia="Arial" w:hAnsi="Arial"/>
                <w:sz w:val="14"/>
                <w:szCs w:val="14"/>
                <w:color w:val="auto"/>
              </w:rPr>
              <w:t>Adjusted EBIT</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255,546</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color w:val="auto"/>
              </w:rPr>
              <w:t>223,893</w:t>
            </w: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776,861</w:t>
            </w:r>
          </w:p>
        </w:tc>
        <w:tc>
          <w:tcPr>
            <w:tcW w:w="600" w:type="dxa"/>
            <w:vAlign w:val="bottom"/>
            <w:gridSpan w:val="2"/>
          </w:tcPr>
          <w:p>
            <w:pPr>
              <w:jc w:val="right"/>
              <w:ind w:right="4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629,763</w:t>
            </w:r>
          </w:p>
        </w:tc>
      </w:tr>
      <w:tr>
        <w:trPr>
          <w:trHeight w:val="20"/>
        </w:trPr>
        <w:tc>
          <w:tcPr>
            <w:tcW w:w="4560" w:type="dxa"/>
            <w:vAlign w:val="bottom"/>
            <w:tcBorders>
              <w:bottom w:val="single" w:sz="8" w:color="D5DCE4"/>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5DC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660" w:type="dxa"/>
            <w:vAlign w:val="bottom"/>
            <w:gridSpan w:val="2"/>
            <w:shd w:val="clear" w:color="auto" w:fill="D5DCE4"/>
          </w:tcPr>
          <w:p>
            <w:pPr>
              <w:ind w:left="20"/>
              <w:spacing w:after="0" w:line="204" w:lineRule="exact"/>
              <w:rPr>
                <w:sz w:val="20"/>
                <w:szCs w:val="20"/>
                <w:color w:val="auto"/>
              </w:rPr>
            </w:pPr>
            <w:r>
              <w:rPr>
                <w:rFonts w:ascii="Arial" w:cs="Arial" w:eastAsia="Arial" w:hAnsi="Arial"/>
                <w:sz w:val="14"/>
                <w:szCs w:val="14"/>
                <w:color w:val="auto"/>
              </w:rPr>
              <w:t xml:space="preserve">Net income margin </w:t>
            </w:r>
            <w:r>
              <w:rPr>
                <w:rFonts w:ascii="Arial" w:cs="Arial" w:eastAsia="Arial" w:hAnsi="Arial"/>
                <w:sz w:val="19"/>
                <w:szCs w:val="19"/>
                <w:color w:val="auto"/>
                <w:vertAlign w:val="superscript"/>
              </w:rPr>
              <w:t>(6)</w:t>
            </w:r>
          </w:p>
        </w:tc>
        <w:tc>
          <w:tcPr>
            <w:tcW w:w="320" w:type="dxa"/>
            <w:vAlign w:val="bottom"/>
            <w:shd w:val="clear" w:color="auto" w:fill="D5DCE4"/>
          </w:tcPr>
          <w:p>
            <w:pPr>
              <w:spacing w:after="0"/>
              <w:rPr>
                <w:sz w:val="17"/>
                <w:szCs w:val="17"/>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41.4 %</w:t>
            </w:r>
          </w:p>
        </w:tc>
        <w:tc>
          <w:tcPr>
            <w:tcW w:w="100" w:type="dxa"/>
            <w:vAlign w:val="bottom"/>
            <w:shd w:val="clear" w:color="auto" w:fill="D5DCE4"/>
          </w:tcPr>
          <w:p>
            <w:pPr>
              <w:spacing w:after="0"/>
              <w:rPr>
                <w:sz w:val="17"/>
                <w:szCs w:val="17"/>
                <w:color w:val="auto"/>
              </w:rPr>
            </w:pPr>
          </w:p>
        </w:tc>
        <w:tc>
          <w:tcPr>
            <w:tcW w:w="480" w:type="dxa"/>
            <w:vAlign w:val="bottom"/>
            <w:shd w:val="clear" w:color="auto" w:fill="D5DCE4"/>
          </w:tcPr>
          <w:p>
            <w:pPr>
              <w:spacing w:after="0"/>
              <w:rPr>
                <w:sz w:val="17"/>
                <w:szCs w:val="17"/>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D5DCE4"/>
          </w:tcPr>
          <w:p>
            <w:pPr>
              <w:spacing w:after="0"/>
              <w:rPr>
                <w:sz w:val="17"/>
                <w:szCs w:val="17"/>
                <w:color w:val="auto"/>
              </w:rPr>
            </w:pPr>
          </w:p>
        </w:tc>
        <w:tc>
          <w:tcPr>
            <w:tcW w:w="320" w:type="dxa"/>
            <w:vAlign w:val="bottom"/>
            <w:shd w:val="clear" w:color="auto" w:fill="D5DCE4"/>
          </w:tcPr>
          <w:p>
            <w:pPr>
              <w:spacing w:after="0"/>
              <w:rPr>
                <w:sz w:val="17"/>
                <w:szCs w:val="17"/>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36.2 %</w:t>
            </w:r>
          </w:p>
        </w:tc>
        <w:tc>
          <w:tcPr>
            <w:tcW w:w="100" w:type="dxa"/>
            <w:vAlign w:val="bottom"/>
            <w:shd w:val="clear" w:color="auto" w:fill="D5DCE4"/>
          </w:tcPr>
          <w:p>
            <w:pPr>
              <w:spacing w:after="0"/>
              <w:rPr>
                <w:sz w:val="17"/>
                <w:szCs w:val="17"/>
                <w:color w:val="auto"/>
              </w:rPr>
            </w:pPr>
          </w:p>
        </w:tc>
        <w:tc>
          <w:tcPr>
            <w:tcW w:w="500" w:type="dxa"/>
            <w:vAlign w:val="bottom"/>
            <w:shd w:val="clear" w:color="auto" w:fill="D5DCE4"/>
          </w:tcPr>
          <w:p>
            <w:pPr>
              <w:spacing w:after="0"/>
              <w:rPr>
                <w:sz w:val="17"/>
                <w:szCs w:val="17"/>
                <w:color w:val="auto"/>
              </w:rPr>
            </w:pP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32.5 %</w:t>
            </w:r>
          </w:p>
        </w:tc>
      </w:tr>
      <w:tr>
        <w:trPr>
          <w:trHeight w:val="216"/>
        </w:trPr>
        <w:tc>
          <w:tcPr>
            <w:tcW w:w="4660" w:type="dxa"/>
            <w:vAlign w:val="bottom"/>
            <w:gridSpan w:val="2"/>
          </w:tcPr>
          <w:p>
            <w:pPr>
              <w:ind w:left="20"/>
              <w:spacing w:after="0" w:line="216" w:lineRule="exact"/>
              <w:rPr>
                <w:sz w:val="20"/>
                <w:szCs w:val="20"/>
                <w:color w:val="auto"/>
              </w:rPr>
            </w:pPr>
            <w:r>
              <w:rPr>
                <w:rFonts w:ascii="Arial" w:cs="Arial" w:eastAsia="Arial" w:hAnsi="Arial"/>
                <w:sz w:val="14"/>
                <w:szCs w:val="14"/>
                <w:color w:val="auto"/>
              </w:rPr>
              <w:t xml:space="preserve">Adjusted EBITDA margin </w:t>
            </w:r>
            <w:r>
              <w:rPr>
                <w:rFonts w:ascii="Arial" w:cs="Arial" w:eastAsia="Arial" w:hAnsi="Arial"/>
                <w:sz w:val="19"/>
                <w:szCs w:val="19"/>
                <w:color w:val="auto"/>
                <w:vertAlign w:val="superscript"/>
              </w:rPr>
              <w:t>(6)</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54.0 %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53.4 %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54.2 %</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53.5 %</w:t>
            </w:r>
          </w:p>
        </w:tc>
      </w:tr>
      <w:tr>
        <w:trPr>
          <w:trHeight w:val="216"/>
        </w:trPr>
        <w:tc>
          <w:tcPr>
            <w:tcW w:w="4660" w:type="dxa"/>
            <w:vAlign w:val="bottom"/>
            <w:gridSpan w:val="2"/>
            <w:shd w:val="clear" w:color="auto" w:fill="D5DCE4"/>
          </w:tcPr>
          <w:p>
            <w:pPr>
              <w:ind w:left="20"/>
              <w:spacing w:after="0" w:line="216" w:lineRule="exact"/>
              <w:rPr>
                <w:sz w:val="20"/>
                <w:szCs w:val="20"/>
                <w:color w:val="auto"/>
              </w:rPr>
            </w:pPr>
            <w:r>
              <w:rPr>
                <w:rFonts w:ascii="Arial" w:cs="Arial" w:eastAsia="Arial" w:hAnsi="Arial"/>
                <w:sz w:val="14"/>
                <w:szCs w:val="14"/>
                <w:color w:val="auto"/>
              </w:rPr>
              <w:t xml:space="preserve">Adjusted EBIT margin </w:t>
            </w:r>
            <w:r>
              <w:rPr>
                <w:rFonts w:ascii="Arial" w:cs="Arial" w:eastAsia="Arial" w:hAnsi="Arial"/>
                <w:sz w:val="19"/>
                <w:szCs w:val="19"/>
                <w:color w:val="auto"/>
                <w:vertAlign w:val="superscript"/>
              </w:rPr>
              <w:t>(6)</w:t>
            </w: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50.2 %</w:t>
            </w:r>
          </w:p>
        </w:tc>
        <w:tc>
          <w:tcPr>
            <w:tcW w:w="10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49.9 %</w:t>
            </w:r>
          </w:p>
        </w:tc>
        <w:tc>
          <w:tcPr>
            <w:tcW w:w="100" w:type="dxa"/>
            <w:vAlign w:val="bottom"/>
            <w:shd w:val="clear" w:color="auto" w:fill="D5DCE4"/>
          </w:tcPr>
          <w:p>
            <w:pPr>
              <w:spacing w:after="0"/>
              <w:rPr>
                <w:sz w:val="18"/>
                <w:szCs w:val="18"/>
                <w:color w:val="auto"/>
              </w:rPr>
            </w:pPr>
          </w:p>
        </w:tc>
        <w:tc>
          <w:tcPr>
            <w:tcW w:w="320" w:type="dxa"/>
            <w:vAlign w:val="bottom"/>
            <w:shd w:val="clear" w:color="auto" w:fill="D5DCE4"/>
          </w:tcPr>
          <w:p>
            <w:pPr>
              <w:spacing w:after="0"/>
              <w:rPr>
                <w:sz w:val="18"/>
                <w:szCs w:val="18"/>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50.7 %</w:t>
            </w:r>
          </w:p>
        </w:tc>
        <w:tc>
          <w:tcPr>
            <w:tcW w:w="100" w:type="dxa"/>
            <w:vAlign w:val="bottom"/>
            <w:shd w:val="clear" w:color="auto" w:fill="D5DCE4"/>
          </w:tcPr>
          <w:p>
            <w:pPr>
              <w:spacing w:after="0"/>
              <w:rPr>
                <w:sz w:val="18"/>
                <w:szCs w:val="18"/>
                <w:color w:val="auto"/>
              </w:rPr>
            </w:pPr>
          </w:p>
        </w:tc>
        <w:tc>
          <w:tcPr>
            <w:tcW w:w="500" w:type="dxa"/>
            <w:vAlign w:val="bottom"/>
            <w:shd w:val="clear" w:color="auto" w:fill="D5DCE4"/>
          </w:tcPr>
          <w:p>
            <w:pPr>
              <w:spacing w:after="0"/>
              <w:rPr>
                <w:sz w:val="18"/>
                <w:szCs w:val="18"/>
                <w:color w:val="auto"/>
              </w:rPr>
            </w:pP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49.9 %</w:t>
            </w:r>
          </w:p>
        </w:tc>
      </w:tr>
    </w:tbl>
    <w:p>
      <w:pPr>
        <w:spacing w:after="0" w:line="120" w:lineRule="exact"/>
        <w:rPr>
          <w:sz w:val="20"/>
          <w:szCs w:val="20"/>
          <w:color w:val="auto"/>
        </w:rPr>
      </w:pPr>
    </w:p>
    <w:p>
      <w:pPr>
        <w:ind w:left="440" w:right="200" w:hanging="422"/>
        <w:spacing w:after="0" w:line="182" w:lineRule="auto"/>
        <w:tabs>
          <w:tab w:leader="none" w:pos="440" w:val="left"/>
        </w:tabs>
        <w:numPr>
          <w:ilvl w:val="0"/>
          <w:numId w:val="8"/>
        </w:numPr>
        <w:rPr>
          <w:rFonts w:ascii="Arial" w:cs="Arial" w:eastAsia="Arial" w:hAnsi="Arial"/>
          <w:sz w:val="20"/>
          <w:szCs w:val="20"/>
          <w:color w:val="auto"/>
          <w:vertAlign w:val="subscript"/>
        </w:rPr>
      </w:pPr>
      <w:r>
        <w:rPr>
          <w:rFonts w:ascii="Arial" w:cs="Arial" w:eastAsia="Arial" w:hAnsi="Arial"/>
          <w:sz w:val="10"/>
          <w:szCs w:val="10"/>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6" w:lineRule="exact"/>
        <w:rPr>
          <w:rFonts w:ascii="Arial" w:cs="Arial" w:eastAsia="Arial" w:hAnsi="Arial"/>
          <w:sz w:val="20"/>
          <w:szCs w:val="20"/>
          <w:color w:val="auto"/>
          <w:vertAlign w:val="subscript"/>
        </w:rPr>
      </w:pPr>
    </w:p>
    <w:p>
      <w:pPr>
        <w:ind w:left="440" w:right="20" w:hanging="422"/>
        <w:spacing w:after="0" w:line="238"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associated with the Special Option Award and post-IPO options awarded in 2019 and payroll taxes associated with the exercise of such options. During the three and nine months ended September 30, 2025 and 2024, this adjustment also includes $0.6 million, $1.8 million, $0.4 million and $0.4 million, respectively, of non-cash stock-based compensation expense and related payroll taxes associated with RSAs and RSUs issued to help retain key ICD employees during the integration of ICD. During the three and nine months ended September 30, 2024, this adjustment also includes $2.4 million and $2.7 million, respectively, of non-cash accelerated stock-based compensation expense and related payroll taxes associated with our former President.</w:t>
      </w:r>
    </w:p>
    <w:p>
      <w:pPr>
        <w:spacing w:after="0" w:line="26" w:lineRule="exact"/>
        <w:rPr>
          <w:rFonts w:ascii="Arial" w:cs="Arial" w:eastAsia="Arial" w:hAnsi="Arial"/>
          <w:sz w:val="11"/>
          <w:szCs w:val="11"/>
          <w:color w:val="auto"/>
        </w:rPr>
      </w:pPr>
    </w:p>
    <w:p>
      <w:pPr>
        <w:ind w:left="440" w:right="100" w:hanging="422"/>
        <w:spacing w:after="0" w:line="256"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8" w:lineRule="exact"/>
        <w:rPr>
          <w:rFonts w:ascii="Arial" w:cs="Arial" w:eastAsia="Arial" w:hAnsi="Arial"/>
          <w:sz w:val="11"/>
          <w:szCs w:val="11"/>
          <w:color w:val="auto"/>
        </w:rPr>
      </w:pPr>
    </w:p>
    <w:p>
      <w:pPr>
        <w:ind w:left="440" w:right="320" w:hanging="422"/>
        <w:spacing w:after="0" w:line="256"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18" w:lineRule="exact"/>
        <w:rPr>
          <w:rFonts w:ascii="Arial" w:cs="Arial" w:eastAsia="Arial" w:hAnsi="Arial"/>
          <w:sz w:val="11"/>
          <w:szCs w:val="11"/>
          <w:color w:val="auto"/>
        </w:rPr>
      </w:pPr>
    </w:p>
    <w:p>
      <w:pPr>
        <w:ind w:left="440" w:right="180" w:hanging="422"/>
        <w:spacing w:after="0" w:line="256" w:lineRule="auto"/>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 w:lineRule="exact"/>
        <w:rPr>
          <w:rFonts w:ascii="Arial" w:cs="Arial" w:eastAsia="Arial" w:hAnsi="Arial"/>
          <w:sz w:val="11"/>
          <w:szCs w:val="11"/>
          <w:color w:val="auto"/>
        </w:rPr>
      </w:pPr>
    </w:p>
    <w:p>
      <w:pPr>
        <w:ind w:left="440" w:hanging="422"/>
        <w:spacing w:after="0"/>
        <w:tabs>
          <w:tab w:leader="none" w:pos="440" w:val="left"/>
        </w:tabs>
        <w:numPr>
          <w:ilvl w:val="0"/>
          <w:numId w:val="8"/>
        </w:numPr>
        <w:rPr>
          <w:rFonts w:ascii="Arial" w:cs="Arial" w:eastAsia="Arial" w:hAnsi="Arial"/>
          <w:sz w:val="11"/>
          <w:szCs w:val="11"/>
          <w:color w:val="auto"/>
        </w:rPr>
      </w:pPr>
      <w:r>
        <w:rPr>
          <w:rFonts w:ascii="Arial" w:cs="Arial" w:eastAsia="Arial" w:hAnsi="Arial"/>
          <w:sz w:val="11"/>
          <w:szCs w:val="11"/>
          <w:color w:val="auto"/>
        </w:rPr>
        <w:t>Net income margin, Adjusted EBITDA margin and Adjusted EBIT margin are defined as net income, Adjusted EBITDA and Adjusted EBIT, respectively, divided by revenue for the applicable period.</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5</w:t>
      </w:r>
    </w:p>
    <w:p>
      <w:pPr>
        <w:sectPr>
          <w:pgSz w:w="11900" w:h="16840" w:orient="portrait"/>
          <w:cols w:equalWidth="0" w:num="1">
            <w:col w:w="10580"/>
          </w:cols>
          <w:pgMar w:left="660" w:top="1133" w:right="660" w:bottom="1440" w:gutter="0" w:footer="0" w:header="0"/>
        </w:sectPr>
      </w:pPr>
    </w:p>
    <w:bookmarkStart w:id="8" w:name="page9"/>
    <w:bookmarkEnd w:id="8"/>
    <w:p>
      <w:pPr>
        <w:spacing w:after="0" w:line="276" w:lineRule="exact"/>
        <w:rPr>
          <w:sz w:val="20"/>
          <w:szCs w:val="20"/>
          <w:color w:val="auto"/>
        </w:rPr>
      </w:pPr>
    </w:p>
    <w:p>
      <w:pPr>
        <w:ind w:left="20"/>
        <w:spacing w:after="0" w:line="306" w:lineRule="auto"/>
        <w:rPr>
          <w:sz w:val="20"/>
          <w:szCs w:val="20"/>
          <w:color w:val="auto"/>
        </w:rPr>
      </w:pPr>
      <w:r>
        <w:rPr>
          <w:rFonts w:ascii="Arial" w:cs="Arial" w:eastAsia="Arial" w:hAnsi="Arial"/>
          <w:sz w:val="14"/>
          <w:szCs w:val="14"/>
          <w:b w:val="1"/>
          <w:bCs w:val="1"/>
          <w:color w:val="auto"/>
        </w:rPr>
        <w:t>Reconciliation of Net Income to Adjusted Net Income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307911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07911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19"/>
        </w:trPr>
        <w:tc>
          <w:tcPr>
            <w:tcW w:w="8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center"/>
              <w:ind w:right="788"/>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center"/>
              <w:ind w:right="768"/>
              <w:spacing w:after="0"/>
              <w:rPr>
                <w:sz w:val="20"/>
                <w:szCs w:val="20"/>
                <w:color w:val="auto"/>
              </w:rPr>
            </w:pPr>
            <w:r>
              <w:rPr>
                <w:rFonts w:ascii="Arial" w:cs="Arial" w:eastAsia="Arial" w:hAnsi="Arial"/>
                <w:sz w:val="14"/>
                <w:szCs w:val="14"/>
                <w:b w:val="1"/>
                <w:bCs w:val="1"/>
                <w:color w:val="auto"/>
              </w:rPr>
              <w:t>September 30,</w:t>
            </w:r>
          </w:p>
        </w:tc>
      </w:tr>
      <w:tr>
        <w:trPr>
          <w:trHeight w:val="205"/>
        </w:trPr>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2025</w:t>
            </w:r>
          </w:p>
        </w:tc>
        <w:tc>
          <w:tcPr>
            <w:tcW w:w="1920" w:type="dxa"/>
            <w:vAlign w:val="bottom"/>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2025</w:t>
            </w:r>
          </w:p>
        </w:tc>
        <w:tc>
          <w:tcPr>
            <w:tcW w:w="19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35750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575050" cy="7620"/>
                    </a:xfrm>
                    <a:prstGeom prst="rect">
                      <a:avLst/>
                    </a:prstGeom>
                    <a:noFill/>
                  </pic:spPr>
                </pic:pic>
              </a:graphicData>
            </a:graphic>
          </wp:anchor>
        </w:drawing>
      </w:r>
    </w:p>
    <w:p>
      <w:pPr>
        <w:ind w:left="1100"/>
        <w:spacing w:after="0"/>
        <w:rPr>
          <w:sz w:val="20"/>
          <w:szCs w:val="20"/>
          <w:color w:val="auto"/>
        </w:rPr>
      </w:pPr>
      <w:r>
        <w:rPr>
          <w:rFonts w:ascii="Arial" w:cs="Arial" w:eastAsia="Arial" w:hAnsi="Arial"/>
          <w:sz w:val="14"/>
          <w:szCs w:val="14"/>
          <w:b w:val="1"/>
          <w:bCs w:val="1"/>
          <w:color w:val="auto"/>
        </w:rPr>
        <w:t>(dollars in thousands, except per share amounts)</w:t>
      </w:r>
    </w:p>
    <w:p>
      <w:pPr>
        <w:spacing w:after="0" w:line="57" w:lineRule="exact"/>
        <w:rPr>
          <w:sz w:val="20"/>
          <w:szCs w:val="20"/>
          <w:color w:val="auto"/>
        </w:rPr>
      </w:pPr>
    </w:p>
    <w:p>
      <w:pPr>
        <w:sectPr>
          <w:pgSz w:w="11900" w:h="16840" w:orient="portrait"/>
          <w:cols w:equalWidth="0" w:num="2">
            <w:col w:w="4600" w:space="340"/>
            <w:col w:w="5640"/>
          </w:cols>
          <w:pgMar w:left="660" w:top="1181" w:right="660" w:bottom="1440" w:gutter="0" w:footer="0" w:header="0"/>
        </w:sectPr>
      </w:pPr>
    </w:p>
    <w:tbl>
      <w:tblPr>
        <w:tblLayout w:type="fixed"/>
        <w:tblInd w:w="0" w:type="dxa"/>
        <w:tblCellMar>
          <w:top w:w="0" w:type="dxa"/>
          <w:left w:w="0" w:type="dxa"/>
          <w:bottom w:w="0" w:type="dxa"/>
          <w:right w:w="0" w:type="dxa"/>
        </w:tblCellMar>
      </w:tblPr>
      <w:tr>
        <w:trPr>
          <w:trHeight w:val="222"/>
        </w:trPr>
        <w:tc>
          <w:tcPr>
            <w:tcW w:w="49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4"/>
                <w:szCs w:val="14"/>
                <w:color w:val="auto"/>
              </w:rPr>
              <w:t>Earnings per diluted share</w:t>
            </w:r>
          </w:p>
        </w:tc>
        <w:tc>
          <w:tcPr>
            <w:tcW w:w="420" w:type="dxa"/>
            <w:vAlign w:val="bottom"/>
            <w:tcBorders>
              <w:bottom w:val="single" w:sz="8" w:color="auto"/>
            </w:tcBorders>
            <w:shd w:val="clear" w:color="auto" w:fill="D5DCE4"/>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0.86</w:t>
            </w:r>
          </w:p>
        </w:tc>
        <w:tc>
          <w:tcPr>
            <w:tcW w:w="80" w:type="dxa"/>
            <w:vAlign w:val="bottom"/>
            <w:tcBorders>
              <w:bottom w:val="single" w:sz="8" w:color="D5DCE4"/>
            </w:tcBorders>
            <w:shd w:val="clear" w:color="auto" w:fill="D5DCE4"/>
          </w:tcPr>
          <w:p>
            <w:pPr>
              <w:spacing w:after="0"/>
              <w:rPr>
                <w:sz w:val="19"/>
                <w:szCs w:val="19"/>
                <w:color w:val="auto"/>
              </w:rPr>
            </w:pPr>
          </w:p>
        </w:tc>
        <w:tc>
          <w:tcPr>
            <w:tcW w:w="440" w:type="dxa"/>
            <w:vAlign w:val="bottom"/>
            <w:tcBorders>
              <w:bottom w:val="single" w:sz="8" w:color="auto"/>
            </w:tcBorders>
            <w:shd w:val="clear" w:color="auto" w:fill="D5DCE4"/>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0.53</w:t>
            </w:r>
          </w:p>
        </w:tc>
        <w:tc>
          <w:tcPr>
            <w:tcW w:w="80" w:type="dxa"/>
            <w:vAlign w:val="bottom"/>
            <w:tcBorders>
              <w:bottom w:val="single" w:sz="8" w:color="D5DCE4"/>
            </w:tcBorders>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jc w:val="right"/>
              <w:ind w:right="24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2.27</w:t>
            </w:r>
          </w:p>
        </w:tc>
        <w:tc>
          <w:tcPr>
            <w:tcW w:w="80" w:type="dxa"/>
            <w:vAlign w:val="bottom"/>
            <w:tcBorders>
              <w:bottom w:val="single" w:sz="8" w:color="D5DCE4"/>
            </w:tcBorders>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1.67</w:t>
            </w:r>
          </w:p>
        </w:tc>
      </w:tr>
      <w:tr>
        <w:trPr>
          <w:trHeight w:val="20"/>
        </w:trPr>
        <w:tc>
          <w:tcPr>
            <w:tcW w:w="4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7"/>
        </w:trPr>
        <w:tc>
          <w:tcPr>
            <w:tcW w:w="4940" w:type="dxa"/>
            <w:vAlign w:val="bottom"/>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185,636</w:t>
            </w:r>
          </w:p>
        </w:tc>
        <w:tc>
          <w:tcPr>
            <w:tcW w:w="5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113,916</w:t>
            </w:r>
          </w:p>
        </w:tc>
        <w:tc>
          <w:tcPr>
            <w:tcW w:w="4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487,800</w:t>
            </w:r>
          </w:p>
        </w:tc>
        <w:tc>
          <w:tcPr>
            <w:tcW w:w="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359,297</w:t>
            </w:r>
          </w:p>
        </w:tc>
      </w:tr>
      <w:tr>
        <w:trPr>
          <w:trHeight w:val="223"/>
        </w:trPr>
        <w:tc>
          <w:tcPr>
            <w:tcW w:w="4940" w:type="dxa"/>
            <w:vAlign w:val="bottom"/>
            <w:shd w:val="clear" w:color="auto" w:fill="D5DCE4"/>
          </w:tcPr>
          <w:p>
            <w:pPr>
              <w:ind w:left="20"/>
              <w:spacing w:after="0"/>
              <w:rPr>
                <w:sz w:val="20"/>
                <w:szCs w:val="20"/>
                <w:color w:val="auto"/>
              </w:rPr>
            </w:pPr>
            <w:r>
              <w:rPr>
                <w:rFonts w:ascii="Arial" w:cs="Arial" w:eastAsia="Arial" w:hAnsi="Arial"/>
                <w:sz w:val="14"/>
                <w:szCs w:val="14"/>
                <w:color w:val="auto"/>
              </w:rPr>
              <w:t xml:space="preserve">Net income attributable to non-controlling interests </w:t>
            </w:r>
            <w:r>
              <w:rPr>
                <w:rFonts w:ascii="Arial" w:cs="Arial" w:eastAsia="Arial" w:hAnsi="Arial"/>
                <w:sz w:val="19"/>
                <w:szCs w:val="19"/>
                <w:color w:val="auto"/>
                <w:vertAlign w:val="superscript"/>
              </w:rPr>
              <w:t>(1)</w:t>
            </w:r>
          </w:p>
        </w:tc>
        <w:tc>
          <w:tcPr>
            <w:tcW w:w="420" w:type="dxa"/>
            <w:vAlign w:val="bottom"/>
            <w:tcBorders>
              <w:bottom w:val="single" w:sz="8" w:color="auto"/>
            </w:tcBorders>
            <w:shd w:val="clear" w:color="auto" w:fill="D5DCE4"/>
          </w:tcPr>
          <w:p>
            <w:pPr>
              <w:spacing w:after="0"/>
              <w:rPr>
                <w:sz w:val="19"/>
                <w:szCs w:val="19"/>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24,913</w:t>
            </w:r>
          </w:p>
        </w:tc>
        <w:tc>
          <w:tcPr>
            <w:tcW w:w="80" w:type="dxa"/>
            <w:vAlign w:val="bottom"/>
            <w:shd w:val="clear" w:color="auto" w:fill="D5DCE4"/>
          </w:tcPr>
          <w:p>
            <w:pPr>
              <w:spacing w:after="0"/>
              <w:rPr>
                <w:sz w:val="19"/>
                <w:szCs w:val="19"/>
                <w:color w:val="auto"/>
              </w:rPr>
            </w:pPr>
          </w:p>
        </w:tc>
        <w:tc>
          <w:tcPr>
            <w:tcW w:w="440" w:type="dxa"/>
            <w:vAlign w:val="bottom"/>
            <w:tcBorders>
              <w:bottom w:val="single" w:sz="8" w:color="auto"/>
            </w:tcBorders>
            <w:shd w:val="clear" w:color="auto" w:fill="D5DCE4"/>
          </w:tcPr>
          <w:p>
            <w:pPr>
              <w:spacing w:after="0"/>
              <w:rPr>
                <w:sz w:val="19"/>
                <w:szCs w:val="19"/>
                <w:color w:val="auto"/>
              </w:rPr>
            </w:pPr>
          </w:p>
        </w:tc>
        <w:tc>
          <w:tcPr>
            <w:tcW w:w="92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16,307</w:t>
            </w:r>
          </w:p>
        </w:tc>
        <w:tc>
          <w:tcPr>
            <w:tcW w:w="80" w:type="dxa"/>
            <w:vAlign w:val="bottom"/>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spacing w:after="0"/>
              <w:rPr>
                <w:sz w:val="19"/>
                <w:szCs w:val="19"/>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66,576</w:t>
            </w:r>
          </w:p>
        </w:tc>
        <w:tc>
          <w:tcPr>
            <w:tcW w:w="80" w:type="dxa"/>
            <w:vAlign w:val="bottom"/>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spacing w:after="0"/>
              <w:rPr>
                <w:sz w:val="19"/>
                <w:szCs w:val="19"/>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50,724</w:t>
            </w:r>
          </w:p>
        </w:tc>
      </w:tr>
      <w:tr>
        <w:trPr>
          <w:trHeight w:val="201"/>
        </w:trPr>
        <w:tc>
          <w:tcPr>
            <w:tcW w:w="49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210,549</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130,223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554,376</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410,021</w:t>
            </w:r>
          </w:p>
        </w:tc>
      </w:tr>
      <w:tr>
        <w:trPr>
          <w:trHeight w:val="223"/>
        </w:trPr>
        <w:tc>
          <w:tcPr>
            <w:tcW w:w="4940" w:type="dxa"/>
            <w:vAlign w:val="bottom"/>
            <w:shd w:val="clear" w:color="auto" w:fill="D5DCE4"/>
          </w:tcPr>
          <w:p>
            <w:pPr>
              <w:ind w:left="20"/>
              <w:spacing w:after="0"/>
              <w:rPr>
                <w:sz w:val="20"/>
                <w:szCs w:val="20"/>
                <w:color w:val="auto"/>
              </w:rPr>
            </w:pPr>
            <w:r>
              <w:rPr>
                <w:rFonts w:ascii="Arial" w:cs="Arial" w:eastAsia="Arial" w:hAnsi="Arial"/>
                <w:sz w:val="14"/>
                <w:szCs w:val="14"/>
                <w:color w:val="auto"/>
              </w:rPr>
              <w:t>Provision for income taxes</w:t>
            </w:r>
          </w:p>
        </w:tc>
        <w:tc>
          <w:tcPr>
            <w:tcW w:w="420" w:type="dxa"/>
            <w:vAlign w:val="bottom"/>
            <w:shd w:val="clear" w:color="auto" w:fill="D5DCE4"/>
          </w:tcPr>
          <w:p>
            <w:pPr>
              <w:spacing w:after="0"/>
              <w:rPr>
                <w:sz w:val="19"/>
                <w:szCs w:val="19"/>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59,068</w:t>
            </w: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9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43,450</w:t>
            </w: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163,886</w:t>
            </w:r>
          </w:p>
        </w:tc>
        <w:tc>
          <w:tcPr>
            <w:tcW w:w="80" w:type="dxa"/>
            <w:vAlign w:val="bottom"/>
            <w:shd w:val="clear" w:color="auto" w:fill="D5DCE4"/>
          </w:tcPr>
          <w:p>
            <w:pPr>
              <w:spacing w:after="0"/>
              <w:rPr>
                <w:sz w:val="19"/>
                <w:szCs w:val="19"/>
                <w:color w:val="auto"/>
              </w:rPr>
            </w:pPr>
          </w:p>
        </w:tc>
        <w:tc>
          <w:tcPr>
            <w:tcW w:w="400" w:type="dxa"/>
            <w:vAlign w:val="bottom"/>
            <w:shd w:val="clear" w:color="auto" w:fill="D5DCE4"/>
          </w:tcPr>
          <w:p>
            <w:pPr>
              <w:spacing w:after="0"/>
              <w:rPr>
                <w:sz w:val="19"/>
                <w:szCs w:val="19"/>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134,135</w:t>
            </w: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4"/>
                <w:szCs w:val="14"/>
                <w:color w:val="auto"/>
              </w:rPr>
              <w:t xml:space="preserve">Merger and acquisition transaction and integration costs </w:t>
            </w:r>
            <w:r>
              <w:rPr>
                <w:rFonts w:ascii="Arial" w:cs="Arial" w:eastAsia="Arial" w:hAnsi="Arial"/>
                <w:sz w:val="19"/>
                <w:szCs w:val="19"/>
                <w:color w:val="auto"/>
                <w:vertAlign w:val="superscript"/>
              </w:rPr>
              <w:t>(2)</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14,488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6,734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21,752</w:t>
            </w:r>
          </w:p>
        </w:tc>
      </w:tr>
      <w:tr>
        <w:trPr>
          <w:trHeight w:val="216"/>
        </w:trPr>
        <w:tc>
          <w:tcPr>
            <w:tcW w:w="4940" w:type="dxa"/>
            <w:vAlign w:val="bottom"/>
            <w:shd w:val="clear" w:color="auto" w:fill="D5DCE4"/>
          </w:tcPr>
          <w:p>
            <w:pPr>
              <w:ind w:left="20"/>
              <w:spacing w:after="0" w:line="216" w:lineRule="exact"/>
              <w:rPr>
                <w:sz w:val="20"/>
                <w:szCs w:val="20"/>
                <w:color w:val="auto"/>
              </w:rPr>
            </w:pPr>
            <w:r>
              <w:rPr>
                <w:rFonts w:ascii="Arial" w:cs="Arial" w:eastAsia="Arial" w:hAnsi="Arial"/>
                <w:sz w:val="14"/>
                <w:szCs w:val="14"/>
                <w:color w:val="auto"/>
              </w:rPr>
              <w:t xml:space="preserve">D&amp;A related to acquisitions and the Refinitiv Transaction </w:t>
            </w:r>
            <w:r>
              <w:rPr>
                <w:rFonts w:ascii="Arial" w:cs="Arial" w:eastAsia="Arial" w:hAnsi="Arial"/>
                <w:sz w:val="19"/>
                <w:szCs w:val="19"/>
                <w:color w:val="auto"/>
                <w:vertAlign w:val="superscript"/>
              </w:rPr>
              <w:t>(3)</w:t>
            </w:r>
          </w:p>
        </w:tc>
        <w:tc>
          <w:tcPr>
            <w:tcW w:w="420" w:type="dxa"/>
            <w:vAlign w:val="bottom"/>
            <w:shd w:val="clear" w:color="auto" w:fill="D5DCE4"/>
          </w:tcPr>
          <w:p>
            <w:pPr>
              <w:spacing w:after="0"/>
              <w:rPr>
                <w:sz w:val="18"/>
                <w:szCs w:val="18"/>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45,474</w:t>
            </w:r>
          </w:p>
        </w:tc>
        <w:tc>
          <w:tcPr>
            <w:tcW w:w="8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9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41,949</w:t>
            </w: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136,421</w:t>
            </w: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111,031</w:t>
            </w: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4"/>
                <w:szCs w:val="14"/>
                <w:color w:val="auto"/>
              </w:rPr>
              <w:t xml:space="preserve">Stock-based compensation expense </w:t>
            </w:r>
            <w:r>
              <w:rPr>
                <w:rFonts w:ascii="Arial" w:cs="Arial" w:eastAsia="Arial" w:hAnsi="Arial"/>
                <w:sz w:val="19"/>
                <w:szCs w:val="19"/>
                <w:color w:val="auto"/>
                <w:vertAlign w:val="superscript"/>
              </w:rPr>
              <w:t>(4)</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1,802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5,395</w:t>
            </w:r>
          </w:p>
        </w:tc>
      </w:tr>
      <w:tr>
        <w:trPr>
          <w:trHeight w:val="216"/>
        </w:trPr>
        <w:tc>
          <w:tcPr>
            <w:tcW w:w="4940" w:type="dxa"/>
            <w:vAlign w:val="bottom"/>
            <w:shd w:val="clear" w:color="auto" w:fill="D5DCE4"/>
          </w:tcPr>
          <w:p>
            <w:pPr>
              <w:ind w:left="20"/>
              <w:spacing w:after="0" w:line="216" w:lineRule="exact"/>
              <w:rPr>
                <w:sz w:val="20"/>
                <w:szCs w:val="20"/>
                <w:color w:val="auto"/>
              </w:rPr>
            </w:pPr>
            <w:r>
              <w:rPr>
                <w:rFonts w:ascii="Arial" w:cs="Arial" w:eastAsia="Arial" w:hAnsi="Arial"/>
                <w:sz w:val="14"/>
                <w:szCs w:val="14"/>
                <w:color w:val="auto"/>
              </w:rPr>
              <w:t xml:space="preserve">Foreign exchange (gains) / losses </w:t>
            </w:r>
            <w:r>
              <w:rPr>
                <w:rFonts w:ascii="Arial" w:cs="Arial" w:eastAsia="Arial" w:hAnsi="Arial"/>
                <w:sz w:val="19"/>
                <w:szCs w:val="19"/>
                <w:color w:val="auto"/>
                <w:vertAlign w:val="superscript"/>
              </w:rPr>
              <w:t>(5)</w:t>
            </w:r>
          </w:p>
        </w:tc>
        <w:tc>
          <w:tcPr>
            <w:tcW w:w="420" w:type="dxa"/>
            <w:vAlign w:val="bottom"/>
            <w:shd w:val="clear" w:color="auto" w:fill="D5DCE4"/>
          </w:tcPr>
          <w:p>
            <w:pPr>
              <w:spacing w:after="0"/>
              <w:rPr>
                <w:sz w:val="18"/>
                <w:szCs w:val="18"/>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(1,372)</w:t>
            </w:r>
          </w:p>
        </w:tc>
        <w:tc>
          <w:tcPr>
            <w:tcW w:w="8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4,459</w:t>
            </w: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17,579</w:t>
            </w:r>
          </w:p>
        </w:tc>
        <w:tc>
          <w:tcPr>
            <w:tcW w:w="80" w:type="dxa"/>
            <w:vAlign w:val="bottom"/>
            <w:shd w:val="clear" w:color="auto" w:fill="D5DCE4"/>
          </w:tcPr>
          <w:p>
            <w:pPr>
              <w:spacing w:after="0"/>
              <w:rPr>
                <w:sz w:val="18"/>
                <w:szCs w:val="18"/>
                <w:color w:val="auto"/>
              </w:rPr>
            </w:pPr>
          </w:p>
        </w:tc>
        <w:tc>
          <w:tcPr>
            <w:tcW w:w="400" w:type="dxa"/>
            <w:vAlign w:val="bottom"/>
            <w:shd w:val="clear" w:color="auto" w:fill="D5DCE4"/>
          </w:tcPr>
          <w:p>
            <w:pPr>
              <w:spacing w:after="0"/>
              <w:rPr>
                <w:sz w:val="18"/>
                <w:szCs w:val="18"/>
                <w:color w:val="auto"/>
              </w:rPr>
            </w:pP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2,097</w:t>
            </w:r>
          </w:p>
        </w:tc>
      </w:tr>
      <w:tr>
        <w:trPr>
          <w:trHeight w:val="216"/>
        </w:trPr>
        <w:tc>
          <w:tcPr>
            <w:tcW w:w="4940" w:type="dxa"/>
            <w:vAlign w:val="bottom"/>
          </w:tcPr>
          <w:p>
            <w:pPr>
              <w:ind w:left="20"/>
              <w:spacing w:after="0" w:line="216" w:lineRule="exact"/>
              <w:rPr>
                <w:sz w:val="20"/>
                <w:szCs w:val="20"/>
                <w:color w:val="auto"/>
              </w:rPr>
            </w:pPr>
            <w:r>
              <w:rPr>
                <w:rFonts w:ascii="Arial" w:cs="Arial" w:eastAsia="Arial" w:hAnsi="Arial"/>
                <w:sz w:val="14"/>
                <w:szCs w:val="14"/>
                <w:color w:val="auto"/>
              </w:rPr>
              <w:t xml:space="preserve">Tax receivable agreement liability adjustment </w:t>
            </w:r>
            <w:r>
              <w:rPr>
                <w:rFonts w:ascii="Arial" w:cs="Arial" w:eastAsia="Arial" w:hAnsi="Arial"/>
                <w:sz w:val="19"/>
                <w:szCs w:val="19"/>
                <w:color w:val="auto"/>
                <w:vertAlign w:val="superscript"/>
              </w:rPr>
              <w:t>(6)</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870</w:t>
            </w:r>
          </w:p>
        </w:tc>
      </w:tr>
      <w:tr>
        <w:trPr>
          <w:trHeight w:val="216"/>
        </w:trPr>
        <w:tc>
          <w:tcPr>
            <w:tcW w:w="4940" w:type="dxa"/>
            <w:vAlign w:val="bottom"/>
            <w:shd w:val="clear" w:color="auto" w:fill="D5DCE4"/>
          </w:tcPr>
          <w:p>
            <w:pPr>
              <w:ind w:left="20"/>
              <w:spacing w:after="0"/>
              <w:rPr>
                <w:sz w:val="20"/>
                <w:szCs w:val="20"/>
                <w:color w:val="auto"/>
              </w:rPr>
            </w:pPr>
            <w:r>
              <w:rPr>
                <w:rFonts w:ascii="Arial" w:cs="Arial" w:eastAsia="Arial" w:hAnsi="Arial"/>
                <w:sz w:val="14"/>
                <w:szCs w:val="14"/>
                <w:color w:val="auto"/>
              </w:rPr>
              <w:t>Other (income) loss, net</w:t>
            </w:r>
          </w:p>
        </w:tc>
        <w:tc>
          <w:tcPr>
            <w:tcW w:w="420" w:type="dxa"/>
            <w:vAlign w:val="bottom"/>
            <w:tcBorders>
              <w:bottom w:val="single" w:sz="8" w:color="auto"/>
            </w:tcBorders>
            <w:shd w:val="clear" w:color="auto" w:fill="D5DCE4"/>
          </w:tcPr>
          <w:p>
            <w:pPr>
              <w:spacing w:after="0"/>
              <w:rPr>
                <w:sz w:val="18"/>
                <w:szCs w:val="18"/>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(39,420)</w:t>
            </w:r>
          </w:p>
        </w:tc>
        <w:tc>
          <w:tcPr>
            <w:tcW w:w="80" w:type="dxa"/>
            <w:vAlign w:val="bottom"/>
            <w:shd w:val="clear" w:color="auto" w:fill="D5DCE4"/>
          </w:tcPr>
          <w:p>
            <w:pPr>
              <w:spacing w:after="0"/>
              <w:rPr>
                <w:sz w:val="18"/>
                <w:szCs w:val="18"/>
                <w:color w:val="auto"/>
              </w:rPr>
            </w:pPr>
          </w:p>
        </w:tc>
        <w:tc>
          <w:tcPr>
            <w:tcW w:w="440" w:type="dxa"/>
            <w:vAlign w:val="bottom"/>
            <w:tcBorders>
              <w:bottom w:val="single" w:sz="8" w:color="auto"/>
            </w:tcBorders>
            <w:shd w:val="clear" w:color="auto" w:fill="D5DCE4"/>
          </w:tcPr>
          <w:p>
            <w:pPr>
              <w:spacing w:after="0"/>
              <w:rPr>
                <w:sz w:val="18"/>
                <w:szCs w:val="18"/>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(56,306)</w:t>
            </w:r>
          </w:p>
        </w:tc>
        <w:tc>
          <w:tcPr>
            <w:tcW w:w="80" w:type="dxa"/>
            <w:vAlign w:val="bottom"/>
            <w:shd w:val="clear" w:color="auto" w:fill="D5DCE4"/>
          </w:tcPr>
          <w:p>
            <w:pPr>
              <w:spacing w:after="0"/>
              <w:rPr>
                <w:sz w:val="18"/>
                <w:szCs w:val="18"/>
                <w:color w:val="auto"/>
              </w:rPr>
            </w:pPr>
          </w:p>
        </w:tc>
        <w:tc>
          <w:tcPr>
            <w:tcW w:w="400" w:type="dxa"/>
            <w:vAlign w:val="bottom"/>
            <w:tcBorders>
              <w:bottom w:val="single" w:sz="8" w:color="auto"/>
            </w:tcBorders>
            <w:shd w:val="clear" w:color="auto" w:fill="D5DCE4"/>
          </w:tcPr>
          <w:p>
            <w:pPr>
              <w:spacing w:after="0"/>
              <w:rPr>
                <w:sz w:val="18"/>
                <w:szCs w:val="18"/>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(10)</w:t>
            </w:r>
          </w:p>
        </w:tc>
      </w:tr>
      <w:tr>
        <w:trPr>
          <w:trHeight w:val="201"/>
        </w:trPr>
        <w:tc>
          <w:tcPr>
            <w:tcW w:w="4940" w:type="dxa"/>
            <w:vAlign w:val="bottom"/>
          </w:tcPr>
          <w:p>
            <w:pPr>
              <w:ind w:left="20"/>
              <w:spacing w:after="0"/>
              <w:rPr>
                <w:sz w:val="20"/>
                <w:szCs w:val="20"/>
                <w:color w:val="auto"/>
              </w:rPr>
            </w:pPr>
            <w:r>
              <w:rPr>
                <w:rFonts w:ascii="Arial" w:cs="Arial" w:eastAsia="Arial" w:hAnsi="Arial"/>
                <w:sz w:val="14"/>
                <w:szCs w:val="14"/>
                <w:color w:val="auto"/>
              </w:rPr>
              <w:t>Adjusted Net Income before income taxes</w:t>
            </w: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275,372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239,110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824,492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685,291</w:t>
            </w:r>
          </w:p>
        </w:tc>
      </w:tr>
      <w:tr>
        <w:trPr>
          <w:trHeight w:val="223"/>
        </w:trPr>
        <w:tc>
          <w:tcPr>
            <w:tcW w:w="4940" w:type="dxa"/>
            <w:vAlign w:val="bottom"/>
            <w:shd w:val="clear" w:color="auto" w:fill="D5DCE4"/>
          </w:tcPr>
          <w:p>
            <w:pPr>
              <w:ind w:left="20"/>
              <w:spacing w:after="0"/>
              <w:rPr>
                <w:sz w:val="20"/>
                <w:szCs w:val="20"/>
                <w:color w:val="auto"/>
              </w:rPr>
            </w:pPr>
            <w:r>
              <w:rPr>
                <w:rFonts w:ascii="Arial" w:cs="Arial" w:eastAsia="Arial" w:hAnsi="Arial"/>
                <w:sz w:val="14"/>
                <w:szCs w:val="14"/>
                <w:color w:val="auto"/>
              </w:rPr>
              <w:t xml:space="preserve">Adjusted income taxes </w:t>
            </w:r>
            <w:r>
              <w:rPr>
                <w:rFonts w:ascii="Arial" w:cs="Arial" w:eastAsia="Arial" w:hAnsi="Arial"/>
                <w:sz w:val="19"/>
                <w:szCs w:val="19"/>
                <w:color w:val="auto"/>
                <w:vertAlign w:val="superscript"/>
              </w:rPr>
              <w:t>(7)</w:t>
            </w:r>
          </w:p>
        </w:tc>
        <w:tc>
          <w:tcPr>
            <w:tcW w:w="420" w:type="dxa"/>
            <w:vAlign w:val="bottom"/>
            <w:tcBorders>
              <w:bottom w:val="single" w:sz="8" w:color="auto"/>
            </w:tcBorders>
            <w:shd w:val="clear" w:color="auto" w:fill="D5DCE4"/>
          </w:tcPr>
          <w:p>
            <w:pPr>
              <w:spacing w:after="0"/>
              <w:rPr>
                <w:sz w:val="19"/>
                <w:szCs w:val="19"/>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(68,843)</w:t>
            </w:r>
          </w:p>
        </w:tc>
        <w:tc>
          <w:tcPr>
            <w:tcW w:w="80" w:type="dxa"/>
            <w:vAlign w:val="bottom"/>
            <w:shd w:val="clear" w:color="auto" w:fill="D5DCE4"/>
          </w:tcPr>
          <w:p>
            <w:pPr>
              <w:spacing w:after="0"/>
              <w:rPr>
                <w:sz w:val="19"/>
                <w:szCs w:val="19"/>
                <w:color w:val="auto"/>
              </w:rPr>
            </w:pPr>
          </w:p>
        </w:tc>
        <w:tc>
          <w:tcPr>
            <w:tcW w:w="440" w:type="dxa"/>
            <w:vAlign w:val="bottom"/>
            <w:tcBorders>
              <w:bottom w:val="single" w:sz="8" w:color="auto"/>
            </w:tcBorders>
            <w:shd w:val="clear" w:color="auto" w:fill="D5DCE4"/>
          </w:tcPr>
          <w:p>
            <w:pPr>
              <w:spacing w:after="0"/>
              <w:rPr>
                <w:sz w:val="19"/>
                <w:szCs w:val="19"/>
                <w:color w:val="auto"/>
              </w:rPr>
            </w:pPr>
          </w:p>
        </w:tc>
        <w:tc>
          <w:tcPr>
            <w:tcW w:w="9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(59,778)</w:t>
            </w:r>
          </w:p>
        </w:tc>
        <w:tc>
          <w:tcPr>
            <w:tcW w:w="80" w:type="dxa"/>
            <w:vAlign w:val="bottom"/>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spacing w:after="0"/>
              <w:rPr>
                <w:sz w:val="19"/>
                <w:szCs w:val="19"/>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(206,123)</w:t>
            </w:r>
          </w:p>
        </w:tc>
        <w:tc>
          <w:tcPr>
            <w:tcW w:w="80" w:type="dxa"/>
            <w:vAlign w:val="bottom"/>
            <w:shd w:val="clear" w:color="auto" w:fill="D5DCE4"/>
          </w:tcPr>
          <w:p>
            <w:pPr>
              <w:spacing w:after="0"/>
              <w:rPr>
                <w:sz w:val="19"/>
                <w:szCs w:val="19"/>
                <w:color w:val="auto"/>
              </w:rPr>
            </w:pPr>
          </w:p>
        </w:tc>
        <w:tc>
          <w:tcPr>
            <w:tcW w:w="400" w:type="dxa"/>
            <w:vAlign w:val="bottom"/>
            <w:tcBorders>
              <w:bottom w:val="single" w:sz="8" w:color="auto"/>
            </w:tcBorders>
            <w:shd w:val="clear" w:color="auto" w:fill="D5DCE4"/>
          </w:tcPr>
          <w:p>
            <w:pPr>
              <w:spacing w:after="0"/>
              <w:rPr>
                <w:sz w:val="19"/>
                <w:szCs w:val="19"/>
                <w:color w:val="auto"/>
              </w:rPr>
            </w:pPr>
          </w:p>
        </w:tc>
        <w:tc>
          <w:tcPr>
            <w:tcW w:w="9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(171,323)</w:t>
            </w:r>
          </w:p>
        </w:tc>
      </w:tr>
      <w:tr>
        <w:trPr>
          <w:trHeight w:val="208"/>
        </w:trPr>
        <w:tc>
          <w:tcPr>
            <w:tcW w:w="4940" w:type="dxa"/>
            <w:vAlign w:val="bottom"/>
          </w:tcPr>
          <w:p>
            <w:pPr>
              <w:ind w:left="20"/>
              <w:spacing w:after="0"/>
              <w:rPr>
                <w:sz w:val="20"/>
                <w:szCs w:val="20"/>
                <w:color w:val="auto"/>
              </w:rPr>
            </w:pPr>
            <w:r>
              <w:rPr>
                <w:rFonts w:ascii="Arial" w:cs="Arial" w:eastAsia="Arial" w:hAnsi="Arial"/>
                <w:sz w:val="14"/>
                <w:szCs w:val="14"/>
                <w:color w:val="auto"/>
              </w:rPr>
              <w:t>Adjusted Net Income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206,529</w:t>
            </w:r>
          </w:p>
        </w:tc>
        <w:tc>
          <w:tcPr>
            <w:tcW w:w="520" w:type="dxa"/>
            <w:vAlign w:val="bottom"/>
            <w:gridSpan w:val="2"/>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179,332</w:t>
            </w:r>
          </w:p>
        </w:tc>
        <w:tc>
          <w:tcPr>
            <w:tcW w:w="4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618,369</w:t>
            </w:r>
          </w:p>
        </w:tc>
        <w:tc>
          <w:tcPr>
            <w:tcW w:w="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513,968</w:t>
            </w:r>
          </w:p>
        </w:tc>
      </w:tr>
      <w:tr>
        <w:trPr>
          <w:trHeight w:val="20"/>
        </w:trPr>
        <w:tc>
          <w:tcPr>
            <w:tcW w:w="4940" w:type="dxa"/>
            <w:vAlign w:val="bottom"/>
            <w:tcBorders>
              <w:bottom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940" w:type="dxa"/>
            <w:vAlign w:val="bottom"/>
            <w:shd w:val="clear" w:color="auto" w:fill="D5DCE4"/>
          </w:tcPr>
          <w:p>
            <w:pPr>
              <w:ind w:left="20"/>
              <w:spacing w:after="0" w:line="204" w:lineRule="exact"/>
              <w:rPr>
                <w:sz w:val="20"/>
                <w:szCs w:val="20"/>
                <w:color w:val="auto"/>
              </w:rPr>
            </w:pPr>
            <w:r>
              <w:rPr>
                <w:rFonts w:ascii="Arial" w:cs="Arial" w:eastAsia="Arial" w:hAnsi="Arial"/>
                <w:sz w:val="14"/>
                <w:szCs w:val="14"/>
                <w:color w:val="auto"/>
              </w:rPr>
              <w:t xml:space="preserve">Adjusted Diluted EPS </w:t>
            </w:r>
            <w:r>
              <w:rPr>
                <w:rFonts w:ascii="Arial" w:cs="Arial" w:eastAsia="Arial" w:hAnsi="Arial"/>
                <w:sz w:val="19"/>
                <w:szCs w:val="19"/>
                <w:color w:val="auto"/>
                <w:vertAlign w:val="superscript"/>
              </w:rPr>
              <w:t>(8)</w:t>
            </w:r>
          </w:p>
        </w:tc>
        <w:tc>
          <w:tcPr>
            <w:tcW w:w="420" w:type="dxa"/>
            <w:vAlign w:val="bottom"/>
            <w:shd w:val="clear" w:color="auto" w:fill="D5DCE4"/>
          </w:tcPr>
          <w:p>
            <w:pPr>
              <w:jc w:val="right"/>
              <w:ind w:right="248"/>
              <w:spacing w:after="0"/>
              <w:rPr>
                <w:sz w:val="20"/>
                <w:szCs w:val="20"/>
                <w:color w:val="auto"/>
              </w:rPr>
            </w:pPr>
            <w:r>
              <w:rPr>
                <w:rFonts w:ascii="Arial" w:cs="Arial" w:eastAsia="Arial" w:hAnsi="Arial"/>
                <w:sz w:val="14"/>
                <w:szCs w:val="14"/>
                <w:color w:val="auto"/>
              </w:rPr>
              <w:t>$</w:t>
            </w:r>
          </w:p>
        </w:tc>
        <w:tc>
          <w:tcPr>
            <w:tcW w:w="9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0.87</w:t>
            </w:r>
          </w:p>
        </w:tc>
        <w:tc>
          <w:tcPr>
            <w:tcW w:w="520" w:type="dxa"/>
            <w:vAlign w:val="bottom"/>
            <w:gridSpan w:val="2"/>
            <w:shd w:val="clear" w:color="auto" w:fill="D5DCE4"/>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0.75</w:t>
            </w:r>
          </w:p>
        </w:tc>
        <w:tc>
          <w:tcPr>
            <w:tcW w:w="480" w:type="dxa"/>
            <w:vAlign w:val="bottom"/>
            <w:gridSpan w:val="2"/>
            <w:shd w:val="clear" w:color="auto" w:fill="D5DCE4"/>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2.60</w:t>
            </w:r>
          </w:p>
        </w:tc>
        <w:tc>
          <w:tcPr>
            <w:tcW w:w="480" w:type="dxa"/>
            <w:vAlign w:val="bottom"/>
            <w:gridSpan w:val="2"/>
            <w:shd w:val="clear" w:color="auto" w:fill="D5DCE4"/>
          </w:tcPr>
          <w:p>
            <w:pPr>
              <w:jc w:val="right"/>
              <w:ind w:right="228"/>
              <w:spacing w:after="0"/>
              <w:rPr>
                <w:sz w:val="20"/>
                <w:szCs w:val="20"/>
                <w:color w:val="auto"/>
              </w:rPr>
            </w:pPr>
            <w:r>
              <w:rPr>
                <w:rFonts w:ascii="Arial" w:cs="Arial" w:eastAsia="Arial" w:hAnsi="Arial"/>
                <w:sz w:val="14"/>
                <w:szCs w:val="14"/>
                <w:color w:val="auto"/>
              </w:rPr>
              <w:t>$</w:t>
            </w:r>
          </w:p>
        </w:tc>
        <w:tc>
          <w:tcPr>
            <w:tcW w:w="9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2.16</w:t>
            </w:r>
          </w:p>
        </w:tc>
      </w:tr>
      <w:tr>
        <w:trPr>
          <w:trHeight w:val="20"/>
        </w:trPr>
        <w:tc>
          <w:tcPr>
            <w:tcW w:w="4940" w:type="dxa"/>
            <w:vAlign w:val="bottom"/>
            <w:tcBorders>
              <w:top w:val="single" w:sz="8" w:color="D5DCE4"/>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420" w:right="280" w:hanging="402"/>
        <w:spacing w:after="0" w:line="256"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18" w:lineRule="exact"/>
        <w:rPr>
          <w:rFonts w:ascii="Arial" w:cs="Arial" w:eastAsia="Arial" w:hAnsi="Arial"/>
          <w:sz w:val="11"/>
          <w:szCs w:val="11"/>
          <w:color w:val="auto"/>
        </w:rPr>
      </w:pPr>
    </w:p>
    <w:p>
      <w:pPr>
        <w:ind w:left="420" w:right="220" w:hanging="402"/>
        <w:spacing w:after="0" w:line="256"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18" w:lineRule="exact"/>
        <w:rPr>
          <w:rFonts w:ascii="Arial" w:cs="Arial" w:eastAsia="Arial" w:hAnsi="Arial"/>
          <w:sz w:val="11"/>
          <w:szCs w:val="11"/>
          <w:color w:val="auto"/>
        </w:rPr>
      </w:pPr>
    </w:p>
    <w:p>
      <w:pPr>
        <w:ind w:left="420" w:right="200" w:hanging="402"/>
        <w:spacing w:after="0" w:line="256"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 w:lineRule="exact"/>
        <w:rPr>
          <w:rFonts w:ascii="Arial" w:cs="Arial" w:eastAsia="Arial" w:hAnsi="Arial"/>
          <w:sz w:val="11"/>
          <w:szCs w:val="11"/>
          <w:color w:val="auto"/>
        </w:rPr>
      </w:pPr>
    </w:p>
    <w:p>
      <w:pPr>
        <w:ind w:left="420" w:right="40" w:hanging="402"/>
        <w:spacing w:after="0" w:line="260"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associated with the Special Option Award and post-IPO options awarded in 2019 and payroll taxes associated with the exercise of such options. During the three and nine months ended September 30, 2025 and 2024, this adjustment also includes $0.6 million, $1.8 million, $0.4 million and $0.4 million, respectively, of non-cash stock-based compensation expense and related payroll taxes associated with RSAs and RSUs issued to help retain key ICD employees during the integration of ICD. During the three and nine months ended September 30, 2024, this adjustment also includes $2.4 million and $2.7 million, respectively, of non-cash accelerated stock-based compensation expense and related payroll taxes associated with our former President.</w:t>
      </w:r>
    </w:p>
    <w:p>
      <w:pPr>
        <w:spacing w:after="0" w:line="16" w:lineRule="exact"/>
        <w:rPr>
          <w:rFonts w:ascii="Arial" w:cs="Arial" w:eastAsia="Arial" w:hAnsi="Arial"/>
          <w:sz w:val="11"/>
          <w:szCs w:val="11"/>
          <w:color w:val="auto"/>
        </w:rPr>
      </w:pPr>
    </w:p>
    <w:p>
      <w:pPr>
        <w:ind w:left="420" w:right="120" w:hanging="402"/>
        <w:spacing w:after="0" w:line="256"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8" w:lineRule="exact"/>
        <w:rPr>
          <w:rFonts w:ascii="Arial" w:cs="Arial" w:eastAsia="Arial" w:hAnsi="Arial"/>
          <w:sz w:val="11"/>
          <w:szCs w:val="11"/>
          <w:color w:val="auto"/>
        </w:rPr>
      </w:pPr>
    </w:p>
    <w:p>
      <w:pPr>
        <w:ind w:left="420" w:right="340" w:hanging="402"/>
        <w:spacing w:after="0" w:line="256"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78" w:lineRule="exact"/>
        <w:rPr>
          <w:rFonts w:ascii="Arial" w:cs="Arial" w:eastAsia="Arial" w:hAnsi="Arial"/>
          <w:sz w:val="11"/>
          <w:szCs w:val="11"/>
          <w:color w:val="auto"/>
        </w:rPr>
      </w:pPr>
    </w:p>
    <w:p>
      <w:pPr>
        <w:ind w:left="420" w:right="540" w:hanging="402"/>
        <w:spacing w:after="0" w:line="249"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corporate income taxes at an assumed effective tax rate of 25.0% applied to Adjusted Net Income before income taxes for each of the three and nine months ended September 30, 2025 and September 30, 2024</w:t>
      </w:r>
      <w:r>
        <w:rPr>
          <w:rFonts w:ascii="Arial" w:cs="Arial" w:eastAsia="Arial" w:hAnsi="Arial"/>
          <w:sz w:val="13"/>
          <w:szCs w:val="13"/>
          <w:color w:val="auto"/>
        </w:rPr>
        <w:t>.</w:t>
      </w:r>
    </w:p>
    <w:p>
      <w:pPr>
        <w:spacing w:after="0" w:line="37" w:lineRule="exact"/>
        <w:rPr>
          <w:rFonts w:ascii="Arial" w:cs="Arial" w:eastAsia="Arial" w:hAnsi="Arial"/>
          <w:sz w:val="11"/>
          <w:szCs w:val="11"/>
          <w:color w:val="auto"/>
        </w:rPr>
      </w:pPr>
    </w:p>
    <w:p>
      <w:pPr>
        <w:ind w:left="420" w:right="180" w:hanging="402"/>
        <w:spacing w:after="0" w:line="256" w:lineRule="auto"/>
        <w:tabs>
          <w:tab w:leader="none" w:pos="420" w:val="left"/>
        </w:tabs>
        <w:numPr>
          <w:ilvl w:val="0"/>
          <w:numId w:val="9"/>
        </w:numPr>
        <w:rPr>
          <w:rFonts w:ascii="Arial" w:cs="Arial" w:eastAsia="Arial" w:hAnsi="Arial"/>
          <w:sz w:val="11"/>
          <w:szCs w:val="11"/>
          <w:color w:val="auto"/>
        </w:rPr>
      </w:pPr>
      <w:r>
        <w:rPr>
          <w:rFonts w:ascii="Arial" w:cs="Arial" w:eastAsia="Arial" w:hAnsi="Arial"/>
          <w:sz w:val="11"/>
          <w:szCs w:val="11"/>
          <w:color w:val="auto"/>
        </w:rPr>
        <w:t>For a summary of the calculation of Adjusted Diluted EPS, see “Reconciliation of Diluted Weighted Average Shares Outstanding to Adjusted Diluted Weighted Average Shares Outstanding and Adjusted Diluted EPS” below.</w:t>
      </w: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the calculation of Adjusted Diluted EPS for the periods presented:</w:t>
      </w:r>
    </w:p>
    <w:p>
      <w:pPr>
        <w:sectPr>
          <w:pgSz w:w="11900" w:h="16840" w:orient="portrait"/>
          <w:cols w:equalWidth="0" w:num="1">
            <w:col w:w="10580"/>
          </w:cols>
          <w:pgMar w:left="660" w:top="1181" w:right="660" w:bottom="1440" w:gutter="0" w:footer="0" w:header="0"/>
          <w:type w:val="continuous"/>
        </w:sectPr>
      </w:pPr>
    </w:p>
    <w:p>
      <w:pPr>
        <w:spacing w:after="0" w:line="318" w:lineRule="exact"/>
        <w:rPr>
          <w:sz w:val="20"/>
          <w:szCs w:val="20"/>
          <w:color w:val="auto"/>
        </w:rPr>
      </w:pPr>
    </w:p>
    <w:p>
      <w:pPr>
        <w:ind w:left="20" w:right="20"/>
        <w:spacing w:after="0" w:line="278" w:lineRule="auto"/>
        <w:rPr>
          <w:sz w:val="20"/>
          <w:szCs w:val="20"/>
          <w:color w:val="auto"/>
        </w:rPr>
      </w:pPr>
      <w:r>
        <w:rPr>
          <w:rFonts w:ascii="Arial" w:cs="Arial" w:eastAsia="Arial" w:hAnsi="Arial"/>
          <w:sz w:val="14"/>
          <w:szCs w:val="14"/>
          <w:b w:val="1"/>
          <w:bCs w:val="1"/>
          <w:color w:val="auto"/>
        </w:rPr>
        <w:t>Reconciliation of Diluted Weighted Average Shares Outstanding to Adjusted Diluted Weighted Average Shares Outstanding and Adjusted Diluted EPS</w:t>
      </w:r>
    </w:p>
    <w:p>
      <w:pPr>
        <w:spacing w:after="0" w:line="5" w:lineRule="exact"/>
        <w:rPr>
          <w:sz w:val="20"/>
          <w:szCs w:val="20"/>
          <w:color w:val="auto"/>
        </w:rPr>
      </w:pPr>
    </w:p>
    <w:p>
      <w:pPr>
        <w:ind w:left="20"/>
        <w:spacing w:after="0" w:line="286" w:lineRule="auto"/>
        <w:rPr>
          <w:sz w:val="20"/>
          <w:szCs w:val="20"/>
          <w:color w:val="auto"/>
        </w:rPr>
      </w:pPr>
      <w:r>
        <w:rPr>
          <w:rFonts w:ascii="Arial" w:cs="Arial" w:eastAsia="Arial" w:hAnsi="Arial"/>
          <w:sz w:val="14"/>
          <w:szCs w:val="14"/>
          <w:color w:val="auto"/>
        </w:rPr>
        <w:t>Diluted weighted average shares of Class A and Class B common stock outstanding</w:t>
      </w:r>
    </w:p>
    <w:p>
      <w:pPr>
        <w:ind w:left="20"/>
        <w:spacing w:after="0"/>
        <w:rPr>
          <w:sz w:val="20"/>
          <w:szCs w:val="20"/>
          <w:color w:val="auto"/>
        </w:rPr>
      </w:pPr>
      <w:r>
        <w:rPr>
          <w:rFonts w:ascii="Arial" w:cs="Arial" w:eastAsia="Arial" w:hAnsi="Arial"/>
          <w:sz w:val="14"/>
          <w:szCs w:val="14"/>
          <w:color w:val="auto"/>
        </w:rPr>
        <w:t xml:space="preserve">Weighted average of other participating securities </w:t>
      </w:r>
      <w:r>
        <w:rPr>
          <w:rFonts w:ascii="Arial" w:cs="Arial" w:eastAsia="Arial" w:hAnsi="Arial"/>
          <w:sz w:val="19"/>
          <w:szCs w:val="19"/>
          <w:color w:val="auto"/>
          <w:vertAlign w:val="superscript"/>
        </w:rPr>
        <w:t>(1)</w:t>
      </w:r>
    </w:p>
    <w:p>
      <w:pPr>
        <w:spacing w:after="0" w:line="12" w:lineRule="exact"/>
        <w:rPr>
          <w:sz w:val="20"/>
          <w:szCs w:val="20"/>
          <w:color w:val="auto"/>
        </w:rPr>
      </w:pPr>
    </w:p>
    <w:p>
      <w:pPr>
        <w:ind w:left="20" w:right="180"/>
        <w:spacing w:after="0" w:line="229" w:lineRule="auto"/>
        <w:rPr>
          <w:sz w:val="20"/>
          <w:szCs w:val="20"/>
          <w:color w:val="auto"/>
        </w:rPr>
      </w:pPr>
      <w:r>
        <w:rPr>
          <w:rFonts w:ascii="Arial" w:cs="Arial" w:eastAsia="Arial" w:hAnsi="Arial"/>
          <w:sz w:val="14"/>
          <w:szCs w:val="14"/>
          <w:color w:val="auto"/>
        </w:rPr>
        <w:t xml:space="preserve">Assumed exchange of LLC Interests for shares of Class A or Class B common stock </w:t>
      </w:r>
      <w:r>
        <w:rPr>
          <w:rFonts w:ascii="Arial" w:cs="Arial" w:eastAsia="Arial" w:hAnsi="Arial"/>
          <w:sz w:val="19"/>
          <w:szCs w:val="19"/>
          <w:color w:val="auto"/>
          <w:vertAlign w:val="superscript"/>
        </w:rPr>
        <w:t>(2)</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2820" w:type="dxa"/>
            <w:vAlign w:val="bottom"/>
            <w:gridSpan w:val="4"/>
          </w:tcPr>
          <w:p>
            <w:pPr>
              <w:jc w:val="center"/>
              <w:spacing w:after="0"/>
              <w:rPr>
                <w:sz w:val="20"/>
                <w:szCs w:val="20"/>
                <w:color w:val="auto"/>
              </w:rPr>
            </w:pPr>
            <w:r>
              <w:rPr>
                <w:rFonts w:ascii="Arial" w:cs="Arial" w:eastAsia="Arial" w:hAnsi="Arial"/>
                <w:sz w:val="14"/>
                <w:szCs w:val="14"/>
                <w:b w:val="1"/>
                <w:bCs w:val="1"/>
                <w:color w:val="auto"/>
              </w:rPr>
              <w:t>Nine Months Ended</w:t>
            </w:r>
          </w:p>
        </w:tc>
      </w:tr>
      <w:tr>
        <w:trPr>
          <w:trHeight w:val="219"/>
        </w:trPr>
        <w:tc>
          <w:tcPr>
            <w:tcW w:w="1940" w:type="dxa"/>
            <w:vAlign w:val="bottom"/>
            <w:tcBorders>
              <w:bottom w:val="single" w:sz="8" w:color="auto"/>
            </w:tcBorders>
            <w:gridSpan w:val="3"/>
          </w:tcPr>
          <w:p>
            <w:pPr>
              <w:jc w:val="center"/>
              <w:ind w:left="80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08"/>
        </w:trPr>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r>
      <w:tr>
        <w:trPr>
          <w:trHeight w:val="365"/>
        </w:trPr>
        <w:tc>
          <w:tcPr>
            <w:tcW w:w="1380" w:type="dxa"/>
            <w:vAlign w:val="bottom"/>
          </w:tcPr>
          <w:p>
            <w:pPr>
              <w:jc w:val="right"/>
              <w:ind w:right="8"/>
              <w:spacing w:after="0"/>
              <w:rPr>
                <w:sz w:val="20"/>
                <w:szCs w:val="20"/>
                <w:color w:val="auto"/>
              </w:rPr>
            </w:pPr>
            <w:r>
              <w:rPr>
                <w:rFonts w:ascii="Arial" w:cs="Arial" w:eastAsia="Arial" w:hAnsi="Arial"/>
                <w:sz w:val="14"/>
                <w:szCs w:val="14"/>
                <w:color w:val="auto"/>
              </w:rPr>
              <w:t>214,983,486</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215,096,974</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214,951,279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214,885,210</w:t>
            </w:r>
          </w:p>
        </w:tc>
      </w:tr>
      <w:tr>
        <w:trPr>
          <w:trHeight w:val="216"/>
        </w:trPr>
        <w:tc>
          <w:tcPr>
            <w:tcW w:w="1380" w:type="dxa"/>
            <w:vAlign w:val="bottom"/>
          </w:tcPr>
          <w:p>
            <w:pPr>
              <w:jc w:val="right"/>
              <w:ind w:right="8"/>
              <w:spacing w:after="0"/>
              <w:rPr>
                <w:sz w:val="20"/>
                <w:szCs w:val="20"/>
                <w:color w:val="auto"/>
              </w:rPr>
            </w:pPr>
            <w:r>
              <w:rPr>
                <w:rFonts w:ascii="Arial" w:cs="Arial" w:eastAsia="Arial" w:hAnsi="Arial"/>
                <w:sz w:val="14"/>
                <w:szCs w:val="14"/>
                <w:color w:val="auto"/>
              </w:rPr>
              <w:t>159,088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126,903</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color w:val="auto"/>
              </w:rPr>
              <w:t>165,713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137,252</w:t>
            </w:r>
          </w:p>
        </w:tc>
      </w:tr>
      <w:tr>
        <w:trPr>
          <w:trHeight w:val="384"/>
        </w:trPr>
        <w:tc>
          <w:tcPr>
            <w:tcW w:w="1380" w:type="dxa"/>
            <w:vAlign w:val="bottom"/>
          </w:tcPr>
          <w:p>
            <w:pPr>
              <w:jc w:val="right"/>
              <w:spacing w:after="0"/>
              <w:rPr>
                <w:sz w:val="20"/>
                <w:szCs w:val="20"/>
                <w:color w:val="auto"/>
              </w:rPr>
            </w:pPr>
            <w:r>
              <w:rPr>
                <w:rFonts w:ascii="Arial" w:cs="Arial" w:eastAsia="Arial" w:hAnsi="Arial"/>
                <w:sz w:val="14"/>
                <w:szCs w:val="14"/>
                <w:color w:val="auto"/>
              </w:rPr>
              <w:t>23,062,320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23,076,235</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23,065,139</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23,077,298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-3068955</wp:posOffset>
            </wp:positionH>
            <wp:positionV relativeFrom="paragraph">
              <wp:posOffset>-622935</wp:posOffset>
            </wp:positionV>
            <wp:extent cx="6707505" cy="640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6707505" cy="640080"/>
                    </a:xfrm>
                    <a:prstGeom prst="rect">
                      <a:avLst/>
                    </a:prstGeom>
                    <a:noFill/>
                  </pic:spPr>
                </pic:pic>
              </a:graphicData>
            </a:graphic>
          </wp:anchor>
        </w:drawing>
      </w:r>
    </w:p>
    <w:p>
      <w:pPr>
        <w:spacing w:after="0" w:line="37" w:lineRule="exact"/>
        <w:rPr>
          <w:sz w:val="20"/>
          <w:szCs w:val="20"/>
          <w:color w:val="auto"/>
        </w:rPr>
      </w:pPr>
    </w:p>
    <w:p>
      <w:pPr>
        <w:sectPr>
          <w:pgSz w:w="11900" w:h="16840" w:orient="portrait"/>
          <w:cols w:equalWidth="0" w:num="2">
            <w:col w:w="4600" w:space="240"/>
            <w:col w:w="5740"/>
          </w:cols>
          <w:pgMar w:left="660" w:top="1181" w:right="660"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4840" w:type="dxa"/>
            <w:vAlign w:val="bottom"/>
          </w:tcPr>
          <w:p>
            <w:pPr>
              <w:ind w:left="20"/>
              <w:spacing w:after="0"/>
              <w:rPr>
                <w:sz w:val="20"/>
                <w:szCs w:val="20"/>
                <w:color w:val="auto"/>
              </w:rPr>
            </w:pPr>
            <w:r>
              <w:rPr>
                <w:rFonts w:ascii="Arial" w:cs="Arial" w:eastAsia="Arial" w:hAnsi="Arial"/>
                <w:sz w:val="14"/>
                <w:szCs w:val="14"/>
                <w:color w:val="auto"/>
              </w:rPr>
              <w:t>Adjusted diluted weighted average shares outstanding</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238,204,894</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238,300,112</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238,182,131</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238,099,760</w:t>
            </w:r>
          </w:p>
        </w:tc>
      </w:tr>
      <w:tr>
        <w:trPr>
          <w:trHeight w:val="20"/>
        </w:trPr>
        <w:tc>
          <w:tcPr>
            <w:tcW w:w="484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484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4"/>
                <w:szCs w:val="14"/>
                <w:color w:val="auto"/>
              </w:rPr>
              <w:t>Adjusted Net Income (in thousands)</w:t>
            </w:r>
          </w:p>
        </w:tc>
        <w:tc>
          <w:tcPr>
            <w:tcW w:w="30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206,529</w:t>
            </w:r>
          </w:p>
        </w:tc>
        <w:tc>
          <w:tcPr>
            <w:tcW w:w="80" w:type="dxa"/>
            <w:vAlign w:val="bottom"/>
            <w:tcBorders>
              <w:bottom w:val="single" w:sz="8" w:color="D5DCE4"/>
            </w:tcBorders>
            <w:shd w:val="clear" w:color="auto" w:fill="D5DCE4"/>
          </w:tcPr>
          <w:p>
            <w:pPr>
              <w:spacing w:after="0"/>
              <w:rPr>
                <w:sz w:val="19"/>
                <w:szCs w:val="19"/>
                <w:color w:val="auto"/>
              </w:rPr>
            </w:pPr>
          </w:p>
        </w:tc>
        <w:tc>
          <w:tcPr>
            <w:tcW w:w="300" w:type="dxa"/>
            <w:vAlign w:val="bottom"/>
            <w:tcBorders>
              <w:bottom w:val="single" w:sz="8" w:color="auto"/>
            </w:tcBorders>
            <w:shd w:val="clear" w:color="auto" w:fill="D5DCE4"/>
          </w:tcPr>
          <w:p>
            <w:pPr>
              <w:jc w:val="right"/>
              <w:ind w:right="14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179,332</w:t>
            </w:r>
          </w:p>
        </w:tc>
        <w:tc>
          <w:tcPr>
            <w:tcW w:w="80" w:type="dxa"/>
            <w:vAlign w:val="bottom"/>
            <w:tcBorders>
              <w:bottom w:val="single" w:sz="8" w:color="D5DCE4"/>
            </w:tcBorders>
            <w:shd w:val="clear" w:color="auto" w:fill="D5DCE4"/>
          </w:tcPr>
          <w:p>
            <w:pPr>
              <w:spacing w:after="0"/>
              <w:rPr>
                <w:sz w:val="19"/>
                <w:szCs w:val="19"/>
                <w:color w:val="auto"/>
              </w:rPr>
            </w:pPr>
          </w:p>
        </w:tc>
        <w:tc>
          <w:tcPr>
            <w:tcW w:w="30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618,369</w:t>
            </w:r>
          </w:p>
        </w:tc>
        <w:tc>
          <w:tcPr>
            <w:tcW w:w="80" w:type="dxa"/>
            <w:vAlign w:val="bottom"/>
            <w:tcBorders>
              <w:bottom w:val="single" w:sz="8" w:color="D5DCE4"/>
            </w:tcBorders>
            <w:shd w:val="clear" w:color="auto" w:fill="D5DCE4"/>
          </w:tcPr>
          <w:p>
            <w:pPr>
              <w:spacing w:after="0"/>
              <w:rPr>
                <w:sz w:val="19"/>
                <w:szCs w:val="19"/>
                <w:color w:val="auto"/>
              </w:rPr>
            </w:pPr>
          </w:p>
        </w:tc>
        <w:tc>
          <w:tcPr>
            <w:tcW w:w="300" w:type="dxa"/>
            <w:vAlign w:val="bottom"/>
            <w:tcBorders>
              <w:bottom w:val="single" w:sz="8" w:color="auto"/>
            </w:tcBorders>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513,968</w:t>
            </w: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4"/>
        </w:trPr>
        <w:tc>
          <w:tcPr>
            <w:tcW w:w="4840" w:type="dxa"/>
            <w:vAlign w:val="bottom"/>
          </w:tcPr>
          <w:p>
            <w:pPr>
              <w:ind w:left="20"/>
              <w:spacing w:after="0"/>
              <w:rPr>
                <w:sz w:val="20"/>
                <w:szCs w:val="20"/>
                <w:color w:val="auto"/>
              </w:rPr>
            </w:pPr>
            <w:r>
              <w:rPr>
                <w:rFonts w:ascii="Arial" w:cs="Arial" w:eastAsia="Arial" w:hAnsi="Arial"/>
                <w:sz w:val="14"/>
                <w:szCs w:val="14"/>
                <w:color w:val="auto"/>
              </w:rPr>
              <w:t>Adjusted Diluted EPS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0.87</w:t>
            </w:r>
          </w:p>
        </w:tc>
        <w:tc>
          <w:tcPr>
            <w:tcW w:w="3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0.75</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38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2.16</w:t>
            </w:r>
          </w:p>
        </w:tc>
      </w:tr>
      <w:tr>
        <w:trPr>
          <w:trHeight w:val="20"/>
        </w:trPr>
        <w:tc>
          <w:tcPr>
            <w:tcW w:w="4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440" w:right="160" w:hanging="422"/>
        <w:spacing w:after="0" w:line="182" w:lineRule="auto"/>
        <w:tabs>
          <w:tab w:leader="none" w:pos="440" w:val="left"/>
        </w:tabs>
        <w:numPr>
          <w:ilvl w:val="0"/>
          <w:numId w:val="10"/>
        </w:numPr>
        <w:rPr>
          <w:rFonts w:ascii="Arial" w:cs="Arial" w:eastAsia="Arial" w:hAnsi="Arial"/>
          <w:sz w:val="20"/>
          <w:szCs w:val="20"/>
          <w:color w:val="auto"/>
          <w:vertAlign w:val="subscript"/>
        </w:rPr>
      </w:pPr>
      <w:r>
        <w:rPr>
          <w:rFonts w:ascii="Arial" w:cs="Arial" w:eastAsia="Arial" w:hAnsi="Arial"/>
          <w:sz w:val="10"/>
          <w:szCs w:val="10"/>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p>
      <w:pPr>
        <w:spacing w:after="0" w:line="38" w:lineRule="exact"/>
        <w:rPr>
          <w:rFonts w:ascii="Arial" w:cs="Arial" w:eastAsia="Arial" w:hAnsi="Arial"/>
          <w:sz w:val="20"/>
          <w:szCs w:val="20"/>
          <w:color w:val="auto"/>
          <w:vertAlign w:val="subscript"/>
        </w:rPr>
      </w:pPr>
    </w:p>
    <w:p>
      <w:pPr>
        <w:ind w:left="440" w:right="460" w:hanging="422"/>
        <w:spacing w:after="0" w:line="256" w:lineRule="auto"/>
        <w:tabs>
          <w:tab w:leader="none" w:pos="440" w:val="left"/>
        </w:tabs>
        <w:numPr>
          <w:ilvl w:val="0"/>
          <w:numId w:val="10"/>
        </w:numPr>
        <w:rPr>
          <w:rFonts w:ascii="Arial" w:cs="Arial" w:eastAsia="Arial" w:hAnsi="Arial"/>
          <w:sz w:val="11"/>
          <w:szCs w:val="11"/>
          <w:color w:val="auto"/>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379" w:lineRule="exact"/>
        <w:rPr>
          <w:sz w:val="20"/>
          <w:szCs w:val="20"/>
          <w:color w:val="auto"/>
        </w:rPr>
      </w:pPr>
    </w:p>
    <w:p>
      <w:pPr>
        <w:ind w:left="10000"/>
        <w:spacing w:after="0"/>
        <w:rPr>
          <w:sz w:val="20"/>
          <w:szCs w:val="20"/>
          <w:color w:val="auto"/>
        </w:rPr>
      </w:pPr>
      <w:r>
        <w:rPr>
          <w:rFonts w:ascii="Arial" w:cs="Arial" w:eastAsia="Arial" w:hAnsi="Arial"/>
          <w:sz w:val="14"/>
          <w:szCs w:val="14"/>
          <w:color w:val="auto"/>
        </w:rPr>
        <w:t>Page | 6</w:t>
      </w:r>
    </w:p>
    <w:p>
      <w:pPr>
        <w:sectPr>
          <w:pgSz w:w="11900" w:h="16840" w:orient="portrait"/>
          <w:cols w:equalWidth="0" w:num="1">
            <w:col w:w="10580"/>
          </w:cols>
          <w:pgMar w:left="660" w:top="1181" w:right="66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98"/>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right"/>
              <w:ind w:right="628"/>
              <w:spacing w:after="0"/>
              <w:rPr>
                <w:sz w:val="20"/>
                <w:szCs w:val="20"/>
                <w:color w:val="auto"/>
              </w:rPr>
            </w:pPr>
            <w:r>
              <w:rPr>
                <w:rFonts w:ascii="Arial" w:cs="Arial" w:eastAsia="Arial" w:hAnsi="Arial"/>
                <w:sz w:val="14"/>
                <w:szCs w:val="14"/>
                <w:b w:val="1"/>
                <w:bCs w:val="1"/>
                <w:color w:val="auto"/>
              </w:rPr>
              <w:t>Nine Months Ended</w:t>
            </w:r>
          </w:p>
        </w:tc>
      </w:tr>
      <w:tr>
        <w:trPr>
          <w:trHeight w:val="216"/>
        </w:trPr>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8"/>
                <w:szCs w:val="18"/>
                <w:color w:val="auto"/>
              </w:rPr>
            </w:pPr>
          </w:p>
        </w:tc>
      </w:tr>
      <w:tr>
        <w:trPr>
          <w:trHeight w:val="211"/>
        </w:trPr>
        <w:tc>
          <w:tcPr>
            <w:tcW w:w="498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Operating Expenses to Adjusted Expenses</w:t>
            </w:r>
          </w:p>
        </w:tc>
        <w:tc>
          <w:tcPr>
            <w:tcW w:w="300" w:type="dxa"/>
            <w:vAlign w:val="bottom"/>
          </w:tcPr>
          <w:p>
            <w:pPr>
              <w:spacing w:after="0"/>
              <w:rPr>
                <w:sz w:val="18"/>
                <w:szCs w:val="18"/>
                <w:color w:val="auto"/>
              </w:rPr>
            </w:pPr>
          </w:p>
        </w:tc>
        <w:tc>
          <w:tcPr>
            <w:tcW w:w="10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428"/>
              <w:spacing w:after="0"/>
              <w:rPr>
                <w:sz w:val="20"/>
                <w:szCs w:val="20"/>
                <w:color w:val="auto"/>
              </w:rPr>
            </w:pPr>
            <w:r>
              <w:rPr>
                <w:rFonts w:ascii="Arial" w:cs="Arial" w:eastAsia="Arial" w:hAnsi="Arial"/>
                <w:sz w:val="14"/>
                <w:szCs w:val="14"/>
                <w:b w:val="1"/>
                <w:bCs w:val="1"/>
                <w:color w:val="auto"/>
              </w:rPr>
              <w:t>2024</w:t>
            </w:r>
          </w:p>
        </w:tc>
      </w:tr>
      <w:tr>
        <w:trPr>
          <w:trHeight w:val="208"/>
        </w:trPr>
        <w:tc>
          <w:tcPr>
            <w:tcW w:w="4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19"/>
        </w:trPr>
        <w:tc>
          <w:tcPr>
            <w:tcW w:w="498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298,227</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289,599</w:t>
            </w:r>
          </w:p>
        </w:tc>
        <w:tc>
          <w:tcPr>
            <w:tcW w:w="380" w:type="dxa"/>
            <w:vAlign w:val="bottom"/>
            <w:gridSpan w:val="2"/>
            <w:shd w:val="clear" w:color="auto" w:fill="D5DCE4"/>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916,921</w:t>
            </w:r>
          </w:p>
        </w:tc>
        <w:tc>
          <w:tcPr>
            <w:tcW w:w="560" w:type="dxa"/>
            <w:vAlign w:val="bottom"/>
            <w:gridSpan w:val="2"/>
            <w:shd w:val="clear" w:color="auto" w:fill="D5DCE4"/>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773,117</w:t>
            </w:r>
          </w:p>
        </w:tc>
      </w:tr>
      <w:tr>
        <w:trPr>
          <w:trHeight w:val="216"/>
        </w:trPr>
        <w:tc>
          <w:tcPr>
            <w:tcW w:w="4980" w:type="dxa"/>
            <w:vAlign w:val="bottom"/>
            <w:gridSpan w:val="2"/>
          </w:tcPr>
          <w:p>
            <w:pPr>
              <w:ind w:left="20"/>
              <w:spacing w:after="0" w:line="216" w:lineRule="exact"/>
              <w:rPr>
                <w:sz w:val="20"/>
                <w:szCs w:val="20"/>
                <w:color w:val="auto"/>
              </w:rPr>
            </w:pPr>
            <w:r>
              <w:rPr>
                <w:rFonts w:ascii="Arial" w:cs="Arial" w:eastAsia="Arial" w:hAnsi="Arial"/>
                <w:sz w:val="14"/>
                <w:szCs w:val="14"/>
                <w:color w:val="auto"/>
              </w:rPr>
              <w:t xml:space="preserve">Merger and acquisition transaction and integration costs </w:t>
            </w:r>
            <w:r>
              <w:rPr>
                <w:rFonts w:ascii="Arial" w:cs="Arial" w:eastAsia="Arial" w:hAnsi="Arial"/>
                <w:sz w:val="19"/>
                <w:szCs w:val="19"/>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(14,488)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(6,734)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(21,752)</w:t>
            </w:r>
          </w:p>
        </w:tc>
      </w:tr>
      <w:tr>
        <w:trPr>
          <w:trHeight w:val="216"/>
        </w:trPr>
        <w:tc>
          <w:tcPr>
            <w:tcW w:w="4980" w:type="dxa"/>
            <w:vAlign w:val="bottom"/>
            <w:gridSpan w:val="2"/>
            <w:shd w:val="clear" w:color="auto" w:fill="D5DCE4"/>
          </w:tcPr>
          <w:p>
            <w:pPr>
              <w:ind w:left="20"/>
              <w:spacing w:after="0" w:line="216" w:lineRule="exact"/>
              <w:rPr>
                <w:sz w:val="20"/>
                <w:szCs w:val="20"/>
                <w:color w:val="auto"/>
              </w:rPr>
            </w:pPr>
            <w:r>
              <w:rPr>
                <w:rFonts w:ascii="Arial" w:cs="Arial" w:eastAsia="Arial" w:hAnsi="Arial"/>
                <w:sz w:val="14"/>
                <w:szCs w:val="14"/>
                <w:color w:val="auto"/>
              </w:rPr>
              <w:t xml:space="preserve">D&amp;A related to acquisitions and the Refinitiv Transaction </w:t>
            </w:r>
            <w:r>
              <w:rPr>
                <w:rFonts w:ascii="Arial" w:cs="Arial" w:eastAsia="Arial" w:hAnsi="Arial"/>
                <w:sz w:val="19"/>
                <w:szCs w:val="19"/>
                <w:color w:val="auto"/>
                <w:vertAlign w:val="superscript"/>
              </w:rPr>
              <w:t>(2)</w:t>
            </w:r>
          </w:p>
        </w:tc>
        <w:tc>
          <w:tcPr>
            <w:tcW w:w="300" w:type="dxa"/>
            <w:vAlign w:val="bottom"/>
            <w:shd w:val="clear" w:color="auto" w:fill="D5DCE4"/>
          </w:tcPr>
          <w:p>
            <w:pPr>
              <w:spacing w:after="0"/>
              <w:rPr>
                <w:sz w:val="18"/>
                <w:szCs w:val="18"/>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(45,474)</w:t>
            </w: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86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(41,949)</w:t>
            </w:r>
          </w:p>
        </w:tc>
        <w:tc>
          <w:tcPr>
            <w:tcW w:w="80" w:type="dxa"/>
            <w:vAlign w:val="bottom"/>
            <w:shd w:val="clear" w:color="auto" w:fill="D5DCE4"/>
          </w:tcPr>
          <w:p>
            <w:pPr>
              <w:spacing w:after="0"/>
              <w:rPr>
                <w:sz w:val="18"/>
                <w:szCs w:val="18"/>
                <w:color w:val="auto"/>
              </w:rPr>
            </w:pPr>
          </w:p>
        </w:tc>
        <w:tc>
          <w:tcPr>
            <w:tcW w:w="300" w:type="dxa"/>
            <w:vAlign w:val="bottom"/>
            <w:shd w:val="clear" w:color="auto" w:fill="D5DCE4"/>
          </w:tcPr>
          <w:p>
            <w:pPr>
              <w:spacing w:after="0"/>
              <w:rPr>
                <w:sz w:val="18"/>
                <w:szCs w:val="18"/>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(136,421)</w:t>
            </w:r>
          </w:p>
        </w:tc>
        <w:tc>
          <w:tcPr>
            <w:tcW w:w="80" w:type="dxa"/>
            <w:vAlign w:val="bottom"/>
            <w:shd w:val="clear" w:color="auto" w:fill="D5DCE4"/>
          </w:tcPr>
          <w:p>
            <w:pPr>
              <w:spacing w:after="0"/>
              <w:rPr>
                <w:sz w:val="18"/>
                <w:szCs w:val="18"/>
                <w:color w:val="auto"/>
              </w:rPr>
            </w:pPr>
          </w:p>
        </w:tc>
        <w:tc>
          <w:tcPr>
            <w:tcW w:w="480" w:type="dxa"/>
            <w:vAlign w:val="bottom"/>
            <w:shd w:val="clear" w:color="auto" w:fill="D5DCE4"/>
          </w:tcPr>
          <w:p>
            <w:pPr>
              <w:spacing w:after="0"/>
              <w:rPr>
                <w:sz w:val="18"/>
                <w:szCs w:val="18"/>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(111,031)</w:t>
            </w:r>
          </w:p>
        </w:tc>
      </w:tr>
      <w:tr>
        <w:trPr>
          <w:trHeight w:val="216"/>
        </w:trPr>
        <w:tc>
          <w:tcPr>
            <w:tcW w:w="4980" w:type="dxa"/>
            <w:vAlign w:val="bottom"/>
            <w:gridSpan w:val="2"/>
          </w:tcPr>
          <w:p>
            <w:pPr>
              <w:ind w:left="20"/>
              <w:spacing w:after="0" w:line="216" w:lineRule="exact"/>
              <w:rPr>
                <w:sz w:val="20"/>
                <w:szCs w:val="20"/>
                <w:color w:val="auto"/>
              </w:rPr>
            </w:pPr>
            <w:r>
              <w:rPr>
                <w:rFonts w:ascii="Arial" w:cs="Arial" w:eastAsia="Arial" w:hAnsi="Arial"/>
                <w:sz w:val="14"/>
                <w:szCs w:val="14"/>
                <w:color w:val="auto"/>
              </w:rPr>
              <w:t xml:space="preserve">Stock-based compensation expense </w:t>
            </w:r>
            <w:r>
              <w:rPr>
                <w:rFonts w:ascii="Arial" w:cs="Arial" w:eastAsia="Arial" w:hAnsi="Arial"/>
                <w:sz w:val="19"/>
                <w:szCs w:val="19"/>
                <w:color w:val="auto"/>
                <w:vertAlign w:val="superscript"/>
              </w:rPr>
              <w:t>(3)</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(3,681)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(5,395)</w:t>
            </w:r>
          </w:p>
        </w:tc>
      </w:tr>
      <w:tr>
        <w:trPr>
          <w:trHeight w:val="216"/>
        </w:trPr>
        <w:tc>
          <w:tcPr>
            <w:tcW w:w="4980" w:type="dxa"/>
            <w:vAlign w:val="bottom"/>
            <w:gridSpan w:val="2"/>
            <w:shd w:val="clear" w:color="auto" w:fill="D5DCE4"/>
          </w:tcPr>
          <w:p>
            <w:pPr>
              <w:ind w:left="20"/>
              <w:spacing w:after="0" w:line="216" w:lineRule="exact"/>
              <w:rPr>
                <w:sz w:val="20"/>
                <w:szCs w:val="20"/>
                <w:color w:val="auto"/>
              </w:rPr>
            </w:pPr>
            <w:r>
              <w:rPr>
                <w:rFonts w:ascii="Arial" w:cs="Arial" w:eastAsia="Arial" w:hAnsi="Arial"/>
                <w:sz w:val="14"/>
                <w:szCs w:val="14"/>
                <w:color w:val="auto"/>
              </w:rPr>
              <w:t xml:space="preserve">Foreign exchange gains / (losses) </w:t>
            </w:r>
            <w:r>
              <w:rPr>
                <w:rFonts w:ascii="Arial" w:cs="Arial" w:eastAsia="Arial" w:hAnsi="Arial"/>
                <w:sz w:val="19"/>
                <w:szCs w:val="19"/>
                <w:color w:val="auto"/>
                <w:vertAlign w:val="superscript"/>
              </w:rPr>
              <w:t>(4)</w:t>
            </w:r>
          </w:p>
        </w:tc>
        <w:tc>
          <w:tcPr>
            <w:tcW w:w="300" w:type="dxa"/>
            <w:vAlign w:val="bottom"/>
            <w:tcBorders>
              <w:bottom w:val="single" w:sz="8" w:color="auto"/>
            </w:tcBorders>
            <w:shd w:val="clear" w:color="auto" w:fill="D5DCE4"/>
          </w:tcPr>
          <w:p>
            <w:pPr>
              <w:spacing w:after="0"/>
              <w:rPr>
                <w:sz w:val="18"/>
                <w:szCs w:val="18"/>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1,372</w:t>
            </w:r>
          </w:p>
        </w:tc>
        <w:tc>
          <w:tcPr>
            <w:tcW w:w="80" w:type="dxa"/>
            <w:vAlign w:val="bottom"/>
            <w:shd w:val="clear" w:color="auto" w:fill="D5DCE4"/>
          </w:tcPr>
          <w:p>
            <w:pPr>
              <w:spacing w:after="0"/>
              <w:rPr>
                <w:sz w:val="18"/>
                <w:szCs w:val="18"/>
                <w:color w:val="auto"/>
              </w:rPr>
            </w:pPr>
          </w:p>
        </w:tc>
        <w:tc>
          <w:tcPr>
            <w:tcW w:w="480" w:type="dxa"/>
            <w:vAlign w:val="bottom"/>
            <w:tcBorders>
              <w:bottom w:val="single" w:sz="8" w:color="auto"/>
            </w:tcBorders>
            <w:shd w:val="clear" w:color="auto" w:fill="D5DCE4"/>
          </w:tcPr>
          <w:p>
            <w:pPr>
              <w:spacing w:after="0"/>
              <w:rPr>
                <w:sz w:val="18"/>
                <w:szCs w:val="18"/>
                <w:color w:val="auto"/>
              </w:rPr>
            </w:pPr>
          </w:p>
        </w:tc>
        <w:tc>
          <w:tcPr>
            <w:tcW w:w="8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(4,459)</w:t>
            </w:r>
          </w:p>
        </w:tc>
        <w:tc>
          <w:tcPr>
            <w:tcW w:w="80" w:type="dxa"/>
            <w:vAlign w:val="bottom"/>
            <w:shd w:val="clear" w:color="auto" w:fill="D5DCE4"/>
          </w:tcPr>
          <w:p>
            <w:pPr>
              <w:spacing w:after="0"/>
              <w:rPr>
                <w:sz w:val="18"/>
                <w:szCs w:val="18"/>
                <w:color w:val="auto"/>
              </w:rPr>
            </w:pPr>
          </w:p>
        </w:tc>
        <w:tc>
          <w:tcPr>
            <w:tcW w:w="300" w:type="dxa"/>
            <w:vAlign w:val="bottom"/>
            <w:tcBorders>
              <w:bottom w:val="single" w:sz="8" w:color="auto"/>
            </w:tcBorders>
            <w:shd w:val="clear" w:color="auto" w:fill="D5DCE4"/>
          </w:tcPr>
          <w:p>
            <w:pPr>
              <w:spacing w:after="0"/>
              <w:rPr>
                <w:sz w:val="18"/>
                <w:szCs w:val="18"/>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(17,579)</w:t>
            </w:r>
          </w:p>
        </w:tc>
        <w:tc>
          <w:tcPr>
            <w:tcW w:w="80" w:type="dxa"/>
            <w:vAlign w:val="bottom"/>
            <w:shd w:val="clear" w:color="auto" w:fill="D5DCE4"/>
          </w:tcPr>
          <w:p>
            <w:pPr>
              <w:spacing w:after="0"/>
              <w:rPr>
                <w:sz w:val="18"/>
                <w:szCs w:val="18"/>
                <w:color w:val="auto"/>
              </w:rPr>
            </w:pPr>
          </w:p>
        </w:tc>
        <w:tc>
          <w:tcPr>
            <w:tcW w:w="480" w:type="dxa"/>
            <w:vAlign w:val="bottom"/>
            <w:tcBorders>
              <w:bottom w:val="single" w:sz="8" w:color="auto"/>
            </w:tcBorders>
            <w:shd w:val="clear" w:color="auto" w:fill="D5DCE4"/>
          </w:tcPr>
          <w:p>
            <w:pPr>
              <w:spacing w:after="0"/>
              <w:rPr>
                <w:sz w:val="18"/>
                <w:szCs w:val="18"/>
                <w:color w:val="auto"/>
              </w:rPr>
            </w:pPr>
          </w:p>
        </w:tc>
        <w:tc>
          <w:tcPr>
            <w:tcW w:w="8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(2,097)</w:t>
            </w:r>
          </w:p>
        </w:tc>
      </w:tr>
      <w:tr>
        <w:trPr>
          <w:trHeight w:val="208"/>
        </w:trPr>
        <w:tc>
          <w:tcPr>
            <w:tcW w:w="4980" w:type="dxa"/>
            <w:vAlign w:val="bottom"/>
            <w:gridSpan w:val="2"/>
          </w:tcPr>
          <w:p>
            <w:pPr>
              <w:ind w:left="20"/>
              <w:spacing w:after="0"/>
              <w:rPr>
                <w:sz w:val="20"/>
                <w:szCs w:val="20"/>
                <w:color w:val="auto"/>
              </w:rPr>
            </w:pPr>
            <w:r>
              <w:rPr>
                <w:rFonts w:ascii="Arial" w:cs="Arial" w:eastAsia="Arial" w:hAnsi="Arial"/>
                <w:sz w:val="14"/>
                <w:szCs w:val="14"/>
                <w:color w:val="auto"/>
              </w:rPr>
              <w:t>Adjusted Expenses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253,052</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225,022</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754,385</w:t>
            </w:r>
          </w:p>
        </w:tc>
        <w:tc>
          <w:tcPr>
            <w:tcW w:w="56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632,842</w:t>
            </w:r>
          </w:p>
        </w:tc>
      </w:tr>
      <w:tr>
        <w:trPr>
          <w:trHeight w:val="20"/>
        </w:trPr>
        <w:tc>
          <w:tcPr>
            <w:tcW w:w="4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20" w:lineRule="exact"/>
        <w:rPr>
          <w:sz w:val="20"/>
          <w:szCs w:val="20"/>
          <w:color w:val="auto"/>
        </w:rPr>
      </w:pPr>
    </w:p>
    <w:p>
      <w:pPr>
        <w:ind w:left="440" w:right="200" w:hanging="422"/>
        <w:spacing w:after="0" w:line="182" w:lineRule="auto"/>
        <w:tabs>
          <w:tab w:leader="none" w:pos="440" w:val="left"/>
        </w:tabs>
        <w:numPr>
          <w:ilvl w:val="0"/>
          <w:numId w:val="11"/>
        </w:numPr>
        <w:rPr>
          <w:rFonts w:ascii="Arial" w:cs="Arial" w:eastAsia="Arial" w:hAnsi="Arial"/>
          <w:sz w:val="20"/>
          <w:szCs w:val="20"/>
          <w:color w:val="auto"/>
          <w:vertAlign w:val="subscript"/>
        </w:rPr>
      </w:pPr>
      <w:r>
        <w:rPr>
          <w:rFonts w:ascii="Arial" w:cs="Arial" w:eastAsia="Arial" w:hAnsi="Arial"/>
          <w:sz w:val="10"/>
          <w:szCs w:val="10"/>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6" w:lineRule="exact"/>
        <w:rPr>
          <w:rFonts w:ascii="Arial" w:cs="Arial" w:eastAsia="Arial" w:hAnsi="Arial"/>
          <w:sz w:val="20"/>
          <w:szCs w:val="20"/>
          <w:color w:val="auto"/>
          <w:vertAlign w:val="subscript"/>
        </w:rPr>
      </w:pPr>
    </w:p>
    <w:p>
      <w:pPr>
        <w:ind w:left="440" w:right="180" w:hanging="422"/>
        <w:spacing w:after="0" w:line="256"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18" w:lineRule="exact"/>
        <w:rPr>
          <w:rFonts w:ascii="Arial" w:cs="Arial" w:eastAsia="Arial" w:hAnsi="Arial"/>
          <w:sz w:val="11"/>
          <w:szCs w:val="11"/>
          <w:color w:val="auto"/>
        </w:rPr>
      </w:pPr>
    </w:p>
    <w:p>
      <w:pPr>
        <w:ind w:left="440" w:right="20" w:hanging="422"/>
        <w:spacing w:after="0" w:line="238"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non-cash stock-based compensation expense associated with the Special Option Award and post-IPO options awarded in 2019 and payroll taxes associated with the exercise of such options. During the three and nine months ended September 30, 2025 and 2024, this adjustment also includes $0.6 million, $1.8 million, $0.4 million and $0.4 million, respectively, of non-cash stock-based compensation expense and related payroll taxes associated with RSAs and RSUs issued to help retain key ICD employees during the integration of ICD. During the three and nine months ended September 30, 2024, this adjustment also includes $2.4 million and $2.7 million, respectively, of non-cash accelerated stock-based compensation expense and related payroll taxes associated with our former President.</w:t>
      </w:r>
    </w:p>
    <w:p>
      <w:pPr>
        <w:spacing w:after="0" w:line="26" w:lineRule="exact"/>
        <w:rPr>
          <w:rFonts w:ascii="Arial" w:cs="Arial" w:eastAsia="Arial" w:hAnsi="Arial"/>
          <w:sz w:val="11"/>
          <w:szCs w:val="11"/>
          <w:color w:val="auto"/>
        </w:rPr>
      </w:pPr>
    </w:p>
    <w:p>
      <w:pPr>
        <w:ind w:left="440" w:right="100" w:hanging="422"/>
        <w:spacing w:after="0" w:line="256" w:lineRule="auto"/>
        <w:tabs>
          <w:tab w:leader="none" w:pos="440" w:val="left"/>
        </w:tabs>
        <w:numPr>
          <w:ilvl w:val="0"/>
          <w:numId w:val="11"/>
        </w:numPr>
        <w:rPr>
          <w:rFonts w:ascii="Arial" w:cs="Arial" w:eastAsia="Arial" w:hAnsi="Arial"/>
          <w:sz w:val="11"/>
          <w:szCs w:val="11"/>
          <w:color w:val="auto"/>
        </w:rPr>
      </w:pPr>
      <w:r>
        <w:rPr>
          <w:rFonts w:ascii="Arial" w:cs="Arial" w:eastAsia="Arial" w:hAnsi="Arial"/>
          <w:sz w:val="11"/>
          <w:szCs w:val="11"/>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Trailing Twelve Months Ended September 30,</w:t>
            </w:r>
          </w:p>
        </w:tc>
      </w:tr>
      <w:tr>
        <w:trPr>
          <w:trHeight w:val="211"/>
        </w:trPr>
        <w:tc>
          <w:tcPr>
            <w:tcW w:w="7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Cash Flow from Operating Activities to Free Cash Flow</w:t>
            </w:r>
          </w:p>
        </w:tc>
        <w:tc>
          <w:tcPr>
            <w:tcW w:w="100" w:type="dxa"/>
            <w:vAlign w:val="bottom"/>
          </w:tcPr>
          <w:p>
            <w:pPr>
              <w:spacing w:after="0"/>
              <w:rPr>
                <w:sz w:val="18"/>
                <w:szCs w:val="18"/>
                <w:color w:val="auto"/>
              </w:rPr>
            </w:pPr>
          </w:p>
        </w:tc>
        <w:tc>
          <w:tcPr>
            <w:tcW w:w="1520" w:type="dxa"/>
            <w:vAlign w:val="bottom"/>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ind w:right="568"/>
              <w:spacing w:after="0"/>
              <w:rPr>
                <w:sz w:val="20"/>
                <w:szCs w:val="20"/>
                <w:color w:val="auto"/>
              </w:rPr>
            </w:pPr>
            <w:r>
              <w:rPr>
                <w:rFonts w:ascii="Arial" w:cs="Arial" w:eastAsia="Arial" w:hAnsi="Arial"/>
                <w:sz w:val="14"/>
                <w:szCs w:val="14"/>
                <w:b w:val="1"/>
                <w:bCs w:val="1"/>
                <w:color w:val="auto"/>
              </w:rPr>
              <w:t>2024</w:t>
            </w:r>
          </w:p>
        </w:tc>
      </w:tr>
      <w:tr>
        <w:trPr>
          <w:trHeight w:val="208"/>
        </w:trPr>
        <w:tc>
          <w:tcPr>
            <w:tcW w:w="71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0" w:type="dxa"/>
            <w:vAlign w:val="bottom"/>
            <w:tcBorders>
              <w:top w:val="single" w:sz="8" w:color="auto"/>
            </w:tcBorders>
            <w:gridSpan w:val="4"/>
          </w:tcPr>
          <w:p>
            <w:pPr>
              <w:jc w:val="right"/>
              <w:ind w:right="828"/>
              <w:spacing w:after="0"/>
              <w:rPr>
                <w:sz w:val="20"/>
                <w:szCs w:val="20"/>
                <w:color w:val="auto"/>
              </w:rPr>
            </w:pPr>
            <w:r>
              <w:rPr>
                <w:rFonts w:ascii="Arial" w:cs="Arial" w:eastAsia="Arial" w:hAnsi="Arial"/>
                <w:sz w:val="14"/>
                <w:szCs w:val="14"/>
                <w:b w:val="1"/>
                <w:bCs w:val="1"/>
                <w:color w:val="auto"/>
              </w:rPr>
              <w:t>(dollars in thousands)</w:t>
            </w:r>
          </w:p>
        </w:tc>
      </w:tr>
      <w:tr>
        <w:trPr>
          <w:trHeight w:val="219"/>
        </w:trPr>
        <w:tc>
          <w:tcPr>
            <w:tcW w:w="72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Cash flow from operating activities</w:t>
            </w:r>
          </w:p>
        </w:tc>
        <w:tc>
          <w:tcPr>
            <w:tcW w:w="100" w:type="dxa"/>
            <w:vAlign w:val="bottom"/>
            <w:shd w:val="clear" w:color="auto" w:fill="D5DCE4"/>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1,093,722</w:t>
            </w:r>
          </w:p>
        </w:tc>
        <w:tc>
          <w:tcPr>
            <w:tcW w:w="440" w:type="dxa"/>
            <w:vAlign w:val="bottom"/>
            <w:gridSpan w:val="2"/>
            <w:shd w:val="clear" w:color="auto" w:fill="D5DCE4"/>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860,477</w:t>
            </w:r>
          </w:p>
        </w:tc>
      </w:tr>
      <w:tr>
        <w:trPr>
          <w:trHeight w:val="209"/>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Less: Capitalization of software development costs</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(59,871)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(46,312)</w:t>
            </w:r>
          </w:p>
        </w:tc>
      </w:tr>
      <w:tr>
        <w:trPr>
          <w:trHeight w:val="216"/>
        </w:trPr>
        <w:tc>
          <w:tcPr>
            <w:tcW w:w="726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Less: Purchases of furniture, equipment and leasehold improvements</w:t>
            </w:r>
          </w:p>
        </w:tc>
        <w:tc>
          <w:tcPr>
            <w:tcW w:w="100" w:type="dxa"/>
            <w:vAlign w:val="bottom"/>
            <w:tcBorders>
              <w:bottom w:val="single" w:sz="8" w:color="auto"/>
            </w:tcBorders>
            <w:shd w:val="clear" w:color="auto" w:fill="D5DCE4"/>
          </w:tcPr>
          <w:p>
            <w:pPr>
              <w:spacing w:after="0"/>
              <w:rPr>
                <w:sz w:val="18"/>
                <w:szCs w:val="18"/>
                <w:color w:val="auto"/>
              </w:rPr>
            </w:pPr>
          </w:p>
        </w:tc>
        <w:tc>
          <w:tcPr>
            <w:tcW w:w="15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(46,372)</w:t>
            </w:r>
          </w:p>
        </w:tc>
        <w:tc>
          <w:tcPr>
            <w:tcW w:w="80" w:type="dxa"/>
            <w:vAlign w:val="bottom"/>
            <w:shd w:val="clear" w:color="auto" w:fill="D5DCE4"/>
          </w:tcPr>
          <w:p>
            <w:pPr>
              <w:spacing w:after="0"/>
              <w:rPr>
                <w:sz w:val="18"/>
                <w:szCs w:val="18"/>
                <w:color w:val="auto"/>
              </w:rPr>
            </w:pPr>
          </w:p>
        </w:tc>
        <w:tc>
          <w:tcPr>
            <w:tcW w:w="360" w:type="dxa"/>
            <w:vAlign w:val="bottom"/>
            <w:tcBorders>
              <w:bottom w:val="single" w:sz="8" w:color="auto"/>
            </w:tcBorders>
            <w:shd w:val="clear" w:color="auto" w:fill="D5DCE4"/>
          </w:tcPr>
          <w:p>
            <w:pPr>
              <w:spacing w:after="0"/>
              <w:rPr>
                <w:sz w:val="18"/>
                <w:szCs w:val="18"/>
                <w:color w:val="auto"/>
              </w:rPr>
            </w:pPr>
          </w:p>
        </w:tc>
        <w:tc>
          <w:tcPr>
            <w:tcW w:w="12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(16,791)</w:t>
            </w:r>
          </w:p>
        </w:tc>
      </w:tr>
      <w:tr>
        <w:trPr>
          <w:trHeight w:val="215"/>
        </w:trPr>
        <w:tc>
          <w:tcPr>
            <w:tcW w:w="726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987,479</w:t>
            </w:r>
          </w:p>
        </w:tc>
        <w:tc>
          <w:tcPr>
            <w:tcW w:w="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797,374</w:t>
            </w:r>
          </w:p>
        </w:tc>
      </w:tr>
      <w:tr>
        <w:trPr>
          <w:trHeight w:val="20"/>
        </w:trPr>
        <w:tc>
          <w:tcPr>
            <w:tcW w:w="7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7</w:t>
      </w:r>
    </w:p>
    <w:p>
      <w:pPr>
        <w:sectPr>
          <w:pgSz w:w="11900" w:h="16840" w:orient="portrait"/>
          <w:cols w:equalWidth="0" w:num="1">
            <w:col w:w="10580"/>
          </w:cols>
          <w:pgMar w:left="660" w:top="1181" w:right="66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BASIC AND DILUTED EPS CALCULATIONS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gridSpan w:val="10"/>
          </w:tcPr>
          <w:p>
            <w:pPr>
              <w:spacing w:after="0"/>
              <w:rPr>
                <w:sz w:val="20"/>
                <w:szCs w:val="20"/>
                <w:color w:val="auto"/>
              </w:rPr>
            </w:pPr>
            <w:r>
              <w:rPr>
                <w:rFonts w:ascii="Arial" w:cs="Arial" w:eastAsia="Arial" w:hAnsi="Arial"/>
                <w:sz w:val="14"/>
                <w:szCs w:val="14"/>
                <w:color w:val="auto"/>
              </w:rPr>
              <w:t>The following table summarizes the basic and diluted earnings per share calculations for Tradeweb Markets Inc.:</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gridSpan w:val="4"/>
          </w:tcPr>
          <w:p>
            <w:pPr>
              <w:jc w:val="right"/>
              <w:ind w:right="66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EPS: Net income attributable to Tradeweb Markets Inc.</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80" w:type="dxa"/>
            <w:vAlign w:val="bottom"/>
            <w:gridSpan w:val="9"/>
          </w:tcPr>
          <w:p>
            <w:pPr>
              <w:jc w:val="right"/>
              <w:ind w:right="340"/>
              <w:spacing w:after="0"/>
              <w:rPr>
                <w:sz w:val="20"/>
                <w:szCs w:val="20"/>
                <w:color w:val="auto"/>
              </w:rPr>
            </w:pPr>
            <w:r>
              <w:rPr>
                <w:rFonts w:ascii="Arial" w:cs="Arial" w:eastAsia="Arial" w:hAnsi="Arial"/>
                <w:sz w:val="14"/>
                <w:szCs w:val="14"/>
                <w:b w:val="1"/>
                <w:bCs w:val="1"/>
                <w:color w:val="auto"/>
              </w:rPr>
              <w:t>(dollars in thousands, except per share amounts)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800" w:type="dxa"/>
            <w:vAlign w:val="bottom"/>
            <w:gridSpan w:val="5"/>
            <w:shd w:val="clear" w:color="auto" w:fill="D5DCE4"/>
          </w:tcPr>
          <w:p>
            <w:pPr>
              <w:ind w:left="20"/>
              <w:spacing w:after="0"/>
              <w:rPr>
                <w:sz w:val="20"/>
                <w:szCs w:val="20"/>
                <w:color w:val="auto"/>
              </w:rPr>
            </w:pPr>
            <w:r>
              <w:rPr>
                <w:rFonts w:ascii="Arial" w:cs="Arial" w:eastAsia="Arial" w:hAnsi="Arial"/>
                <w:sz w:val="14"/>
                <w:szCs w:val="14"/>
                <w:color w:val="auto"/>
              </w:rPr>
              <w:t>Numerator:</w:t>
            </w:r>
          </w:p>
        </w:tc>
        <w:tc>
          <w:tcPr>
            <w:tcW w:w="300" w:type="dxa"/>
            <w:vAlign w:val="bottom"/>
            <w:shd w:val="clear" w:color="auto" w:fill="D5DCE4"/>
          </w:tcPr>
          <w:p>
            <w:pPr>
              <w:spacing w:after="0"/>
              <w:rPr>
                <w:sz w:val="14"/>
                <w:szCs w:val="14"/>
                <w:color w:val="auto"/>
              </w:rPr>
            </w:pPr>
          </w:p>
        </w:tc>
        <w:tc>
          <w:tcPr>
            <w:tcW w:w="108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480" w:type="dxa"/>
            <w:vAlign w:val="bottom"/>
            <w:shd w:val="clear" w:color="auto" w:fill="D5DCE4"/>
          </w:tcPr>
          <w:p>
            <w:pPr>
              <w:spacing w:after="0"/>
              <w:rPr>
                <w:sz w:val="14"/>
                <w:szCs w:val="14"/>
                <w:color w:val="auto"/>
              </w:rPr>
            </w:pPr>
          </w:p>
        </w:tc>
        <w:tc>
          <w:tcPr>
            <w:tcW w:w="90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300" w:type="dxa"/>
            <w:vAlign w:val="bottom"/>
            <w:shd w:val="clear" w:color="auto" w:fill="D5DCE4"/>
          </w:tcPr>
          <w:p>
            <w:pPr>
              <w:spacing w:after="0"/>
              <w:rPr>
                <w:sz w:val="14"/>
                <w:szCs w:val="14"/>
                <w:color w:val="auto"/>
              </w:rPr>
            </w:pPr>
          </w:p>
        </w:tc>
        <w:tc>
          <w:tcPr>
            <w:tcW w:w="1080" w:type="dxa"/>
            <w:vAlign w:val="bottom"/>
            <w:shd w:val="clear" w:color="auto" w:fill="D5DCE4"/>
          </w:tcPr>
          <w:p>
            <w:pPr>
              <w:spacing w:after="0"/>
              <w:rPr>
                <w:sz w:val="14"/>
                <w:szCs w:val="14"/>
                <w:color w:val="auto"/>
              </w:rPr>
            </w:pPr>
          </w:p>
        </w:tc>
        <w:tc>
          <w:tcPr>
            <w:tcW w:w="80" w:type="dxa"/>
            <w:vAlign w:val="bottom"/>
            <w:shd w:val="clear" w:color="auto" w:fill="D5DCE4"/>
          </w:tcPr>
          <w:p>
            <w:pPr>
              <w:spacing w:after="0"/>
              <w:rPr>
                <w:sz w:val="14"/>
                <w:szCs w:val="14"/>
                <w:color w:val="auto"/>
              </w:rPr>
            </w:pPr>
          </w:p>
        </w:tc>
        <w:tc>
          <w:tcPr>
            <w:tcW w:w="500" w:type="dxa"/>
            <w:vAlign w:val="bottom"/>
            <w:shd w:val="clear" w:color="auto" w:fill="D5DCE4"/>
          </w:tcPr>
          <w:p>
            <w:pPr>
              <w:spacing w:after="0"/>
              <w:rPr>
                <w:sz w:val="14"/>
                <w:szCs w:val="14"/>
                <w:color w:val="auto"/>
              </w:rPr>
            </w:pPr>
          </w:p>
        </w:tc>
        <w:tc>
          <w:tcPr>
            <w:tcW w:w="880" w:type="dxa"/>
            <w:vAlign w:val="bottom"/>
            <w:shd w:val="clear" w:color="auto" w:fill="D5DCE4"/>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Borders>
              <w:top w:val="single" w:sz="8" w:color="D5DCE4"/>
            </w:tcBorders>
            <w:shd w:val="clear" w:color="auto" w:fill="D5DCE4"/>
          </w:tcPr>
          <w:p>
            <w:pPr>
              <w:spacing w:after="0"/>
              <w:rPr>
                <w:sz w:val="2"/>
                <w:szCs w:val="2"/>
                <w:color w:val="auto"/>
              </w:rPr>
            </w:pPr>
          </w:p>
        </w:tc>
        <w:tc>
          <w:tcPr>
            <w:tcW w:w="720" w:type="dxa"/>
            <w:vAlign w:val="bottom"/>
            <w:tcBorders>
              <w:top w:val="single" w:sz="8" w:color="auto"/>
            </w:tcBorders>
            <w:shd w:val="clear" w:color="auto" w:fill="D5DCE4"/>
          </w:tcPr>
          <w:p>
            <w:pPr>
              <w:spacing w:after="0"/>
              <w:rPr>
                <w:sz w:val="2"/>
                <w:szCs w:val="2"/>
                <w:color w:val="auto"/>
              </w:rPr>
            </w:pPr>
          </w:p>
        </w:tc>
        <w:tc>
          <w:tcPr>
            <w:tcW w:w="140" w:type="dxa"/>
            <w:vAlign w:val="bottom"/>
            <w:tcBorders>
              <w:top w:val="single" w:sz="8" w:color="D5DCE4"/>
            </w:tcBorders>
            <w:shd w:val="clear" w:color="auto" w:fill="D5DCE4"/>
          </w:tcPr>
          <w:p>
            <w:pPr>
              <w:spacing w:after="0"/>
              <w:rPr>
                <w:sz w:val="2"/>
                <w:szCs w:val="2"/>
                <w:color w:val="auto"/>
              </w:rPr>
            </w:pPr>
          </w:p>
        </w:tc>
        <w:tc>
          <w:tcPr>
            <w:tcW w:w="3840" w:type="dxa"/>
            <w:vAlign w:val="bottom"/>
            <w:tcBorders>
              <w:top w:val="single" w:sz="8" w:color="D5DCE4"/>
            </w:tcBorders>
            <w:shd w:val="clear" w:color="auto" w:fill="D5DCE4"/>
          </w:tcPr>
          <w:p>
            <w:pPr>
              <w:spacing w:after="0"/>
              <w:rPr>
                <w:sz w:val="2"/>
                <w:szCs w:val="2"/>
                <w:color w:val="auto"/>
              </w:rPr>
            </w:pPr>
          </w:p>
        </w:tc>
        <w:tc>
          <w:tcPr>
            <w:tcW w:w="80" w:type="dxa"/>
            <w:vAlign w:val="bottom"/>
            <w:tcBorders>
              <w:top w:val="single" w:sz="8" w:color="D5DCE4"/>
            </w:tcBorders>
            <w:shd w:val="clear" w:color="auto" w:fill="D5DCE4"/>
          </w:tcPr>
          <w:p>
            <w:pPr>
              <w:spacing w:after="0"/>
              <w:rPr>
                <w:sz w:val="2"/>
                <w:szCs w:val="2"/>
                <w:color w:val="auto"/>
              </w:rPr>
            </w:pPr>
          </w:p>
        </w:tc>
        <w:tc>
          <w:tcPr>
            <w:tcW w:w="300" w:type="dxa"/>
            <w:vAlign w:val="bottom"/>
            <w:tcBorders>
              <w:top w:val="single" w:sz="8" w:color="D5DCE4"/>
            </w:tcBorders>
            <w:shd w:val="clear" w:color="auto" w:fill="D5DCE4"/>
          </w:tcPr>
          <w:p>
            <w:pPr>
              <w:spacing w:after="0"/>
              <w:rPr>
                <w:sz w:val="2"/>
                <w:szCs w:val="2"/>
                <w:color w:val="auto"/>
              </w:rPr>
            </w:pPr>
          </w:p>
        </w:tc>
        <w:tc>
          <w:tcPr>
            <w:tcW w:w="1080" w:type="dxa"/>
            <w:vAlign w:val="bottom"/>
            <w:tcBorders>
              <w:top w:val="single" w:sz="8" w:color="D5DCE4"/>
            </w:tcBorders>
            <w:shd w:val="clear" w:color="auto" w:fill="D5DCE4"/>
          </w:tcPr>
          <w:p>
            <w:pPr>
              <w:spacing w:after="0"/>
              <w:rPr>
                <w:sz w:val="2"/>
                <w:szCs w:val="2"/>
                <w:color w:val="auto"/>
              </w:rPr>
            </w:pPr>
          </w:p>
        </w:tc>
        <w:tc>
          <w:tcPr>
            <w:tcW w:w="80" w:type="dxa"/>
            <w:vAlign w:val="bottom"/>
            <w:tcBorders>
              <w:top w:val="single" w:sz="8" w:color="D5DCE4"/>
            </w:tcBorders>
            <w:shd w:val="clear" w:color="auto" w:fill="D5DCE4"/>
          </w:tcPr>
          <w:p>
            <w:pPr>
              <w:spacing w:after="0"/>
              <w:rPr>
                <w:sz w:val="2"/>
                <w:szCs w:val="2"/>
                <w:color w:val="auto"/>
              </w:rPr>
            </w:pPr>
          </w:p>
        </w:tc>
        <w:tc>
          <w:tcPr>
            <w:tcW w:w="480" w:type="dxa"/>
            <w:vAlign w:val="bottom"/>
            <w:tcBorders>
              <w:top w:val="single" w:sz="8" w:color="D5DCE4"/>
            </w:tcBorders>
            <w:shd w:val="clear" w:color="auto" w:fill="D5DCE4"/>
          </w:tcPr>
          <w:p>
            <w:pPr>
              <w:spacing w:after="0"/>
              <w:rPr>
                <w:sz w:val="2"/>
                <w:szCs w:val="2"/>
                <w:color w:val="auto"/>
              </w:rPr>
            </w:pPr>
          </w:p>
        </w:tc>
        <w:tc>
          <w:tcPr>
            <w:tcW w:w="900" w:type="dxa"/>
            <w:vAlign w:val="bottom"/>
            <w:tcBorders>
              <w:top w:val="single" w:sz="8" w:color="D5DCE4"/>
            </w:tcBorders>
            <w:shd w:val="clear" w:color="auto" w:fill="D5DCE4"/>
          </w:tcPr>
          <w:p>
            <w:pPr>
              <w:spacing w:after="0"/>
              <w:rPr>
                <w:sz w:val="2"/>
                <w:szCs w:val="2"/>
                <w:color w:val="auto"/>
              </w:rPr>
            </w:pPr>
          </w:p>
        </w:tc>
        <w:tc>
          <w:tcPr>
            <w:tcW w:w="80" w:type="dxa"/>
            <w:vAlign w:val="bottom"/>
            <w:tcBorders>
              <w:top w:val="single" w:sz="8" w:color="D5DCE4"/>
            </w:tcBorders>
            <w:shd w:val="clear" w:color="auto" w:fill="D5DCE4"/>
          </w:tcPr>
          <w:p>
            <w:pPr>
              <w:spacing w:after="0"/>
              <w:rPr>
                <w:sz w:val="2"/>
                <w:szCs w:val="2"/>
                <w:color w:val="auto"/>
              </w:rPr>
            </w:pPr>
          </w:p>
        </w:tc>
        <w:tc>
          <w:tcPr>
            <w:tcW w:w="300" w:type="dxa"/>
            <w:vAlign w:val="bottom"/>
            <w:tcBorders>
              <w:top w:val="single" w:sz="8" w:color="D5DCE4"/>
            </w:tcBorders>
            <w:shd w:val="clear" w:color="auto" w:fill="D5DCE4"/>
          </w:tcPr>
          <w:p>
            <w:pPr>
              <w:spacing w:after="0"/>
              <w:rPr>
                <w:sz w:val="2"/>
                <w:szCs w:val="2"/>
                <w:color w:val="auto"/>
              </w:rPr>
            </w:pPr>
          </w:p>
        </w:tc>
        <w:tc>
          <w:tcPr>
            <w:tcW w:w="1080" w:type="dxa"/>
            <w:vAlign w:val="bottom"/>
            <w:tcBorders>
              <w:top w:val="single" w:sz="8" w:color="D5DCE4"/>
            </w:tcBorders>
            <w:shd w:val="clear" w:color="auto" w:fill="D5DCE4"/>
          </w:tcPr>
          <w:p>
            <w:pPr>
              <w:spacing w:after="0"/>
              <w:rPr>
                <w:sz w:val="2"/>
                <w:szCs w:val="2"/>
                <w:color w:val="auto"/>
              </w:rPr>
            </w:pPr>
          </w:p>
        </w:tc>
        <w:tc>
          <w:tcPr>
            <w:tcW w:w="80" w:type="dxa"/>
            <w:vAlign w:val="bottom"/>
            <w:tcBorders>
              <w:top w:val="single" w:sz="8" w:color="D5DCE4"/>
            </w:tcBorders>
            <w:shd w:val="clear" w:color="auto" w:fill="D5DCE4"/>
          </w:tcPr>
          <w:p>
            <w:pPr>
              <w:spacing w:after="0"/>
              <w:rPr>
                <w:sz w:val="2"/>
                <w:szCs w:val="2"/>
                <w:color w:val="auto"/>
              </w:rPr>
            </w:pPr>
          </w:p>
        </w:tc>
        <w:tc>
          <w:tcPr>
            <w:tcW w:w="500" w:type="dxa"/>
            <w:vAlign w:val="bottom"/>
            <w:tcBorders>
              <w:top w:val="single" w:sz="8" w:color="D5DCE4"/>
            </w:tcBorders>
            <w:shd w:val="clear" w:color="auto" w:fill="D5DCE4"/>
          </w:tcPr>
          <w:p>
            <w:pPr>
              <w:spacing w:after="0"/>
              <w:rPr>
                <w:sz w:val="2"/>
                <w:szCs w:val="2"/>
                <w:color w:val="auto"/>
              </w:rPr>
            </w:pPr>
          </w:p>
        </w:tc>
        <w:tc>
          <w:tcPr>
            <w:tcW w:w="880" w:type="dxa"/>
            <w:vAlign w:val="bottom"/>
            <w:tcBorders>
              <w:top w:val="single" w:sz="8" w:color="D5DCE4"/>
            </w:tcBorders>
            <w:shd w:val="clear" w:color="auto" w:fill="D5DCE4"/>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4800" w:type="dxa"/>
            <w:vAlign w:val="bottom"/>
            <w:gridSpan w:val="5"/>
          </w:tcPr>
          <w:p>
            <w:pPr>
              <w:ind w:left="20"/>
              <w:spacing w:after="0"/>
              <w:rPr>
                <w:sz w:val="20"/>
                <w:szCs w:val="20"/>
                <w:color w:val="auto"/>
              </w:rPr>
            </w:pPr>
            <w:r>
              <w:rPr>
                <w:rFonts w:ascii="Arial" w:cs="Arial" w:eastAsia="Arial" w:hAnsi="Arial"/>
                <w:sz w:val="14"/>
                <w:szCs w:val="14"/>
                <w:color w:val="auto"/>
              </w:rPr>
              <w:t>Net income attributable to Tradeweb Markets Inc.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185,636</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113,916</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487,800</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359,297</w:t>
            </w:r>
          </w:p>
        </w:tc>
        <w:tc>
          <w:tcPr>
            <w:tcW w:w="0" w:type="dxa"/>
            <w:vAlign w:val="bottom"/>
          </w:tcPr>
          <w:p>
            <w:pPr>
              <w:spacing w:after="0"/>
              <w:rPr>
                <w:sz w:val="1"/>
                <w:szCs w:val="1"/>
                <w:color w:val="auto"/>
              </w:rPr>
            </w:pPr>
          </w:p>
        </w:tc>
      </w:tr>
      <w:tr>
        <w:trPr>
          <w:trHeight w:val="187"/>
        </w:trPr>
        <w:tc>
          <w:tcPr>
            <w:tcW w:w="4800" w:type="dxa"/>
            <w:vAlign w:val="bottom"/>
            <w:gridSpan w:val="5"/>
            <w:shd w:val="clear" w:color="auto" w:fill="D5DCE4"/>
          </w:tcPr>
          <w:p>
            <w:pPr>
              <w:ind w:left="20"/>
              <w:spacing w:after="0"/>
              <w:rPr>
                <w:sz w:val="20"/>
                <w:szCs w:val="20"/>
                <w:color w:val="auto"/>
              </w:rPr>
            </w:pPr>
            <w:r>
              <w:rPr>
                <w:rFonts w:ascii="Arial" w:cs="Arial" w:eastAsia="Arial" w:hAnsi="Arial"/>
                <w:sz w:val="14"/>
                <w:szCs w:val="14"/>
                <w:color w:val="auto"/>
              </w:rPr>
              <w:t>Less: Distributed and undistributed earnings allocated to participating</w:t>
            </w:r>
          </w:p>
        </w:tc>
        <w:tc>
          <w:tcPr>
            <w:tcW w:w="300" w:type="dxa"/>
            <w:vAlign w:val="bottom"/>
            <w:shd w:val="clear" w:color="auto" w:fill="D5DCE4"/>
          </w:tcPr>
          <w:p>
            <w:pPr>
              <w:spacing w:after="0"/>
              <w:rPr>
                <w:sz w:val="16"/>
                <w:szCs w:val="16"/>
                <w:color w:val="auto"/>
              </w:rPr>
            </w:pPr>
          </w:p>
        </w:tc>
        <w:tc>
          <w:tcPr>
            <w:tcW w:w="108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480" w:type="dxa"/>
            <w:vAlign w:val="bottom"/>
            <w:shd w:val="clear" w:color="auto" w:fill="D5DCE4"/>
          </w:tcPr>
          <w:p>
            <w:pPr>
              <w:spacing w:after="0"/>
              <w:rPr>
                <w:sz w:val="16"/>
                <w:szCs w:val="16"/>
                <w:color w:val="auto"/>
              </w:rPr>
            </w:pPr>
          </w:p>
        </w:tc>
        <w:tc>
          <w:tcPr>
            <w:tcW w:w="90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300" w:type="dxa"/>
            <w:vAlign w:val="bottom"/>
            <w:shd w:val="clear" w:color="auto" w:fill="D5DCE4"/>
          </w:tcPr>
          <w:p>
            <w:pPr>
              <w:spacing w:after="0"/>
              <w:rPr>
                <w:sz w:val="16"/>
                <w:szCs w:val="16"/>
                <w:color w:val="auto"/>
              </w:rPr>
            </w:pPr>
          </w:p>
        </w:tc>
        <w:tc>
          <w:tcPr>
            <w:tcW w:w="1080" w:type="dxa"/>
            <w:vAlign w:val="bottom"/>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500" w:type="dxa"/>
            <w:vAlign w:val="bottom"/>
            <w:shd w:val="clear" w:color="auto" w:fill="D5DCE4"/>
          </w:tcPr>
          <w:p>
            <w:pPr>
              <w:spacing w:after="0"/>
              <w:rPr>
                <w:sz w:val="16"/>
                <w:szCs w:val="16"/>
                <w:color w:val="auto"/>
              </w:rPr>
            </w:pPr>
          </w:p>
        </w:tc>
        <w:tc>
          <w:tcPr>
            <w:tcW w:w="880" w:type="dxa"/>
            <w:vAlign w:val="bottom"/>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800" w:type="dxa"/>
            <w:vAlign w:val="bottom"/>
            <w:gridSpan w:val="5"/>
            <w:shd w:val="clear" w:color="auto" w:fill="D5DCE4"/>
          </w:tcPr>
          <w:p>
            <w:pPr>
              <w:ind w:left="20"/>
              <w:spacing w:after="0" w:line="204" w:lineRule="exact"/>
              <w:rPr>
                <w:sz w:val="20"/>
                <w:szCs w:val="20"/>
                <w:color w:val="auto"/>
              </w:rPr>
            </w:pPr>
            <w:r>
              <w:rPr>
                <w:rFonts w:ascii="Arial" w:cs="Arial" w:eastAsia="Arial" w:hAnsi="Arial"/>
                <w:sz w:val="14"/>
                <w:szCs w:val="14"/>
                <w:color w:val="auto"/>
              </w:rPr>
              <w:t xml:space="preserve">securities </w:t>
            </w:r>
            <w:r>
              <w:rPr>
                <w:rFonts w:ascii="Arial" w:cs="Arial" w:eastAsia="Arial" w:hAnsi="Arial"/>
                <w:sz w:val="19"/>
                <w:szCs w:val="19"/>
                <w:color w:val="auto"/>
                <w:vertAlign w:val="superscript"/>
              </w:rPr>
              <w:t>(1)</w:t>
            </w:r>
          </w:p>
        </w:tc>
        <w:tc>
          <w:tcPr>
            <w:tcW w:w="300" w:type="dxa"/>
            <w:vAlign w:val="bottom"/>
            <w:tcBorders>
              <w:bottom w:val="single" w:sz="8" w:color="auto"/>
            </w:tcBorders>
            <w:shd w:val="clear" w:color="auto" w:fill="D5DCE4"/>
          </w:tcPr>
          <w:p>
            <w:pPr>
              <w:spacing w:after="0"/>
              <w:rPr>
                <w:sz w:val="17"/>
                <w:szCs w:val="17"/>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(138)</w:t>
            </w:r>
          </w:p>
        </w:tc>
        <w:tc>
          <w:tcPr>
            <w:tcW w:w="80" w:type="dxa"/>
            <w:vAlign w:val="bottom"/>
            <w:shd w:val="clear" w:color="auto" w:fill="D5DCE4"/>
          </w:tcPr>
          <w:p>
            <w:pPr>
              <w:spacing w:after="0"/>
              <w:rPr>
                <w:sz w:val="17"/>
                <w:szCs w:val="17"/>
                <w:color w:val="auto"/>
              </w:rPr>
            </w:pPr>
          </w:p>
        </w:tc>
        <w:tc>
          <w:tcPr>
            <w:tcW w:w="480" w:type="dxa"/>
            <w:vAlign w:val="bottom"/>
            <w:tcBorders>
              <w:bottom w:val="single" w:sz="8" w:color="auto"/>
            </w:tcBorders>
            <w:shd w:val="clear" w:color="auto" w:fill="D5DCE4"/>
          </w:tcPr>
          <w:p>
            <w:pPr>
              <w:spacing w:after="0"/>
              <w:rPr>
                <w:sz w:val="17"/>
                <w:szCs w:val="17"/>
                <w:color w:val="auto"/>
              </w:rPr>
            </w:pPr>
          </w:p>
        </w:tc>
        <w:tc>
          <w:tcPr>
            <w:tcW w:w="9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(68)</w:t>
            </w:r>
          </w:p>
        </w:tc>
        <w:tc>
          <w:tcPr>
            <w:tcW w:w="80" w:type="dxa"/>
            <w:vAlign w:val="bottom"/>
            <w:shd w:val="clear" w:color="auto" w:fill="D5DCE4"/>
          </w:tcPr>
          <w:p>
            <w:pPr>
              <w:spacing w:after="0"/>
              <w:rPr>
                <w:sz w:val="17"/>
                <w:szCs w:val="17"/>
                <w:color w:val="auto"/>
              </w:rPr>
            </w:pPr>
          </w:p>
        </w:tc>
        <w:tc>
          <w:tcPr>
            <w:tcW w:w="300" w:type="dxa"/>
            <w:vAlign w:val="bottom"/>
            <w:tcBorders>
              <w:bottom w:val="single" w:sz="8" w:color="auto"/>
            </w:tcBorders>
            <w:shd w:val="clear" w:color="auto" w:fill="D5DCE4"/>
          </w:tcPr>
          <w:p>
            <w:pPr>
              <w:spacing w:after="0"/>
              <w:rPr>
                <w:sz w:val="17"/>
                <w:szCs w:val="17"/>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(379)</w:t>
            </w:r>
          </w:p>
        </w:tc>
        <w:tc>
          <w:tcPr>
            <w:tcW w:w="80" w:type="dxa"/>
            <w:vAlign w:val="bottom"/>
            <w:shd w:val="clear" w:color="auto" w:fill="D5DCE4"/>
          </w:tcPr>
          <w:p>
            <w:pPr>
              <w:spacing w:after="0"/>
              <w:rPr>
                <w:sz w:val="17"/>
                <w:szCs w:val="17"/>
                <w:color w:val="auto"/>
              </w:rPr>
            </w:pPr>
          </w:p>
        </w:tc>
        <w:tc>
          <w:tcPr>
            <w:tcW w:w="500" w:type="dxa"/>
            <w:vAlign w:val="bottom"/>
            <w:tcBorders>
              <w:bottom w:val="single" w:sz="8" w:color="auto"/>
            </w:tcBorders>
            <w:shd w:val="clear" w:color="auto" w:fill="D5DCE4"/>
          </w:tcPr>
          <w:p>
            <w:pPr>
              <w:spacing w:after="0"/>
              <w:rPr>
                <w:sz w:val="17"/>
                <w:szCs w:val="17"/>
                <w:color w:val="auto"/>
              </w:rPr>
            </w:pPr>
          </w:p>
        </w:tc>
        <w:tc>
          <w:tcPr>
            <w:tcW w:w="8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160"/>
        </w:trPr>
        <w:tc>
          <w:tcPr>
            <w:tcW w:w="4800" w:type="dxa"/>
            <w:vAlign w:val="bottom"/>
            <w:gridSpan w:val="5"/>
          </w:tcPr>
          <w:p>
            <w:pPr>
              <w:ind w:left="20"/>
              <w:spacing w:after="0" w:line="160" w:lineRule="exact"/>
              <w:rPr>
                <w:sz w:val="20"/>
                <w:szCs w:val="20"/>
                <w:color w:val="auto"/>
              </w:rPr>
            </w:pPr>
            <w:r>
              <w:rPr>
                <w:rFonts w:ascii="Arial" w:cs="Arial" w:eastAsia="Arial" w:hAnsi="Arial"/>
                <w:sz w:val="14"/>
                <w:szCs w:val="14"/>
                <w:color w:val="auto"/>
              </w:rPr>
              <w:t>Net income attributable to outstanding shares of Class A and Class B</w:t>
            </w:r>
          </w:p>
        </w:tc>
        <w:tc>
          <w:tcPr>
            <w:tcW w:w="300" w:type="dxa"/>
            <w:vAlign w:val="bottom"/>
            <w:vMerge w:val="restart"/>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185,498</w:t>
            </w:r>
          </w:p>
        </w:tc>
        <w:tc>
          <w:tcPr>
            <w:tcW w:w="560" w:type="dxa"/>
            <w:vAlign w:val="bottom"/>
            <w:gridSpan w:val="2"/>
            <w:vMerge w:val="restart"/>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113,848</w:t>
            </w:r>
          </w:p>
        </w:tc>
        <w:tc>
          <w:tcPr>
            <w:tcW w:w="3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487,421</w:t>
            </w:r>
          </w:p>
        </w:tc>
        <w:tc>
          <w:tcPr>
            <w:tcW w:w="580" w:type="dxa"/>
            <w:vAlign w:val="bottom"/>
            <w:gridSpan w:val="2"/>
            <w:vMerge w:val="restart"/>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359,066</w:t>
            </w:r>
          </w:p>
        </w:tc>
        <w:tc>
          <w:tcPr>
            <w:tcW w:w="0" w:type="dxa"/>
            <w:vAlign w:val="bottom"/>
          </w:tcPr>
          <w:p>
            <w:pPr>
              <w:spacing w:after="0"/>
              <w:rPr>
                <w:sz w:val="1"/>
                <w:szCs w:val="1"/>
                <w:color w:val="auto"/>
              </w:rPr>
            </w:pPr>
          </w:p>
        </w:tc>
      </w:tr>
      <w:tr>
        <w:trPr>
          <w:trHeight w:val="180"/>
        </w:trPr>
        <w:tc>
          <w:tcPr>
            <w:tcW w:w="4800" w:type="dxa"/>
            <w:vAlign w:val="bottom"/>
            <w:gridSpan w:val="5"/>
          </w:tcPr>
          <w:p>
            <w:pPr>
              <w:ind w:left="20"/>
              <w:spacing w:after="0"/>
              <w:rPr>
                <w:sz w:val="20"/>
                <w:szCs w:val="20"/>
                <w:color w:val="auto"/>
              </w:rPr>
            </w:pPr>
            <w:r>
              <w:rPr>
                <w:rFonts w:ascii="Arial" w:cs="Arial" w:eastAsia="Arial" w:hAnsi="Arial"/>
                <w:sz w:val="14"/>
                <w:szCs w:val="14"/>
                <w:color w:val="auto"/>
              </w:rPr>
              <w:t>common stock - Basic and Diluted</w:t>
            </w:r>
          </w:p>
        </w:tc>
        <w:tc>
          <w:tcPr>
            <w:tcW w:w="3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72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D5DCE4"/>
            </w:tcBorders>
          </w:tcPr>
          <w:p>
            <w:pPr>
              <w:spacing w:after="0" w:line="20" w:lineRule="exact"/>
              <w:rPr>
                <w:sz w:val="1"/>
                <w:szCs w:val="1"/>
                <w:color w:val="auto"/>
              </w:rPr>
            </w:pPr>
          </w:p>
        </w:tc>
        <w:tc>
          <w:tcPr>
            <w:tcW w:w="38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D5DCE4"/>
          </w:tcPr>
          <w:p>
            <w:pPr>
              <w:spacing w:after="0"/>
              <w:rPr>
                <w:sz w:val="15"/>
                <w:szCs w:val="15"/>
                <w:color w:val="auto"/>
              </w:rPr>
            </w:pPr>
          </w:p>
        </w:tc>
        <w:tc>
          <w:tcPr>
            <w:tcW w:w="720" w:type="dxa"/>
            <w:vAlign w:val="bottom"/>
            <w:shd w:val="clear" w:color="auto" w:fill="D5DCE4"/>
          </w:tcPr>
          <w:p>
            <w:pPr>
              <w:spacing w:after="0"/>
              <w:rPr>
                <w:sz w:val="15"/>
                <w:szCs w:val="15"/>
                <w:color w:val="auto"/>
              </w:rPr>
            </w:pPr>
          </w:p>
        </w:tc>
        <w:tc>
          <w:tcPr>
            <w:tcW w:w="140" w:type="dxa"/>
            <w:vAlign w:val="bottom"/>
            <w:shd w:val="clear" w:color="auto" w:fill="D5DCE4"/>
          </w:tcPr>
          <w:p>
            <w:pPr>
              <w:spacing w:after="0"/>
              <w:rPr>
                <w:sz w:val="15"/>
                <w:szCs w:val="15"/>
                <w:color w:val="auto"/>
              </w:rPr>
            </w:pPr>
          </w:p>
        </w:tc>
        <w:tc>
          <w:tcPr>
            <w:tcW w:w="384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300" w:type="dxa"/>
            <w:vAlign w:val="bottom"/>
            <w:shd w:val="clear" w:color="auto" w:fill="D5DCE4"/>
          </w:tcPr>
          <w:p>
            <w:pPr>
              <w:spacing w:after="0"/>
              <w:rPr>
                <w:sz w:val="15"/>
                <w:szCs w:val="15"/>
                <w:color w:val="auto"/>
              </w:rPr>
            </w:pPr>
          </w:p>
        </w:tc>
        <w:tc>
          <w:tcPr>
            <w:tcW w:w="108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80" w:type="dxa"/>
            <w:vAlign w:val="bottom"/>
            <w:shd w:val="clear" w:color="auto" w:fill="D5DCE4"/>
          </w:tcPr>
          <w:p>
            <w:pPr>
              <w:spacing w:after="0"/>
              <w:rPr>
                <w:sz w:val="15"/>
                <w:szCs w:val="15"/>
                <w:color w:val="auto"/>
              </w:rPr>
            </w:pPr>
          </w:p>
        </w:tc>
        <w:tc>
          <w:tcPr>
            <w:tcW w:w="90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300" w:type="dxa"/>
            <w:vAlign w:val="bottom"/>
            <w:shd w:val="clear" w:color="auto" w:fill="D5DCE4"/>
          </w:tcPr>
          <w:p>
            <w:pPr>
              <w:spacing w:after="0"/>
              <w:rPr>
                <w:sz w:val="15"/>
                <w:szCs w:val="15"/>
                <w:color w:val="auto"/>
              </w:rPr>
            </w:pPr>
          </w:p>
        </w:tc>
        <w:tc>
          <w:tcPr>
            <w:tcW w:w="108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500" w:type="dxa"/>
            <w:vAlign w:val="bottom"/>
            <w:shd w:val="clear" w:color="auto" w:fill="D5DCE4"/>
          </w:tcPr>
          <w:p>
            <w:pPr>
              <w:spacing w:after="0"/>
              <w:rPr>
                <w:sz w:val="15"/>
                <w:szCs w:val="15"/>
                <w:color w:val="auto"/>
              </w:rPr>
            </w:pPr>
          </w:p>
        </w:tc>
        <w:tc>
          <w:tcPr>
            <w:tcW w:w="880" w:type="dxa"/>
            <w:vAlign w:val="bottom"/>
            <w:shd w:val="clear" w:color="auto" w:fill="D5DCE4"/>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800" w:type="dxa"/>
            <w:vAlign w:val="bottom"/>
            <w:gridSpan w:val="5"/>
          </w:tcPr>
          <w:p>
            <w:pPr>
              <w:ind w:left="20"/>
              <w:spacing w:after="0"/>
              <w:rPr>
                <w:sz w:val="20"/>
                <w:szCs w:val="20"/>
                <w:color w:val="auto"/>
              </w:rPr>
            </w:pPr>
            <w:r>
              <w:rPr>
                <w:rFonts w:ascii="Arial" w:cs="Arial" w:eastAsia="Arial" w:hAnsi="Arial"/>
                <w:sz w:val="14"/>
                <w:szCs w:val="14"/>
                <w:color w:val="auto"/>
              </w:rPr>
              <w:t>Denominator:</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8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4800" w:type="dxa"/>
            <w:vAlign w:val="bottom"/>
            <w:gridSpan w:val="5"/>
            <w:shd w:val="clear" w:color="auto" w:fill="D5DCE4"/>
          </w:tcPr>
          <w:p>
            <w:pPr>
              <w:ind w:left="20"/>
              <w:spacing w:after="0" w:line="144" w:lineRule="exact"/>
              <w:rPr>
                <w:sz w:val="20"/>
                <w:szCs w:val="20"/>
                <w:color w:val="auto"/>
              </w:rPr>
            </w:pPr>
            <w:r>
              <w:rPr>
                <w:rFonts w:ascii="Arial" w:cs="Arial" w:eastAsia="Arial" w:hAnsi="Arial"/>
                <w:sz w:val="14"/>
                <w:szCs w:val="14"/>
                <w:color w:val="auto"/>
              </w:rPr>
              <w:t>Weighted average shares of Class A and Class B common stock</w:t>
            </w:r>
          </w:p>
        </w:tc>
        <w:tc>
          <w:tcPr>
            <w:tcW w:w="300" w:type="dxa"/>
            <w:vAlign w:val="bottom"/>
            <w:shd w:val="clear" w:color="auto" w:fill="D5DCE4"/>
          </w:tcPr>
          <w:p>
            <w:pPr>
              <w:spacing w:after="0"/>
              <w:rPr>
                <w:sz w:val="12"/>
                <w:szCs w:val="12"/>
                <w:color w:val="auto"/>
              </w:rPr>
            </w:pPr>
          </w:p>
        </w:tc>
        <w:tc>
          <w:tcPr>
            <w:tcW w:w="1080" w:type="dxa"/>
            <w:vAlign w:val="bottom"/>
            <w:vMerge w:val="restart"/>
            <w:shd w:val="clear" w:color="auto" w:fill="D5DCE4"/>
          </w:tcPr>
          <w:p>
            <w:pPr>
              <w:jc w:val="right"/>
              <w:spacing w:after="0"/>
              <w:rPr>
                <w:sz w:val="20"/>
                <w:szCs w:val="20"/>
                <w:color w:val="auto"/>
              </w:rPr>
            </w:pPr>
            <w:r>
              <w:rPr>
                <w:rFonts w:ascii="Arial" w:cs="Arial" w:eastAsia="Arial" w:hAnsi="Arial"/>
                <w:sz w:val="14"/>
                <w:szCs w:val="14"/>
                <w:color w:val="auto"/>
              </w:rPr>
              <w:t>213,359,090</w:t>
            </w:r>
          </w:p>
        </w:tc>
        <w:tc>
          <w:tcPr>
            <w:tcW w:w="80" w:type="dxa"/>
            <w:vAlign w:val="bottom"/>
            <w:shd w:val="clear" w:color="auto" w:fill="D5DCE4"/>
          </w:tcPr>
          <w:p>
            <w:pPr>
              <w:spacing w:after="0"/>
              <w:rPr>
                <w:sz w:val="12"/>
                <w:szCs w:val="12"/>
                <w:color w:val="auto"/>
              </w:rPr>
            </w:pPr>
          </w:p>
        </w:tc>
        <w:tc>
          <w:tcPr>
            <w:tcW w:w="480" w:type="dxa"/>
            <w:vAlign w:val="bottom"/>
            <w:shd w:val="clear" w:color="auto" w:fill="D5DCE4"/>
          </w:tcPr>
          <w:p>
            <w:pPr>
              <w:spacing w:after="0"/>
              <w:rPr>
                <w:sz w:val="12"/>
                <w:szCs w:val="12"/>
                <w:color w:val="auto"/>
              </w:rPr>
            </w:pPr>
          </w:p>
        </w:tc>
        <w:tc>
          <w:tcPr>
            <w:tcW w:w="900" w:type="dxa"/>
            <w:vAlign w:val="bottom"/>
            <w:vMerge w:val="restart"/>
            <w:shd w:val="clear" w:color="auto" w:fill="D5DCE4"/>
          </w:tcPr>
          <w:p>
            <w:pPr>
              <w:jc w:val="right"/>
              <w:spacing w:after="0"/>
              <w:rPr>
                <w:sz w:val="20"/>
                <w:szCs w:val="20"/>
                <w:color w:val="auto"/>
              </w:rPr>
            </w:pPr>
            <w:r>
              <w:rPr>
                <w:rFonts w:ascii="Arial" w:cs="Arial" w:eastAsia="Arial" w:hAnsi="Arial"/>
                <w:sz w:val="14"/>
                <w:szCs w:val="14"/>
                <w:color w:val="auto"/>
              </w:rPr>
              <w:t>213,206,193</w:t>
            </w:r>
          </w:p>
        </w:tc>
        <w:tc>
          <w:tcPr>
            <w:tcW w:w="80" w:type="dxa"/>
            <w:vAlign w:val="bottom"/>
            <w:shd w:val="clear" w:color="auto" w:fill="D5DCE4"/>
          </w:tcPr>
          <w:p>
            <w:pPr>
              <w:spacing w:after="0"/>
              <w:rPr>
                <w:sz w:val="12"/>
                <w:szCs w:val="12"/>
                <w:color w:val="auto"/>
              </w:rPr>
            </w:pPr>
          </w:p>
        </w:tc>
        <w:tc>
          <w:tcPr>
            <w:tcW w:w="300" w:type="dxa"/>
            <w:vAlign w:val="bottom"/>
            <w:shd w:val="clear" w:color="auto" w:fill="D5DCE4"/>
          </w:tcPr>
          <w:p>
            <w:pPr>
              <w:spacing w:after="0"/>
              <w:rPr>
                <w:sz w:val="12"/>
                <w:szCs w:val="12"/>
                <w:color w:val="auto"/>
              </w:rPr>
            </w:pPr>
          </w:p>
        </w:tc>
        <w:tc>
          <w:tcPr>
            <w:tcW w:w="1080" w:type="dxa"/>
            <w:vAlign w:val="bottom"/>
            <w:vMerge w:val="restart"/>
            <w:shd w:val="clear" w:color="auto" w:fill="D5DCE4"/>
          </w:tcPr>
          <w:p>
            <w:pPr>
              <w:jc w:val="right"/>
              <w:spacing w:after="0"/>
              <w:rPr>
                <w:sz w:val="20"/>
                <w:szCs w:val="20"/>
                <w:color w:val="auto"/>
              </w:rPr>
            </w:pPr>
            <w:r>
              <w:rPr>
                <w:rFonts w:ascii="Arial" w:cs="Arial" w:eastAsia="Arial" w:hAnsi="Arial"/>
                <w:sz w:val="14"/>
                <w:szCs w:val="14"/>
                <w:color w:val="auto"/>
              </w:rPr>
              <w:t>213,263,111</w:t>
            </w:r>
          </w:p>
        </w:tc>
        <w:tc>
          <w:tcPr>
            <w:tcW w:w="80" w:type="dxa"/>
            <w:vAlign w:val="bottom"/>
            <w:shd w:val="clear" w:color="auto" w:fill="D5DCE4"/>
          </w:tcPr>
          <w:p>
            <w:pPr>
              <w:spacing w:after="0"/>
              <w:rPr>
                <w:sz w:val="12"/>
                <w:szCs w:val="12"/>
                <w:color w:val="auto"/>
              </w:rPr>
            </w:pPr>
          </w:p>
        </w:tc>
        <w:tc>
          <w:tcPr>
            <w:tcW w:w="500" w:type="dxa"/>
            <w:vAlign w:val="bottom"/>
            <w:shd w:val="clear" w:color="auto" w:fill="D5DCE4"/>
          </w:tcPr>
          <w:p>
            <w:pPr>
              <w:spacing w:after="0"/>
              <w:rPr>
                <w:sz w:val="12"/>
                <w:szCs w:val="12"/>
                <w:color w:val="auto"/>
              </w:rPr>
            </w:pPr>
          </w:p>
        </w:tc>
        <w:tc>
          <w:tcPr>
            <w:tcW w:w="880" w:type="dxa"/>
            <w:vAlign w:val="bottom"/>
            <w:vMerge w:val="restart"/>
            <w:shd w:val="clear" w:color="auto" w:fill="D5DCE4"/>
          </w:tcPr>
          <w:p>
            <w:pPr>
              <w:jc w:val="right"/>
              <w:spacing w:after="0"/>
              <w:rPr>
                <w:sz w:val="20"/>
                <w:szCs w:val="20"/>
                <w:color w:val="auto"/>
              </w:rPr>
            </w:pPr>
            <w:r>
              <w:rPr>
                <w:rFonts w:ascii="Arial" w:cs="Arial" w:eastAsia="Arial" w:hAnsi="Arial"/>
                <w:sz w:val="14"/>
                <w:szCs w:val="14"/>
                <w:color w:val="auto"/>
              </w:rPr>
              <w:t>213,026,732</w:t>
            </w:r>
          </w:p>
        </w:tc>
        <w:tc>
          <w:tcPr>
            <w:tcW w:w="0" w:type="dxa"/>
            <w:vAlign w:val="bottom"/>
          </w:tcPr>
          <w:p>
            <w:pPr>
              <w:spacing w:after="0"/>
              <w:rPr>
                <w:sz w:val="1"/>
                <w:szCs w:val="1"/>
                <w:color w:val="auto"/>
              </w:rPr>
            </w:pPr>
          </w:p>
        </w:tc>
      </w:tr>
      <w:tr>
        <w:trPr>
          <w:trHeight w:val="192"/>
        </w:trPr>
        <w:tc>
          <w:tcPr>
            <w:tcW w:w="4800" w:type="dxa"/>
            <w:vAlign w:val="bottom"/>
            <w:gridSpan w:val="5"/>
            <w:shd w:val="clear" w:color="auto" w:fill="D5DCE4"/>
          </w:tcPr>
          <w:p>
            <w:pPr>
              <w:ind w:left="20"/>
              <w:spacing w:after="0"/>
              <w:rPr>
                <w:sz w:val="20"/>
                <w:szCs w:val="20"/>
                <w:color w:val="auto"/>
              </w:rPr>
            </w:pPr>
            <w:r>
              <w:rPr>
                <w:rFonts w:ascii="Arial" w:cs="Arial" w:eastAsia="Arial" w:hAnsi="Arial"/>
                <w:sz w:val="14"/>
                <w:szCs w:val="14"/>
                <w:color w:val="auto"/>
              </w:rPr>
              <w:t>outstanding - Basic</w:t>
            </w:r>
          </w:p>
        </w:tc>
        <w:tc>
          <w:tcPr>
            <w:tcW w:w="300" w:type="dxa"/>
            <w:vAlign w:val="bottom"/>
            <w:shd w:val="clear" w:color="auto" w:fill="D5DCE4"/>
          </w:tcPr>
          <w:p>
            <w:pPr>
              <w:spacing w:after="0"/>
              <w:rPr>
                <w:sz w:val="16"/>
                <w:szCs w:val="16"/>
                <w:color w:val="auto"/>
              </w:rPr>
            </w:pPr>
          </w:p>
        </w:tc>
        <w:tc>
          <w:tcPr>
            <w:tcW w:w="1080" w:type="dxa"/>
            <w:vAlign w:val="bottom"/>
            <w:vMerge w:val="continue"/>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480" w:type="dxa"/>
            <w:vAlign w:val="bottom"/>
            <w:shd w:val="clear" w:color="auto" w:fill="D5DCE4"/>
          </w:tcPr>
          <w:p>
            <w:pPr>
              <w:spacing w:after="0"/>
              <w:rPr>
                <w:sz w:val="16"/>
                <w:szCs w:val="16"/>
                <w:color w:val="auto"/>
              </w:rPr>
            </w:pPr>
          </w:p>
        </w:tc>
        <w:tc>
          <w:tcPr>
            <w:tcW w:w="900" w:type="dxa"/>
            <w:vAlign w:val="bottom"/>
            <w:vMerge w:val="continue"/>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300" w:type="dxa"/>
            <w:vAlign w:val="bottom"/>
            <w:shd w:val="clear" w:color="auto" w:fill="D5DCE4"/>
          </w:tcPr>
          <w:p>
            <w:pPr>
              <w:spacing w:after="0"/>
              <w:rPr>
                <w:sz w:val="16"/>
                <w:szCs w:val="16"/>
                <w:color w:val="auto"/>
              </w:rPr>
            </w:pPr>
          </w:p>
        </w:tc>
        <w:tc>
          <w:tcPr>
            <w:tcW w:w="1080" w:type="dxa"/>
            <w:vAlign w:val="bottom"/>
            <w:vMerge w:val="continue"/>
            <w:shd w:val="clear" w:color="auto" w:fill="D5DCE4"/>
          </w:tcPr>
          <w:p>
            <w:pPr>
              <w:spacing w:after="0"/>
              <w:rPr>
                <w:sz w:val="16"/>
                <w:szCs w:val="16"/>
                <w:color w:val="auto"/>
              </w:rPr>
            </w:pPr>
          </w:p>
        </w:tc>
        <w:tc>
          <w:tcPr>
            <w:tcW w:w="80" w:type="dxa"/>
            <w:vAlign w:val="bottom"/>
            <w:shd w:val="clear" w:color="auto" w:fill="D5DCE4"/>
          </w:tcPr>
          <w:p>
            <w:pPr>
              <w:spacing w:after="0"/>
              <w:rPr>
                <w:sz w:val="16"/>
                <w:szCs w:val="16"/>
                <w:color w:val="auto"/>
              </w:rPr>
            </w:pPr>
          </w:p>
        </w:tc>
        <w:tc>
          <w:tcPr>
            <w:tcW w:w="500" w:type="dxa"/>
            <w:vAlign w:val="bottom"/>
            <w:shd w:val="clear" w:color="auto" w:fill="D5DCE4"/>
          </w:tcPr>
          <w:p>
            <w:pPr>
              <w:spacing w:after="0"/>
              <w:rPr>
                <w:sz w:val="16"/>
                <w:szCs w:val="16"/>
                <w:color w:val="auto"/>
              </w:rPr>
            </w:pPr>
          </w:p>
        </w:tc>
        <w:tc>
          <w:tcPr>
            <w:tcW w:w="880" w:type="dxa"/>
            <w:vAlign w:val="bottom"/>
            <w:vMerge w:val="continue"/>
            <w:shd w:val="clear" w:color="auto" w:fill="D5DCE4"/>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Arial" w:cs="Arial" w:eastAsia="Arial" w:hAnsi="Arial"/>
                <w:sz w:val="14"/>
                <w:szCs w:val="14"/>
                <w:color w:val="auto"/>
              </w:rPr>
              <w:t>Dilutive effect of PRSUs</w:t>
            </w:r>
          </w:p>
        </w:tc>
        <w:tc>
          <w:tcPr>
            <w:tcW w:w="3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467,912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625,822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451,111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564,996</w:t>
            </w:r>
          </w:p>
        </w:tc>
        <w:tc>
          <w:tcPr>
            <w:tcW w:w="0" w:type="dxa"/>
            <w:vAlign w:val="bottom"/>
          </w:tcPr>
          <w:p>
            <w:pPr>
              <w:spacing w:after="0"/>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4780" w:type="dxa"/>
            <w:vAlign w:val="bottom"/>
            <w:gridSpan w:val="4"/>
            <w:shd w:val="clear" w:color="auto" w:fill="D5DCE4"/>
          </w:tcPr>
          <w:p>
            <w:pPr>
              <w:ind w:left="100"/>
              <w:spacing w:after="0"/>
              <w:rPr>
                <w:sz w:val="20"/>
                <w:szCs w:val="20"/>
                <w:color w:val="auto"/>
              </w:rPr>
            </w:pPr>
            <w:r>
              <w:rPr>
                <w:rFonts w:ascii="Arial" w:cs="Arial" w:eastAsia="Arial" w:hAnsi="Arial"/>
                <w:sz w:val="14"/>
                <w:szCs w:val="14"/>
                <w:color w:val="auto"/>
              </w:rPr>
              <w:t>Dilutive effect of options</w:t>
            </w:r>
          </w:p>
        </w:tc>
        <w:tc>
          <w:tcPr>
            <w:tcW w:w="300" w:type="dxa"/>
            <w:vAlign w:val="bottom"/>
            <w:shd w:val="clear" w:color="auto" w:fill="D5DCE4"/>
          </w:tcPr>
          <w:p>
            <w:pPr>
              <w:spacing w:after="0"/>
              <w:rPr>
                <w:sz w:val="19"/>
                <w:szCs w:val="19"/>
                <w:color w:val="auto"/>
              </w:rPr>
            </w:pP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288,067</w:t>
            </w:r>
          </w:p>
        </w:tc>
        <w:tc>
          <w:tcPr>
            <w:tcW w:w="80" w:type="dxa"/>
            <w:vAlign w:val="bottom"/>
            <w:shd w:val="clear" w:color="auto" w:fill="D5DCE4"/>
          </w:tcPr>
          <w:p>
            <w:pPr>
              <w:spacing w:after="0"/>
              <w:rPr>
                <w:sz w:val="19"/>
                <w:szCs w:val="19"/>
                <w:color w:val="auto"/>
              </w:rPr>
            </w:pPr>
          </w:p>
        </w:tc>
        <w:tc>
          <w:tcPr>
            <w:tcW w:w="480" w:type="dxa"/>
            <w:vAlign w:val="bottom"/>
            <w:shd w:val="clear" w:color="auto" w:fill="D5DCE4"/>
          </w:tcPr>
          <w:p>
            <w:pPr>
              <w:spacing w:after="0"/>
              <w:rPr>
                <w:sz w:val="19"/>
                <w:szCs w:val="19"/>
                <w:color w:val="auto"/>
              </w:rPr>
            </w:pP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363,623</w:t>
            </w:r>
          </w:p>
        </w:tc>
        <w:tc>
          <w:tcPr>
            <w:tcW w:w="80" w:type="dxa"/>
            <w:vAlign w:val="bottom"/>
            <w:shd w:val="clear" w:color="auto" w:fill="D5DCE4"/>
          </w:tcPr>
          <w:p>
            <w:pPr>
              <w:spacing w:after="0"/>
              <w:rPr>
                <w:sz w:val="19"/>
                <w:szCs w:val="19"/>
                <w:color w:val="auto"/>
              </w:rPr>
            </w:pPr>
          </w:p>
        </w:tc>
        <w:tc>
          <w:tcPr>
            <w:tcW w:w="300" w:type="dxa"/>
            <w:vAlign w:val="bottom"/>
            <w:shd w:val="clear" w:color="auto" w:fill="D5DCE4"/>
          </w:tcPr>
          <w:p>
            <w:pPr>
              <w:spacing w:after="0"/>
              <w:rPr>
                <w:sz w:val="19"/>
                <w:szCs w:val="19"/>
                <w:color w:val="auto"/>
              </w:rPr>
            </w:pPr>
          </w:p>
        </w:tc>
        <w:tc>
          <w:tcPr>
            <w:tcW w:w="10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290,111</w:t>
            </w:r>
          </w:p>
        </w:tc>
        <w:tc>
          <w:tcPr>
            <w:tcW w:w="80" w:type="dxa"/>
            <w:vAlign w:val="bottom"/>
            <w:shd w:val="clear" w:color="auto" w:fill="D5DCE4"/>
          </w:tcPr>
          <w:p>
            <w:pPr>
              <w:spacing w:after="0"/>
              <w:rPr>
                <w:sz w:val="19"/>
                <w:szCs w:val="19"/>
                <w:color w:val="auto"/>
              </w:rPr>
            </w:pPr>
          </w:p>
        </w:tc>
        <w:tc>
          <w:tcPr>
            <w:tcW w:w="500" w:type="dxa"/>
            <w:vAlign w:val="bottom"/>
            <w:shd w:val="clear" w:color="auto" w:fill="D5DCE4"/>
          </w:tcPr>
          <w:p>
            <w:pPr>
              <w:spacing w:after="0"/>
              <w:rPr>
                <w:sz w:val="19"/>
                <w:szCs w:val="19"/>
                <w:color w:val="auto"/>
              </w:rPr>
            </w:pP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470,816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80" w:type="dxa"/>
            <w:vAlign w:val="bottom"/>
            <w:gridSpan w:val="4"/>
          </w:tcPr>
          <w:p>
            <w:pPr>
              <w:ind w:left="100"/>
              <w:spacing w:after="0"/>
              <w:rPr>
                <w:sz w:val="20"/>
                <w:szCs w:val="20"/>
                <w:color w:val="auto"/>
              </w:rPr>
            </w:pPr>
            <w:r>
              <w:rPr>
                <w:rFonts w:ascii="Arial" w:cs="Arial" w:eastAsia="Arial" w:hAnsi="Arial"/>
                <w:sz w:val="14"/>
                <w:szCs w:val="14"/>
                <w:color w:val="auto"/>
              </w:rPr>
              <w:t>Dilutive effect of RSUs and RSAs</w:t>
            </w:r>
          </w:p>
        </w:tc>
        <w:tc>
          <w:tcPr>
            <w:tcW w:w="300" w:type="dxa"/>
            <w:vAlign w:val="bottom"/>
          </w:tcPr>
          <w:p>
            <w:pPr>
              <w:spacing w:after="0"/>
              <w:rPr>
                <w:sz w:val="18"/>
                <w:szCs w:val="18"/>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353,785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405,562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412,545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367,375</w:t>
            </w:r>
          </w:p>
        </w:tc>
        <w:tc>
          <w:tcPr>
            <w:tcW w:w="0" w:type="dxa"/>
            <w:vAlign w:val="bottom"/>
          </w:tcPr>
          <w:p>
            <w:pPr>
              <w:spacing w:after="0"/>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4780" w:type="dxa"/>
            <w:vAlign w:val="bottom"/>
            <w:gridSpan w:val="4"/>
            <w:shd w:val="clear" w:color="auto" w:fill="D5DCE4"/>
          </w:tcPr>
          <w:p>
            <w:pPr>
              <w:ind w:left="100"/>
              <w:spacing w:after="0"/>
              <w:rPr>
                <w:sz w:val="20"/>
                <w:szCs w:val="20"/>
                <w:color w:val="auto"/>
              </w:rPr>
            </w:pPr>
            <w:r>
              <w:rPr>
                <w:rFonts w:ascii="Arial" w:cs="Arial" w:eastAsia="Arial" w:hAnsi="Arial"/>
                <w:sz w:val="14"/>
                <w:szCs w:val="14"/>
                <w:color w:val="auto"/>
              </w:rPr>
              <w:t>Dilutive effect of PSUs</w:t>
            </w:r>
          </w:p>
        </w:tc>
        <w:tc>
          <w:tcPr>
            <w:tcW w:w="300" w:type="dxa"/>
            <w:vAlign w:val="bottom"/>
            <w:tcBorders>
              <w:bottom w:val="single" w:sz="8" w:color="auto"/>
            </w:tcBorders>
            <w:shd w:val="clear" w:color="auto" w:fill="D5DCE4"/>
          </w:tcPr>
          <w:p>
            <w:pPr>
              <w:spacing w:after="0"/>
              <w:rPr>
                <w:sz w:val="19"/>
                <w:szCs w:val="19"/>
                <w:color w:val="auto"/>
              </w:rPr>
            </w:pPr>
          </w:p>
        </w:tc>
        <w:tc>
          <w:tcPr>
            <w:tcW w:w="1080" w:type="dxa"/>
            <w:vAlign w:val="bottom"/>
            <w:tcBorders>
              <w:bottom w:val="single" w:sz="8" w:color="auto"/>
            </w:tcBorders>
            <w:shd w:val="clear" w:color="auto" w:fill="D5DCE4"/>
          </w:tcPr>
          <w:p>
            <w:pPr>
              <w:jc w:val="right"/>
              <w:ind w:right="8"/>
              <w:spacing w:after="0"/>
              <w:rPr>
                <w:sz w:val="20"/>
                <w:szCs w:val="20"/>
                <w:color w:val="auto"/>
              </w:rPr>
            </w:pPr>
            <w:r>
              <w:rPr>
                <w:rFonts w:ascii="Arial" w:cs="Arial" w:eastAsia="Arial" w:hAnsi="Arial"/>
                <w:sz w:val="14"/>
                <w:szCs w:val="14"/>
                <w:color w:val="auto"/>
              </w:rPr>
              <w:t>514,632</w:t>
            </w:r>
          </w:p>
        </w:tc>
        <w:tc>
          <w:tcPr>
            <w:tcW w:w="80" w:type="dxa"/>
            <w:vAlign w:val="bottom"/>
            <w:shd w:val="clear" w:color="auto" w:fill="D5DCE4"/>
          </w:tcPr>
          <w:p>
            <w:pPr>
              <w:spacing w:after="0"/>
              <w:rPr>
                <w:sz w:val="19"/>
                <w:szCs w:val="19"/>
                <w:color w:val="auto"/>
              </w:rPr>
            </w:pPr>
          </w:p>
        </w:tc>
        <w:tc>
          <w:tcPr>
            <w:tcW w:w="48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495,774</w:t>
            </w:r>
          </w:p>
        </w:tc>
        <w:tc>
          <w:tcPr>
            <w:tcW w:w="80" w:type="dxa"/>
            <w:vAlign w:val="bottom"/>
            <w:shd w:val="clear" w:color="auto" w:fill="D5DCE4"/>
          </w:tcPr>
          <w:p>
            <w:pPr>
              <w:spacing w:after="0"/>
              <w:rPr>
                <w:sz w:val="19"/>
                <w:szCs w:val="19"/>
                <w:color w:val="auto"/>
              </w:rPr>
            </w:pPr>
          </w:p>
        </w:tc>
        <w:tc>
          <w:tcPr>
            <w:tcW w:w="300" w:type="dxa"/>
            <w:vAlign w:val="bottom"/>
            <w:tcBorders>
              <w:bottom w:val="single" w:sz="8" w:color="auto"/>
            </w:tcBorders>
            <w:shd w:val="clear" w:color="auto" w:fill="D5DCE4"/>
          </w:tcPr>
          <w:p>
            <w:pPr>
              <w:spacing w:after="0"/>
              <w:rPr>
                <w:sz w:val="19"/>
                <w:szCs w:val="19"/>
                <w:color w:val="auto"/>
              </w:rPr>
            </w:pPr>
          </w:p>
        </w:tc>
        <w:tc>
          <w:tcPr>
            <w:tcW w:w="10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534,401</w:t>
            </w:r>
          </w:p>
        </w:tc>
        <w:tc>
          <w:tcPr>
            <w:tcW w:w="80" w:type="dxa"/>
            <w:vAlign w:val="bottom"/>
            <w:shd w:val="clear" w:color="auto" w:fill="D5DCE4"/>
          </w:tcPr>
          <w:p>
            <w:pPr>
              <w:spacing w:after="0"/>
              <w:rPr>
                <w:sz w:val="19"/>
                <w:szCs w:val="19"/>
                <w:color w:val="auto"/>
              </w:rPr>
            </w:pPr>
          </w:p>
        </w:tc>
        <w:tc>
          <w:tcPr>
            <w:tcW w:w="500" w:type="dxa"/>
            <w:vAlign w:val="bottom"/>
            <w:tcBorders>
              <w:bottom w:val="single" w:sz="8" w:color="auto"/>
            </w:tcBorders>
            <w:shd w:val="clear" w:color="auto" w:fill="D5DCE4"/>
          </w:tcPr>
          <w:p>
            <w:pPr>
              <w:spacing w:after="0"/>
              <w:rPr>
                <w:sz w:val="19"/>
                <w:szCs w:val="19"/>
                <w:color w:val="auto"/>
              </w:rPr>
            </w:pPr>
          </w:p>
        </w:tc>
        <w:tc>
          <w:tcPr>
            <w:tcW w:w="8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455,291</w:t>
            </w:r>
          </w:p>
        </w:tc>
        <w:tc>
          <w:tcPr>
            <w:tcW w:w="0" w:type="dxa"/>
            <w:vAlign w:val="bottom"/>
          </w:tcPr>
          <w:p>
            <w:pPr>
              <w:spacing w:after="0"/>
              <w:rPr>
                <w:sz w:val="1"/>
                <w:szCs w:val="1"/>
                <w:color w:val="auto"/>
              </w:rPr>
            </w:pPr>
          </w:p>
        </w:tc>
      </w:tr>
      <w:tr>
        <w:trPr>
          <w:trHeight w:val="124"/>
        </w:trPr>
        <w:tc>
          <w:tcPr>
            <w:tcW w:w="4800" w:type="dxa"/>
            <w:vAlign w:val="bottom"/>
            <w:gridSpan w:val="5"/>
          </w:tcPr>
          <w:p>
            <w:pPr>
              <w:ind w:left="20"/>
              <w:spacing w:after="0" w:line="124" w:lineRule="exact"/>
              <w:rPr>
                <w:sz w:val="20"/>
                <w:szCs w:val="20"/>
                <w:color w:val="auto"/>
              </w:rPr>
            </w:pPr>
            <w:r>
              <w:rPr>
                <w:rFonts w:ascii="Arial" w:cs="Arial" w:eastAsia="Arial" w:hAnsi="Arial"/>
                <w:sz w:val="14"/>
                <w:szCs w:val="14"/>
                <w:color w:val="auto"/>
              </w:rPr>
              <w:t>Weighted average shares of Class A and Class B common stock</w:t>
            </w: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214,983,486</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215,096,974</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214,951,279</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214,885,210</w:t>
            </w:r>
          </w:p>
        </w:tc>
        <w:tc>
          <w:tcPr>
            <w:tcW w:w="0" w:type="dxa"/>
            <w:vAlign w:val="bottom"/>
          </w:tcPr>
          <w:p>
            <w:pPr>
              <w:spacing w:after="0"/>
              <w:rPr>
                <w:sz w:val="1"/>
                <w:szCs w:val="1"/>
                <w:color w:val="auto"/>
              </w:rPr>
            </w:pPr>
          </w:p>
        </w:tc>
      </w:tr>
      <w:tr>
        <w:trPr>
          <w:trHeight w:val="168"/>
        </w:trPr>
        <w:tc>
          <w:tcPr>
            <w:tcW w:w="4800" w:type="dxa"/>
            <w:vAlign w:val="bottom"/>
            <w:gridSpan w:val="5"/>
          </w:tcPr>
          <w:p>
            <w:pPr>
              <w:ind w:left="20"/>
              <w:spacing w:after="0"/>
              <w:rPr>
                <w:sz w:val="20"/>
                <w:szCs w:val="20"/>
                <w:color w:val="auto"/>
              </w:rPr>
            </w:pPr>
            <w:r>
              <w:rPr>
                <w:rFonts w:ascii="Arial" w:cs="Arial" w:eastAsia="Arial" w:hAnsi="Arial"/>
                <w:sz w:val="14"/>
                <w:szCs w:val="14"/>
                <w:color w:val="auto"/>
              </w:rPr>
              <w:t>outstanding - Diluted</w:t>
            </w: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72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D5DCE4"/>
            </w:tcBorders>
          </w:tcPr>
          <w:p>
            <w:pPr>
              <w:spacing w:after="0" w:line="20" w:lineRule="exact"/>
              <w:rPr>
                <w:sz w:val="1"/>
                <w:szCs w:val="1"/>
                <w:color w:val="auto"/>
              </w:rPr>
            </w:pPr>
          </w:p>
        </w:tc>
        <w:tc>
          <w:tcPr>
            <w:tcW w:w="38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shd w:val="clear" w:color="auto" w:fill="D5DCE4"/>
          </w:tcPr>
          <w:p>
            <w:pPr>
              <w:spacing w:after="0"/>
              <w:rPr>
                <w:sz w:val="15"/>
                <w:szCs w:val="15"/>
                <w:color w:val="auto"/>
              </w:rPr>
            </w:pPr>
          </w:p>
        </w:tc>
        <w:tc>
          <w:tcPr>
            <w:tcW w:w="720" w:type="dxa"/>
            <w:vAlign w:val="bottom"/>
            <w:shd w:val="clear" w:color="auto" w:fill="D5DCE4"/>
          </w:tcPr>
          <w:p>
            <w:pPr>
              <w:spacing w:after="0"/>
              <w:rPr>
                <w:sz w:val="15"/>
                <w:szCs w:val="15"/>
                <w:color w:val="auto"/>
              </w:rPr>
            </w:pPr>
          </w:p>
        </w:tc>
        <w:tc>
          <w:tcPr>
            <w:tcW w:w="140" w:type="dxa"/>
            <w:vAlign w:val="bottom"/>
            <w:shd w:val="clear" w:color="auto" w:fill="D5DCE4"/>
          </w:tcPr>
          <w:p>
            <w:pPr>
              <w:spacing w:after="0"/>
              <w:rPr>
                <w:sz w:val="15"/>
                <w:szCs w:val="15"/>
                <w:color w:val="auto"/>
              </w:rPr>
            </w:pPr>
          </w:p>
        </w:tc>
        <w:tc>
          <w:tcPr>
            <w:tcW w:w="384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300" w:type="dxa"/>
            <w:vAlign w:val="bottom"/>
            <w:shd w:val="clear" w:color="auto" w:fill="D5DCE4"/>
          </w:tcPr>
          <w:p>
            <w:pPr>
              <w:spacing w:after="0"/>
              <w:rPr>
                <w:sz w:val="15"/>
                <w:szCs w:val="15"/>
                <w:color w:val="auto"/>
              </w:rPr>
            </w:pPr>
          </w:p>
        </w:tc>
        <w:tc>
          <w:tcPr>
            <w:tcW w:w="108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480" w:type="dxa"/>
            <w:vAlign w:val="bottom"/>
            <w:shd w:val="clear" w:color="auto" w:fill="D5DCE4"/>
          </w:tcPr>
          <w:p>
            <w:pPr>
              <w:spacing w:after="0"/>
              <w:rPr>
                <w:sz w:val="15"/>
                <w:szCs w:val="15"/>
                <w:color w:val="auto"/>
              </w:rPr>
            </w:pPr>
          </w:p>
        </w:tc>
        <w:tc>
          <w:tcPr>
            <w:tcW w:w="90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300" w:type="dxa"/>
            <w:vAlign w:val="bottom"/>
            <w:shd w:val="clear" w:color="auto" w:fill="D5DCE4"/>
          </w:tcPr>
          <w:p>
            <w:pPr>
              <w:spacing w:after="0"/>
              <w:rPr>
                <w:sz w:val="15"/>
                <w:szCs w:val="15"/>
                <w:color w:val="auto"/>
              </w:rPr>
            </w:pPr>
          </w:p>
        </w:tc>
        <w:tc>
          <w:tcPr>
            <w:tcW w:w="1080" w:type="dxa"/>
            <w:vAlign w:val="bottom"/>
            <w:shd w:val="clear" w:color="auto" w:fill="D5DCE4"/>
          </w:tcPr>
          <w:p>
            <w:pPr>
              <w:spacing w:after="0"/>
              <w:rPr>
                <w:sz w:val="15"/>
                <w:szCs w:val="15"/>
                <w:color w:val="auto"/>
              </w:rPr>
            </w:pPr>
          </w:p>
        </w:tc>
        <w:tc>
          <w:tcPr>
            <w:tcW w:w="80" w:type="dxa"/>
            <w:vAlign w:val="bottom"/>
            <w:shd w:val="clear" w:color="auto" w:fill="D5DCE4"/>
          </w:tcPr>
          <w:p>
            <w:pPr>
              <w:spacing w:after="0"/>
              <w:rPr>
                <w:sz w:val="15"/>
                <w:szCs w:val="15"/>
                <w:color w:val="auto"/>
              </w:rPr>
            </w:pPr>
          </w:p>
        </w:tc>
        <w:tc>
          <w:tcPr>
            <w:tcW w:w="500" w:type="dxa"/>
            <w:vAlign w:val="bottom"/>
            <w:shd w:val="clear" w:color="auto" w:fill="D5DCE4"/>
          </w:tcPr>
          <w:p>
            <w:pPr>
              <w:spacing w:after="0"/>
              <w:rPr>
                <w:sz w:val="15"/>
                <w:szCs w:val="15"/>
                <w:color w:val="auto"/>
              </w:rPr>
            </w:pPr>
          </w:p>
        </w:tc>
        <w:tc>
          <w:tcPr>
            <w:tcW w:w="880" w:type="dxa"/>
            <w:vAlign w:val="bottom"/>
            <w:shd w:val="clear" w:color="auto" w:fill="D5DCE4"/>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00" w:type="dxa"/>
            <w:vAlign w:val="bottom"/>
            <w:gridSpan w:val="5"/>
          </w:tcPr>
          <w:p>
            <w:pPr>
              <w:ind w:left="20"/>
              <w:spacing w:after="0"/>
              <w:rPr>
                <w:sz w:val="20"/>
                <w:szCs w:val="20"/>
                <w:color w:val="auto"/>
              </w:rPr>
            </w:pPr>
            <w:r>
              <w:rPr>
                <w:rFonts w:ascii="Arial" w:cs="Arial" w:eastAsia="Arial" w:hAnsi="Arial"/>
                <w:sz w:val="14"/>
                <w:szCs w:val="14"/>
                <w:color w:val="auto"/>
              </w:rPr>
              <w:t>Earnings per share - Basic</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0.87</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0.53</w:t>
            </w: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2.29</w:t>
            </w:r>
          </w:p>
        </w:tc>
        <w:tc>
          <w:tcPr>
            <w:tcW w:w="58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720" w:type="dxa"/>
            <w:vAlign w:val="bottom"/>
            <w:tcBorders>
              <w:bottom w:val="single" w:sz="8" w:color="D5DCE4"/>
            </w:tcBorders>
          </w:tcPr>
          <w:p>
            <w:pPr>
              <w:spacing w:after="0" w:line="20" w:lineRule="exact"/>
              <w:rPr>
                <w:sz w:val="1"/>
                <w:szCs w:val="1"/>
                <w:color w:val="auto"/>
              </w:rPr>
            </w:pPr>
          </w:p>
        </w:tc>
        <w:tc>
          <w:tcPr>
            <w:tcW w:w="140" w:type="dxa"/>
            <w:vAlign w:val="bottom"/>
            <w:tcBorders>
              <w:bottom w:val="single" w:sz="8" w:color="D5DCE4"/>
            </w:tcBorders>
          </w:tcPr>
          <w:p>
            <w:pPr>
              <w:spacing w:after="0" w:line="20" w:lineRule="exact"/>
              <w:rPr>
                <w:sz w:val="1"/>
                <w:szCs w:val="1"/>
                <w:color w:val="auto"/>
              </w:rPr>
            </w:pPr>
          </w:p>
        </w:tc>
        <w:tc>
          <w:tcPr>
            <w:tcW w:w="384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00" w:type="dxa"/>
            <w:vAlign w:val="bottom"/>
            <w:gridSpan w:val="5"/>
            <w:shd w:val="clear" w:color="auto" w:fill="D5DCE4"/>
          </w:tcPr>
          <w:p>
            <w:pPr>
              <w:ind w:left="20"/>
              <w:spacing w:after="0"/>
              <w:rPr>
                <w:sz w:val="20"/>
                <w:szCs w:val="20"/>
                <w:color w:val="auto"/>
              </w:rPr>
            </w:pPr>
            <w:r>
              <w:rPr>
                <w:rFonts w:ascii="Arial" w:cs="Arial" w:eastAsia="Arial" w:hAnsi="Arial"/>
                <w:sz w:val="14"/>
                <w:szCs w:val="14"/>
                <w:color w:val="auto"/>
              </w:rPr>
              <w:t>Earnings per share - Diluted</w:t>
            </w:r>
          </w:p>
        </w:tc>
        <w:tc>
          <w:tcPr>
            <w:tcW w:w="300" w:type="dxa"/>
            <w:vAlign w:val="bottom"/>
            <w:shd w:val="clear" w:color="auto" w:fill="D5DCE4"/>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0.86</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0.53</w:t>
            </w:r>
          </w:p>
        </w:tc>
        <w:tc>
          <w:tcPr>
            <w:tcW w:w="380" w:type="dxa"/>
            <w:vAlign w:val="bottom"/>
            <w:gridSpan w:val="2"/>
            <w:shd w:val="clear" w:color="auto" w:fill="D5DCE4"/>
          </w:tcPr>
          <w:p>
            <w:pPr>
              <w:jc w:val="right"/>
              <w:ind w:right="200"/>
              <w:spacing w:after="0"/>
              <w:rPr>
                <w:sz w:val="20"/>
                <w:szCs w:val="20"/>
                <w:color w:val="auto"/>
              </w:rPr>
            </w:pPr>
            <w:r>
              <w:rPr>
                <w:rFonts w:ascii="Arial" w:cs="Arial" w:eastAsia="Arial" w:hAnsi="Arial"/>
                <w:sz w:val="14"/>
                <w:szCs w:val="14"/>
                <w:color w:val="auto"/>
              </w:rPr>
              <w:t>$</w:t>
            </w:r>
          </w:p>
        </w:tc>
        <w:tc>
          <w:tcPr>
            <w:tcW w:w="10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2.27</w:t>
            </w:r>
          </w:p>
        </w:tc>
        <w:tc>
          <w:tcPr>
            <w:tcW w:w="580" w:type="dxa"/>
            <w:vAlign w:val="bottom"/>
            <w:gridSpan w:val="2"/>
            <w:shd w:val="clear" w:color="auto" w:fill="D5DCE4"/>
          </w:tcPr>
          <w:p>
            <w:pPr>
              <w:jc w:val="right"/>
              <w:ind w:right="400"/>
              <w:spacing w:after="0"/>
              <w:rPr>
                <w:sz w:val="20"/>
                <w:szCs w:val="20"/>
                <w:color w:val="auto"/>
              </w:rPr>
            </w:pPr>
            <w:r>
              <w:rPr>
                <w:rFonts w:ascii="Arial" w:cs="Arial" w:eastAsia="Arial" w:hAnsi="Arial"/>
                <w:sz w:val="14"/>
                <w:szCs w:val="14"/>
                <w:color w:val="auto"/>
              </w:rPr>
              <w:t>$</w:t>
            </w:r>
          </w:p>
        </w:tc>
        <w:tc>
          <w:tcPr>
            <w:tcW w:w="8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72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384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6" w:lineRule="exact"/>
        <w:rPr>
          <w:sz w:val="20"/>
          <w:szCs w:val="20"/>
          <w:color w:val="auto"/>
        </w:rPr>
      </w:pPr>
    </w:p>
    <w:p>
      <w:pPr>
        <w:ind w:left="440"/>
        <w:spacing w:after="0"/>
        <w:rPr>
          <w:sz w:val="20"/>
          <w:szCs w:val="20"/>
          <w:color w:val="auto"/>
        </w:rPr>
      </w:pPr>
      <w:r>
        <w:rPr>
          <w:rFonts w:ascii="Arial" w:cs="Arial" w:eastAsia="Arial" w:hAnsi="Arial"/>
          <w:sz w:val="11"/>
          <w:szCs w:val="11"/>
          <w:color w:val="auto"/>
        </w:rPr>
        <w:t>During the three months ended September 30, 2025 and 2024, there was a total of 159,088 and 126,903, respectively, and during the nine months ended September 30, 2025 and 2024, there were a total of</w:t>
      </w:r>
    </w:p>
    <w:p>
      <w:pPr>
        <w:spacing w:after="0" w:line="4" w:lineRule="exact"/>
        <w:rPr>
          <w:sz w:val="20"/>
          <w:szCs w:val="20"/>
          <w:color w:val="auto"/>
        </w:rPr>
      </w:pPr>
    </w:p>
    <w:p>
      <w:pPr>
        <w:ind w:left="440" w:right="60" w:hanging="422"/>
        <w:spacing w:after="0" w:line="238" w:lineRule="auto"/>
        <w:tabs>
          <w:tab w:leader="none" w:pos="440" w:val="left"/>
        </w:tabs>
        <w:numPr>
          <w:ilvl w:val="0"/>
          <w:numId w:val="12"/>
        </w:numPr>
        <w:rPr>
          <w:rFonts w:ascii="Arial" w:cs="Arial" w:eastAsia="Arial" w:hAnsi="Arial"/>
          <w:sz w:val="11"/>
          <w:szCs w:val="11"/>
          <w:color w:val="auto"/>
        </w:rPr>
      </w:pPr>
      <w:r>
        <w:rPr>
          <w:rFonts w:ascii="Arial" w:cs="Arial" w:eastAsia="Arial" w:hAnsi="Arial"/>
          <w:sz w:val="11"/>
          <w:szCs w:val="11"/>
          <w:color w:val="auto"/>
        </w:rPr>
        <w:t>165,713 and 137,252, respectively, weighted average unvested or unsettled vested stock awards that were considered a participating security for purposes of calculating earnings per share in accordance with the two-class method.</w:t>
      </w: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REVENUES BY ASSET CLASS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4"/>
          </w:tcPr>
          <w:p>
            <w:pPr>
              <w:jc w:val="right"/>
              <w:ind w:right="188"/>
              <w:spacing w:after="0"/>
              <w:rPr>
                <w:sz w:val="20"/>
                <w:szCs w:val="20"/>
                <w:color w:val="auto"/>
              </w:rPr>
            </w:pPr>
            <w:r>
              <w:rPr>
                <w:rFonts w:ascii="Arial" w:cs="Arial" w:eastAsia="Arial" w:hAnsi="Arial"/>
                <w:sz w:val="13"/>
                <w:szCs w:val="13"/>
                <w:b w:val="1"/>
                <w:bCs w:val="1"/>
                <w:color w:val="auto"/>
              </w:rPr>
              <w:t>Three Months Ended</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08"/>
        </w:trPr>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3"/>
                <w:szCs w:val="13"/>
                <w:b w:val="1"/>
                <w:bCs w:val="1"/>
                <w:color w:val="auto"/>
              </w:rPr>
              <w:t>September 30,</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8"/>
        </w:trPr>
        <w:tc>
          <w:tcPr>
            <w:tcW w:w="2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96"/>
              </w:rPr>
              <w:t>2025</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w w:val="89"/>
              </w:rPr>
              <w:t>2024</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 Change</w:t>
            </w:r>
          </w:p>
        </w:tc>
        <w:tc>
          <w:tcPr>
            <w:tcW w:w="180" w:type="dxa"/>
            <w:vAlign w:val="bottom"/>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Change</w:t>
            </w:r>
          </w:p>
        </w:tc>
        <w:tc>
          <w:tcPr>
            <w:tcW w:w="680" w:type="dxa"/>
            <w:vAlign w:val="bottom"/>
            <w:tcBorders>
              <w:bottom w:val="single" w:sz="8" w:color="auto"/>
            </w:tcBorders>
          </w:tcPr>
          <w:p>
            <w:pPr>
              <w:spacing w:after="0"/>
              <w:rPr>
                <w:sz w:val="17"/>
                <w:szCs w:val="17"/>
                <w:color w:val="auto"/>
              </w:rPr>
            </w:pPr>
          </w:p>
        </w:tc>
      </w:tr>
      <w:tr>
        <w:trPr>
          <w:trHeight w:val="211"/>
        </w:trPr>
        <w:tc>
          <w:tcPr>
            <w:tcW w:w="218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Pr>
          <w:p>
            <w:pPr>
              <w:spacing w:after="0"/>
              <w:rPr>
                <w:sz w:val="18"/>
                <w:szCs w:val="18"/>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Variable</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89"/>
              <w:spacing w:after="0"/>
              <w:rPr>
                <w:sz w:val="20"/>
                <w:szCs w:val="20"/>
                <w:color w:val="auto"/>
              </w:rPr>
            </w:pPr>
            <w:r>
              <w:rPr>
                <w:rFonts w:ascii="Arial" w:cs="Arial" w:eastAsia="Arial" w:hAnsi="Arial"/>
                <w:sz w:val="14"/>
                <w:szCs w:val="14"/>
                <w:b w:val="1"/>
                <w:bCs w:val="1"/>
                <w:color w:val="auto"/>
              </w:rPr>
              <w:t>Fixed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Variable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Variable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Fixed</w:t>
            </w:r>
          </w:p>
        </w:tc>
        <w:tc>
          <w:tcPr>
            <w:tcW w:w="180" w:type="dxa"/>
            <w:vAlign w:val="bottom"/>
          </w:tcPr>
          <w:p>
            <w:pPr>
              <w:spacing w:after="0"/>
              <w:rPr>
                <w:sz w:val="18"/>
                <w:szCs w:val="18"/>
                <w:color w:val="auto"/>
              </w:rPr>
            </w:pPr>
          </w:p>
        </w:tc>
        <w:tc>
          <w:tcPr>
            <w:tcW w:w="1440" w:type="dxa"/>
            <w:vAlign w:val="bottom"/>
          </w:tcPr>
          <w:p>
            <w:pPr>
              <w:jc w:val="right"/>
              <w:ind w:right="548"/>
              <w:spacing w:after="0"/>
              <w:rPr>
                <w:sz w:val="20"/>
                <w:szCs w:val="20"/>
                <w:color w:val="auto"/>
              </w:rPr>
            </w:pPr>
            <w:r>
              <w:rPr>
                <w:rFonts w:ascii="Arial" w:cs="Arial" w:eastAsia="Arial" w:hAnsi="Arial"/>
                <w:sz w:val="14"/>
                <w:szCs w:val="14"/>
                <w:b w:val="1"/>
                <w:bCs w:val="1"/>
                <w:color w:val="auto"/>
              </w:rPr>
              <w:t>Variable</w:t>
            </w: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w w:val="98"/>
              </w:rPr>
              <w:t>Fixed</w:t>
            </w:r>
          </w:p>
        </w:tc>
      </w:tr>
      <w:tr>
        <w:trPr>
          <w:trHeight w:val="208"/>
        </w:trPr>
        <w:tc>
          <w:tcPr>
            <w:tcW w:w="2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r>
      <w:tr>
        <w:trPr>
          <w:trHeight w:val="219"/>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Rates</w:t>
            </w:r>
          </w:p>
        </w:tc>
        <w:tc>
          <w:tcPr>
            <w:tcW w:w="1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203,409</w:t>
            </w:r>
          </w:p>
        </w:tc>
        <w:tc>
          <w:tcPr>
            <w:tcW w:w="420" w:type="dxa"/>
            <w:vAlign w:val="bottom"/>
            <w:gridSpan w:val="3"/>
            <w:shd w:val="clear" w:color="auto" w:fill="D5DCE4"/>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71,088</w:t>
            </w:r>
          </w:p>
        </w:tc>
        <w:tc>
          <w:tcPr>
            <w:tcW w:w="240" w:type="dxa"/>
            <w:vAlign w:val="bottom"/>
            <w:gridSpan w:val="2"/>
            <w:shd w:val="clear" w:color="auto" w:fill="D5DCE4"/>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173,698</w:t>
            </w:r>
          </w:p>
        </w:tc>
        <w:tc>
          <w:tcPr>
            <w:tcW w:w="400" w:type="dxa"/>
            <w:vAlign w:val="bottom"/>
            <w:gridSpan w:val="3"/>
            <w:shd w:val="clear" w:color="auto" w:fill="D5DCE4"/>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59,424</w:t>
            </w:r>
          </w:p>
        </w:tc>
        <w:tc>
          <w:tcPr>
            <w:tcW w:w="320" w:type="dxa"/>
            <w:vAlign w:val="bottom"/>
            <w:gridSpan w:val="2"/>
            <w:shd w:val="clear" w:color="auto" w:fill="D5DCE4"/>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29,711</w:t>
            </w:r>
          </w:p>
        </w:tc>
        <w:tc>
          <w:tcPr>
            <w:tcW w:w="260" w:type="dxa"/>
            <w:vAlign w:val="bottom"/>
            <w:gridSpan w:val="2"/>
            <w:shd w:val="clear" w:color="auto" w:fill="D5DCE4"/>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11,664</w:t>
            </w:r>
          </w:p>
        </w:tc>
        <w:tc>
          <w:tcPr>
            <w:tcW w:w="1620" w:type="dxa"/>
            <w:vAlign w:val="bottom"/>
            <w:gridSpan w:val="2"/>
            <w:shd w:val="clear" w:color="auto" w:fill="D5DCE4"/>
          </w:tcPr>
          <w:p>
            <w:pPr>
              <w:jc w:val="right"/>
              <w:ind w:right="328"/>
              <w:spacing w:after="0"/>
              <w:rPr>
                <w:sz w:val="20"/>
                <w:szCs w:val="20"/>
                <w:color w:val="auto"/>
              </w:rPr>
            </w:pPr>
            <w:r>
              <w:rPr>
                <w:rFonts w:ascii="Arial" w:cs="Arial" w:eastAsia="Arial" w:hAnsi="Arial"/>
                <w:sz w:val="14"/>
                <w:szCs w:val="14"/>
                <w:color w:val="auto"/>
              </w:rPr>
              <w:t>17.1 %</w:t>
            </w:r>
          </w:p>
        </w:tc>
        <w:tc>
          <w:tcPr>
            <w:tcW w:w="6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19.6 %</w:t>
            </w:r>
          </w:p>
        </w:tc>
      </w:tr>
      <w:tr>
        <w:trPr>
          <w:trHeight w:val="209"/>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103,880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17,454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109,518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8,667</w:t>
            </w:r>
          </w:p>
        </w:tc>
        <w:tc>
          <w:tcPr>
            <w:tcW w:w="1620" w:type="dxa"/>
            <w:vAlign w:val="bottom"/>
            <w:gridSpan w:val="2"/>
          </w:tcPr>
          <w:p>
            <w:pPr>
              <w:jc w:val="right"/>
              <w:ind w:right="328"/>
              <w:spacing w:after="0"/>
              <w:rPr>
                <w:sz w:val="20"/>
                <w:szCs w:val="20"/>
                <w:color w:val="auto"/>
              </w:rPr>
            </w:pPr>
            <w:r>
              <w:rPr>
                <w:rFonts w:ascii="Arial" w:cs="Arial" w:eastAsia="Arial" w:hAnsi="Arial"/>
                <w:sz w:val="14"/>
                <w:szCs w:val="14"/>
                <w:color w:val="auto"/>
              </w:rPr>
              <w:t>(5.1)%</w:t>
            </w:r>
          </w:p>
        </w:tc>
        <w:tc>
          <w:tcPr>
            <w:tcW w:w="680" w:type="dxa"/>
            <w:vAlign w:val="bottom"/>
          </w:tcPr>
          <w:p>
            <w:pPr>
              <w:jc w:val="right"/>
              <w:spacing w:after="0"/>
              <w:rPr>
                <w:sz w:val="20"/>
                <w:szCs w:val="20"/>
                <w:color w:val="auto"/>
              </w:rPr>
            </w:pPr>
            <w:r>
              <w:rPr>
                <w:rFonts w:ascii="Arial" w:cs="Arial" w:eastAsia="Arial" w:hAnsi="Arial"/>
                <w:sz w:val="14"/>
                <w:szCs w:val="14"/>
                <w:color w:val="auto"/>
              </w:rPr>
              <w:t>98.6 %</w:t>
            </w:r>
          </w:p>
        </w:tc>
      </w:tr>
      <w:tr>
        <w:trPr>
          <w:trHeight w:val="22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Equities</w:t>
            </w:r>
          </w:p>
        </w:tc>
        <w:tc>
          <w:tcPr>
            <w:tcW w:w="12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27,359</w:t>
            </w:r>
          </w:p>
        </w:tc>
        <w:tc>
          <w:tcPr>
            <w:tcW w:w="6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2,470</w:t>
            </w:r>
          </w:p>
        </w:tc>
        <w:tc>
          <w:tcPr>
            <w:tcW w:w="100" w:type="dxa"/>
            <w:vAlign w:val="bottom"/>
            <w:shd w:val="clear" w:color="auto" w:fill="D5DCE4"/>
          </w:tcPr>
          <w:p>
            <w:pPr>
              <w:spacing w:after="0"/>
              <w:rPr>
                <w:sz w:val="19"/>
                <w:szCs w:val="19"/>
                <w:color w:val="auto"/>
              </w:rPr>
            </w:pPr>
          </w:p>
        </w:tc>
        <w:tc>
          <w:tcPr>
            <w:tcW w:w="14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23,218</w:t>
            </w:r>
          </w:p>
        </w:tc>
        <w:tc>
          <w:tcPr>
            <w:tcW w:w="4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2,296</w:t>
            </w:r>
          </w:p>
        </w:tc>
        <w:tc>
          <w:tcPr>
            <w:tcW w:w="180" w:type="dxa"/>
            <w:vAlign w:val="bottom"/>
            <w:shd w:val="clear" w:color="auto" w:fill="D5DCE4"/>
          </w:tcPr>
          <w:p>
            <w:pPr>
              <w:spacing w:after="0"/>
              <w:rPr>
                <w:sz w:val="19"/>
                <w:szCs w:val="19"/>
                <w:color w:val="auto"/>
              </w:rPr>
            </w:pPr>
          </w:p>
        </w:tc>
        <w:tc>
          <w:tcPr>
            <w:tcW w:w="140" w:type="dxa"/>
            <w:vAlign w:val="bottom"/>
            <w:shd w:val="clear" w:color="auto" w:fill="D5DCE4"/>
          </w:tcPr>
          <w:p>
            <w:pPr>
              <w:spacing w:after="0"/>
              <w:rPr>
                <w:sz w:val="19"/>
                <w:szCs w:val="19"/>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4,141</w:t>
            </w:r>
          </w:p>
        </w:tc>
        <w:tc>
          <w:tcPr>
            <w:tcW w:w="8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174</w:t>
            </w:r>
          </w:p>
        </w:tc>
        <w:tc>
          <w:tcPr>
            <w:tcW w:w="1620" w:type="dxa"/>
            <w:vAlign w:val="bottom"/>
            <w:gridSpan w:val="2"/>
            <w:shd w:val="clear" w:color="auto" w:fill="D5DCE4"/>
          </w:tcPr>
          <w:p>
            <w:pPr>
              <w:jc w:val="right"/>
              <w:ind w:right="328"/>
              <w:spacing w:after="0"/>
              <w:rPr>
                <w:sz w:val="20"/>
                <w:szCs w:val="20"/>
                <w:color w:val="auto"/>
              </w:rPr>
            </w:pPr>
            <w:r>
              <w:rPr>
                <w:rFonts w:ascii="Arial" w:cs="Arial" w:eastAsia="Arial" w:hAnsi="Arial"/>
                <w:sz w:val="14"/>
                <w:szCs w:val="14"/>
                <w:color w:val="auto"/>
              </w:rPr>
              <w:t>17.8 %</w:t>
            </w:r>
          </w:p>
        </w:tc>
        <w:tc>
          <w:tcPr>
            <w:tcW w:w="6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7.6 %</w:t>
            </w:r>
          </w:p>
        </w:tc>
      </w:tr>
      <w:tr>
        <w:trPr>
          <w:trHeight w:val="209"/>
        </w:trPr>
        <w:tc>
          <w:tcPr>
            <w:tcW w:w="2180" w:type="dxa"/>
            <w:vAlign w:val="bottom"/>
            <w:gridSpan w:val="2"/>
          </w:tcPr>
          <w:p>
            <w:pPr>
              <w:ind w:left="20"/>
              <w:spacing w:after="0"/>
              <w:rPr>
                <w:sz w:val="20"/>
                <w:szCs w:val="20"/>
                <w:color w:val="auto"/>
              </w:rPr>
            </w:pPr>
            <w:r>
              <w:rPr>
                <w:rFonts w:ascii="Arial" w:cs="Arial" w:eastAsia="Arial" w:hAnsi="Arial"/>
                <w:sz w:val="14"/>
                <w:szCs w:val="14"/>
                <w:color w:val="auto"/>
              </w:rPr>
              <w:t>Money Markets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38,424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31,928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6,496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267</w:t>
            </w:r>
          </w:p>
        </w:tc>
        <w:tc>
          <w:tcPr>
            <w:tcW w:w="1620" w:type="dxa"/>
            <w:vAlign w:val="bottom"/>
            <w:gridSpan w:val="2"/>
          </w:tcPr>
          <w:p>
            <w:pPr>
              <w:jc w:val="right"/>
              <w:ind w:right="328"/>
              <w:spacing w:after="0"/>
              <w:rPr>
                <w:sz w:val="20"/>
                <w:szCs w:val="20"/>
                <w:color w:val="auto"/>
              </w:rPr>
            </w:pPr>
            <w:r>
              <w:rPr>
                <w:rFonts w:ascii="Arial" w:cs="Arial" w:eastAsia="Arial" w:hAnsi="Arial"/>
                <w:sz w:val="14"/>
                <w:szCs w:val="14"/>
                <w:color w:val="auto"/>
              </w:rPr>
              <w:t>20.3 %</w:t>
            </w:r>
          </w:p>
        </w:tc>
        <w:tc>
          <w:tcPr>
            <w:tcW w:w="680" w:type="dxa"/>
            <w:vAlign w:val="bottom"/>
          </w:tcPr>
          <w:p>
            <w:pPr>
              <w:jc w:val="right"/>
              <w:spacing w:after="0"/>
              <w:rPr>
                <w:sz w:val="20"/>
                <w:szCs w:val="20"/>
                <w:color w:val="auto"/>
              </w:rPr>
            </w:pPr>
            <w:r>
              <w:rPr>
                <w:rFonts w:ascii="Arial" w:cs="Arial" w:eastAsia="Arial" w:hAnsi="Arial"/>
                <w:sz w:val="14"/>
                <w:szCs w:val="14"/>
                <w:color w:val="auto"/>
              </w:rPr>
              <w:t>6.4 %</w:t>
            </w:r>
          </w:p>
        </w:tc>
      </w:tr>
      <w:tr>
        <w:trPr>
          <w:trHeight w:val="223"/>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Market Data</w:t>
            </w:r>
          </w:p>
        </w:tc>
        <w:tc>
          <w:tcPr>
            <w:tcW w:w="12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96</w:t>
            </w:r>
          </w:p>
        </w:tc>
        <w:tc>
          <w:tcPr>
            <w:tcW w:w="6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30,721</w:t>
            </w:r>
          </w:p>
        </w:tc>
        <w:tc>
          <w:tcPr>
            <w:tcW w:w="100" w:type="dxa"/>
            <w:vAlign w:val="bottom"/>
            <w:shd w:val="clear" w:color="auto" w:fill="D5DCE4"/>
          </w:tcPr>
          <w:p>
            <w:pPr>
              <w:spacing w:after="0"/>
              <w:rPr>
                <w:sz w:val="19"/>
                <w:szCs w:val="19"/>
                <w:color w:val="auto"/>
              </w:rPr>
            </w:pPr>
          </w:p>
        </w:tc>
        <w:tc>
          <w:tcPr>
            <w:tcW w:w="14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104</w:t>
            </w:r>
          </w:p>
        </w:tc>
        <w:tc>
          <w:tcPr>
            <w:tcW w:w="4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29,656</w:t>
            </w:r>
          </w:p>
        </w:tc>
        <w:tc>
          <w:tcPr>
            <w:tcW w:w="180" w:type="dxa"/>
            <w:vAlign w:val="bottom"/>
            <w:shd w:val="clear" w:color="auto" w:fill="D5DCE4"/>
          </w:tcPr>
          <w:p>
            <w:pPr>
              <w:spacing w:after="0"/>
              <w:rPr>
                <w:sz w:val="19"/>
                <w:szCs w:val="19"/>
                <w:color w:val="auto"/>
              </w:rPr>
            </w:pPr>
          </w:p>
        </w:tc>
        <w:tc>
          <w:tcPr>
            <w:tcW w:w="140" w:type="dxa"/>
            <w:vAlign w:val="bottom"/>
            <w:shd w:val="clear" w:color="auto" w:fill="D5DCE4"/>
          </w:tcPr>
          <w:p>
            <w:pPr>
              <w:spacing w:after="0"/>
              <w:rPr>
                <w:sz w:val="19"/>
                <w:szCs w:val="19"/>
                <w:color w:val="auto"/>
              </w:rPr>
            </w:pPr>
          </w:p>
        </w:tc>
        <w:tc>
          <w:tcPr>
            <w:tcW w:w="7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D5DCE4"/>
          </w:tcPr>
          <w:p>
            <w:pPr>
              <w:spacing w:after="0"/>
              <w:rPr>
                <w:sz w:val="19"/>
                <w:szCs w:val="19"/>
                <w:color w:val="auto"/>
              </w:rPr>
            </w:pPr>
          </w:p>
        </w:tc>
        <w:tc>
          <w:tcPr>
            <w:tcW w:w="180" w:type="dxa"/>
            <w:vAlign w:val="bottom"/>
            <w:shd w:val="clear" w:color="auto" w:fill="D5DCE4"/>
          </w:tcPr>
          <w:p>
            <w:pPr>
              <w:spacing w:after="0"/>
              <w:rPr>
                <w:sz w:val="19"/>
                <w:szCs w:val="19"/>
                <w:color w:val="auto"/>
              </w:rPr>
            </w:pPr>
          </w:p>
        </w:tc>
        <w:tc>
          <w:tcPr>
            <w:tcW w:w="7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1,065</w:t>
            </w:r>
          </w:p>
        </w:tc>
        <w:tc>
          <w:tcPr>
            <w:tcW w:w="1620" w:type="dxa"/>
            <w:vAlign w:val="bottom"/>
            <w:gridSpan w:val="2"/>
            <w:shd w:val="clear" w:color="auto" w:fill="D5DCE4"/>
          </w:tcPr>
          <w:p>
            <w:pPr>
              <w:jc w:val="right"/>
              <w:ind w:right="328"/>
              <w:spacing w:after="0"/>
              <w:rPr>
                <w:sz w:val="20"/>
                <w:szCs w:val="20"/>
                <w:color w:val="auto"/>
              </w:rPr>
            </w:pPr>
            <w:r>
              <w:rPr>
                <w:rFonts w:ascii="Arial" w:cs="Arial" w:eastAsia="Arial" w:hAnsi="Arial"/>
                <w:sz w:val="14"/>
                <w:szCs w:val="14"/>
                <w:color w:val="auto"/>
              </w:rPr>
              <w:t>(7.7)%</w:t>
            </w:r>
          </w:p>
        </w:tc>
        <w:tc>
          <w:tcPr>
            <w:tcW w:w="6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3.6 %</w:t>
            </w:r>
          </w:p>
        </w:tc>
      </w:tr>
      <w:tr>
        <w:trPr>
          <w:trHeight w:val="209"/>
        </w:trPr>
        <w:tc>
          <w:tcPr>
            <w:tcW w:w="2180" w:type="dxa"/>
            <w:vAlign w:val="bottom"/>
            <w:tcBorders>
              <w:bottom w:val="single" w:sz="8" w:color="D5DCE4"/>
            </w:tcBorders>
            <w:gridSpan w:val="2"/>
          </w:tcPr>
          <w:p>
            <w:pPr>
              <w:ind w:left="20"/>
              <w:spacing w:after="0"/>
              <w:rPr>
                <w:sz w:val="20"/>
                <w:szCs w:val="20"/>
                <w:color w:val="auto"/>
              </w:rPr>
            </w:pPr>
            <w:r>
              <w:rPr>
                <w:rFonts w:ascii="Arial" w:cs="Arial" w:eastAsia="Arial" w:hAnsi="Arial"/>
                <w:sz w:val="14"/>
                <w:szCs w:val="14"/>
                <w:color w:val="auto"/>
              </w:rPr>
              <w:t>Other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w:t>
            </w: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D5DCE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6,629</w:t>
            </w:r>
          </w:p>
        </w:tc>
        <w:tc>
          <w:tcPr>
            <w:tcW w:w="100" w:type="dxa"/>
            <w:vAlign w:val="bottom"/>
            <w:tcBorders>
              <w:bottom w:val="single" w:sz="8" w:color="D5DCE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D5DCE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5,575</w:t>
            </w:r>
          </w:p>
        </w:tc>
        <w:tc>
          <w:tcPr>
            <w:tcW w:w="180" w:type="dxa"/>
            <w:vAlign w:val="bottom"/>
            <w:tcBorders>
              <w:bottom w:val="single" w:sz="8" w:color="D5DCE4"/>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80" w:type="dxa"/>
            <w:vAlign w:val="bottom"/>
            <w:tcBorders>
              <w:bottom w:val="single" w:sz="8" w:color="D5DCE4"/>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w:t>
            </w:r>
          </w:p>
        </w:tc>
        <w:tc>
          <w:tcPr>
            <w:tcW w:w="1620" w:type="dxa"/>
            <w:vAlign w:val="bottom"/>
            <w:tcBorders>
              <w:bottom w:val="single" w:sz="8" w:color="D5DCE4"/>
            </w:tcBorders>
            <w:gridSpan w:val="2"/>
          </w:tcPr>
          <w:p>
            <w:pPr>
              <w:jc w:val="right"/>
              <w:ind w:right="328"/>
              <w:spacing w:after="0"/>
              <w:rPr>
                <w:sz w:val="20"/>
                <w:szCs w:val="20"/>
                <w:color w:val="auto"/>
              </w:rPr>
            </w:pPr>
            <w:r>
              <w:rPr>
                <w:rFonts w:ascii="Arial" w:cs="Arial" w:eastAsia="Arial" w:hAnsi="Arial"/>
                <w:sz w:val="14"/>
                <w:szCs w:val="14"/>
                <w:color w:val="auto"/>
              </w:rPr>
              <w:t>407.4 %</w:t>
            </w:r>
          </w:p>
        </w:tc>
        <w:tc>
          <w:tcPr>
            <w:tcW w:w="680" w:type="dxa"/>
            <w:vAlign w:val="bottom"/>
            <w:tcBorders>
              <w:bottom w:val="single" w:sz="8" w:color="D5DCE4"/>
            </w:tcBorders>
          </w:tcPr>
          <w:p>
            <w:pPr>
              <w:jc w:val="right"/>
              <w:spacing w:after="0"/>
              <w:rPr>
                <w:sz w:val="20"/>
                <w:szCs w:val="20"/>
                <w:color w:val="auto"/>
              </w:rPr>
            </w:pPr>
            <w:r>
              <w:rPr>
                <w:rFonts w:ascii="Arial" w:cs="Arial" w:eastAsia="Arial" w:hAnsi="Arial"/>
                <w:sz w:val="14"/>
                <w:szCs w:val="14"/>
                <w:color w:val="auto"/>
              </w:rPr>
              <w:t>18.9 %</w:t>
            </w:r>
          </w:p>
        </w:tc>
      </w:tr>
      <w:tr>
        <w:trPr>
          <w:trHeight w:val="235"/>
        </w:trPr>
        <w:tc>
          <w:tcPr>
            <w:tcW w:w="2180" w:type="dxa"/>
            <w:vAlign w:val="bottom"/>
            <w:gridSpan w:val="2"/>
            <w:shd w:val="clear" w:color="auto" w:fill="D5DCE4"/>
          </w:tcPr>
          <w:p>
            <w:pPr>
              <w:ind w:left="20"/>
              <w:spacing w:after="0"/>
              <w:rPr>
                <w:sz w:val="20"/>
                <w:szCs w:val="20"/>
                <w:color w:val="auto"/>
              </w:rPr>
            </w:pPr>
            <w:r>
              <w:rPr>
                <w:rFonts w:ascii="Arial" w:cs="Arial" w:eastAsia="Arial" w:hAnsi="Arial"/>
                <w:sz w:val="14"/>
                <w:szCs w:val="14"/>
                <w:color w:val="auto"/>
              </w:rPr>
              <w:t>Total revenue</w:t>
            </w:r>
          </w:p>
        </w:tc>
        <w:tc>
          <w:tcPr>
            <w:tcW w:w="1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375,771</w:t>
            </w:r>
          </w:p>
        </w:tc>
        <w:tc>
          <w:tcPr>
            <w:tcW w:w="420" w:type="dxa"/>
            <w:vAlign w:val="bottom"/>
            <w:gridSpan w:val="3"/>
            <w:shd w:val="clear" w:color="auto" w:fill="D5DCE4"/>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132,827</w:t>
            </w:r>
          </w:p>
        </w:tc>
        <w:tc>
          <w:tcPr>
            <w:tcW w:w="240" w:type="dxa"/>
            <w:vAlign w:val="bottom"/>
            <w:gridSpan w:val="2"/>
            <w:shd w:val="clear" w:color="auto" w:fill="D5DCE4"/>
          </w:tcPr>
          <w:p>
            <w:pPr>
              <w:jc w:val="right"/>
              <w:ind w:right="40"/>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338,979</w:t>
            </w:r>
          </w:p>
        </w:tc>
        <w:tc>
          <w:tcPr>
            <w:tcW w:w="400" w:type="dxa"/>
            <w:vAlign w:val="bottom"/>
            <w:gridSpan w:val="3"/>
            <w:shd w:val="clear" w:color="auto" w:fill="D5DCE4"/>
          </w:tcPr>
          <w:p>
            <w:pPr>
              <w:jc w:val="right"/>
              <w:ind w:righ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109,936</w:t>
            </w:r>
          </w:p>
        </w:tc>
        <w:tc>
          <w:tcPr>
            <w:tcW w:w="320" w:type="dxa"/>
            <w:vAlign w:val="bottom"/>
            <w:gridSpan w:val="2"/>
            <w:shd w:val="clear" w:color="auto" w:fill="D5DCE4"/>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36,792</w:t>
            </w:r>
          </w:p>
        </w:tc>
        <w:tc>
          <w:tcPr>
            <w:tcW w:w="260" w:type="dxa"/>
            <w:vAlign w:val="bottom"/>
            <w:gridSpan w:val="2"/>
            <w:shd w:val="clear" w:color="auto" w:fill="D5DCE4"/>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22,891</w:t>
            </w:r>
          </w:p>
        </w:tc>
        <w:tc>
          <w:tcPr>
            <w:tcW w:w="1620" w:type="dxa"/>
            <w:vAlign w:val="bottom"/>
            <w:gridSpan w:val="2"/>
            <w:shd w:val="clear" w:color="auto" w:fill="D5DCE4"/>
          </w:tcPr>
          <w:p>
            <w:pPr>
              <w:jc w:val="right"/>
              <w:ind w:right="328"/>
              <w:spacing w:after="0"/>
              <w:rPr>
                <w:sz w:val="20"/>
                <w:szCs w:val="20"/>
                <w:color w:val="auto"/>
              </w:rPr>
            </w:pPr>
            <w:r>
              <w:rPr>
                <w:rFonts w:ascii="Arial" w:cs="Arial" w:eastAsia="Arial" w:hAnsi="Arial"/>
                <w:sz w:val="14"/>
                <w:szCs w:val="14"/>
                <w:color w:val="auto"/>
              </w:rPr>
              <w:t>10.9 %</w:t>
            </w:r>
          </w:p>
        </w:tc>
        <w:tc>
          <w:tcPr>
            <w:tcW w:w="6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20.8 %</w:t>
            </w:r>
          </w:p>
        </w:tc>
      </w:tr>
      <w:tr>
        <w:trPr>
          <w:trHeight w:val="20"/>
        </w:trPr>
        <w:tc>
          <w:tcPr>
            <w:tcW w:w="200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440" w:type="dxa"/>
            <w:vAlign w:val="bottom"/>
            <w:tcBorders>
              <w:top w:val="single" w:sz="8" w:color="D5DCE4"/>
            </w:tcBorders>
          </w:tcPr>
          <w:p>
            <w:pPr>
              <w:spacing w:after="0" w:line="20" w:lineRule="exact"/>
              <w:rPr>
                <w:sz w:val="1"/>
                <w:szCs w:val="1"/>
                <w:color w:val="auto"/>
              </w:rPr>
            </w:pPr>
          </w:p>
        </w:tc>
        <w:tc>
          <w:tcPr>
            <w:tcW w:w="68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8</w:t>
      </w:r>
    </w:p>
    <w:p>
      <w:pPr>
        <w:sectPr>
          <w:pgSz w:w="11900" w:h="16840" w:orient="portrait"/>
          <w:cols w:equalWidth="0" w:num="1">
            <w:col w:w="10580"/>
          </w:cols>
          <w:pgMar w:left="660" w:top="1133" w:right="66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AVERAGE VARIABLE FEES PER MILLION DOLLARS OF VOLUME (UNAUDITED)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4"/>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ind w:right="408"/>
              <w:spacing w:after="0"/>
              <w:rPr>
                <w:sz w:val="20"/>
                <w:szCs w:val="20"/>
                <w:color w:val="auto"/>
              </w:rPr>
            </w:pPr>
            <w:r>
              <w:rPr>
                <w:rFonts w:ascii="Arial" w:cs="Arial" w:eastAsia="Arial" w:hAnsi="Arial"/>
                <w:sz w:val="14"/>
                <w:szCs w:val="14"/>
                <w:b w:val="1"/>
                <w:bCs w:val="1"/>
                <w:color w:val="auto"/>
              </w:rPr>
              <w:t>YoY</w:t>
            </w:r>
          </w:p>
        </w:tc>
        <w:tc>
          <w:tcPr>
            <w:tcW w:w="180" w:type="dxa"/>
            <w:vAlign w:val="bottom"/>
          </w:tcPr>
          <w:p>
            <w:pPr>
              <w:spacing w:after="0"/>
              <w:rPr>
                <w:sz w:val="18"/>
                <w:szCs w:val="18"/>
                <w:color w:val="auto"/>
              </w:rPr>
            </w:pPr>
          </w:p>
        </w:tc>
      </w:tr>
      <w:tr>
        <w:trPr>
          <w:trHeight w:val="211"/>
        </w:trPr>
        <w:tc>
          <w:tcPr>
            <w:tcW w:w="6120" w:type="dxa"/>
            <w:vAlign w:val="bottom"/>
            <w:tcBorders>
              <w:bottom w:val="single" w:sz="8" w:color="D5DCE4"/>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D5DCE4"/>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D5DCE4"/>
            </w:tcBorders>
          </w:tcPr>
          <w:p>
            <w:pPr>
              <w:spacing w:after="0"/>
              <w:rPr>
                <w:sz w:val="18"/>
                <w:szCs w:val="18"/>
                <w:color w:val="auto"/>
              </w:rPr>
            </w:pPr>
          </w:p>
        </w:tc>
        <w:tc>
          <w:tcPr>
            <w:tcW w:w="14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auto"/>
            </w:tcBorders>
          </w:tcPr>
          <w:p>
            <w:pPr>
              <w:spacing w:after="0"/>
              <w:rPr>
                <w:sz w:val="18"/>
                <w:szCs w:val="18"/>
                <w:color w:val="auto"/>
              </w:rPr>
            </w:pPr>
          </w:p>
        </w:tc>
      </w:tr>
      <w:tr>
        <w:trPr>
          <w:trHeight w:val="211"/>
        </w:trPr>
        <w:tc>
          <w:tcPr>
            <w:tcW w:w="612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Rates</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2.17</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2.07</w:t>
            </w:r>
          </w:p>
        </w:tc>
        <w:tc>
          <w:tcPr>
            <w:tcW w:w="1520" w:type="dxa"/>
            <w:vAlign w:val="bottom"/>
            <w:gridSpan w:val="2"/>
            <w:shd w:val="clear" w:color="auto" w:fill="D5DCE4"/>
          </w:tcPr>
          <w:p>
            <w:pPr>
              <w:jc w:val="right"/>
              <w:spacing w:after="0"/>
              <w:rPr>
                <w:sz w:val="20"/>
                <w:szCs w:val="20"/>
                <w:color w:val="auto"/>
              </w:rPr>
            </w:pPr>
            <w:r>
              <w:rPr>
                <w:rFonts w:ascii="Arial" w:cs="Arial" w:eastAsia="Arial" w:hAnsi="Arial"/>
                <w:sz w:val="14"/>
                <w:szCs w:val="14"/>
                <w:b w:val="1"/>
                <w:bCs w:val="1"/>
                <w:color w:val="auto"/>
              </w:rPr>
              <w:t>4.5</w:t>
            </w:r>
          </w:p>
        </w:tc>
        <w:tc>
          <w:tcPr>
            <w:tcW w:w="18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w:t>
            </w:r>
          </w:p>
        </w:tc>
      </w:tr>
      <w:tr>
        <w:trPr>
          <w:trHeight w:val="209"/>
        </w:trPr>
        <w:tc>
          <w:tcPr>
            <w:tcW w:w="6120" w:type="dxa"/>
            <w:vAlign w:val="bottom"/>
          </w:tcPr>
          <w:p>
            <w:pPr>
              <w:ind w:left="120"/>
              <w:spacing w:after="0"/>
              <w:rPr>
                <w:sz w:val="20"/>
                <w:szCs w:val="20"/>
                <w:color w:val="auto"/>
              </w:rPr>
            </w:pPr>
            <w:r>
              <w:rPr>
                <w:rFonts w:ascii="Arial" w:cs="Arial" w:eastAsia="Arial" w:hAnsi="Arial"/>
                <w:sz w:val="14"/>
                <w:szCs w:val="14"/>
                <w:color w:val="auto"/>
              </w:rPr>
              <w:t>Rates Cash</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2.28</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(6.8) %</w:t>
            </w:r>
          </w:p>
        </w:tc>
      </w:tr>
      <w:tr>
        <w:trPr>
          <w:trHeight w:val="223"/>
        </w:trPr>
        <w:tc>
          <w:tcPr>
            <w:tcW w:w="6120" w:type="dxa"/>
            <w:vAlign w:val="bottom"/>
            <w:shd w:val="clear" w:color="auto" w:fill="D5DCE4"/>
          </w:tcPr>
          <w:p>
            <w:pPr>
              <w:ind w:left="120"/>
              <w:spacing w:after="0"/>
              <w:rPr>
                <w:sz w:val="20"/>
                <w:szCs w:val="20"/>
                <w:color w:val="auto"/>
              </w:rPr>
            </w:pPr>
            <w:r>
              <w:rPr>
                <w:rFonts w:ascii="Arial" w:cs="Arial" w:eastAsia="Arial" w:hAnsi="Arial"/>
                <w:sz w:val="14"/>
                <w:szCs w:val="14"/>
                <w:color w:val="auto"/>
              </w:rPr>
              <w:t>Rates Derivatives</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2.10</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1.85</w:t>
            </w:r>
          </w:p>
        </w:tc>
        <w:tc>
          <w:tcPr>
            <w:tcW w:w="152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14.0</w:t>
            </w:r>
          </w:p>
        </w:tc>
        <w:tc>
          <w:tcPr>
            <w:tcW w:w="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120" w:type="dxa"/>
            <w:vAlign w:val="bottom"/>
          </w:tcPr>
          <w:p>
            <w:pPr>
              <w:ind w:left="220"/>
              <w:spacing w:after="0"/>
              <w:rPr>
                <w:sz w:val="20"/>
                <w:szCs w:val="20"/>
                <w:color w:val="auto"/>
              </w:rPr>
            </w:pPr>
            <w:r>
              <w:rPr>
                <w:rFonts w:ascii="Arial" w:cs="Arial" w:eastAsia="Arial" w:hAnsi="Arial"/>
                <w:sz w:val="14"/>
                <w:szCs w:val="14"/>
                <w:color w:val="auto"/>
              </w:rPr>
              <w:t>Rates Derivatives (greater than 1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3.83</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3.17</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21.0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6120" w:type="dxa"/>
            <w:vAlign w:val="bottom"/>
            <w:shd w:val="clear" w:color="auto" w:fill="D5DCE4"/>
          </w:tcPr>
          <w:p>
            <w:pPr>
              <w:ind w:left="220"/>
              <w:spacing w:after="0"/>
              <w:rPr>
                <w:sz w:val="20"/>
                <w:szCs w:val="20"/>
                <w:color w:val="auto"/>
              </w:rPr>
            </w:pPr>
            <w:r>
              <w:rPr>
                <w:rFonts w:ascii="Arial" w:cs="Arial" w:eastAsia="Arial" w:hAnsi="Arial"/>
                <w:sz w:val="14"/>
                <w:szCs w:val="14"/>
                <w:color w:val="auto"/>
              </w:rPr>
              <w:t xml:space="preserve">Other Rates Derivatives </w:t>
            </w:r>
            <w:r>
              <w:rPr>
                <w:rFonts w:ascii="Arial" w:cs="Arial" w:eastAsia="Arial" w:hAnsi="Arial"/>
                <w:sz w:val="19"/>
                <w:szCs w:val="19"/>
                <w:color w:val="auto"/>
                <w:vertAlign w:val="superscript"/>
              </w:rPr>
              <w:t>(1)</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0.25</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0.25</w:t>
            </w:r>
          </w:p>
        </w:tc>
        <w:tc>
          <w:tcPr>
            <w:tcW w:w="152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3.3</w:t>
            </w:r>
          </w:p>
        </w:tc>
        <w:tc>
          <w:tcPr>
            <w:tcW w:w="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r>
      <w:tr>
        <w:trPr>
          <w:trHeight w:val="216"/>
        </w:trPr>
        <w:tc>
          <w:tcPr>
            <w:tcW w:w="612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Credit</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38.19</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39.76</w:t>
            </w:r>
          </w:p>
        </w:tc>
        <w:tc>
          <w:tcPr>
            <w:tcW w:w="1700" w:type="dxa"/>
            <w:vAlign w:val="bottom"/>
            <w:gridSpan w:val="3"/>
            <w:shd w:val="clear" w:color="auto" w:fill="D5DCE4"/>
          </w:tcPr>
          <w:p>
            <w:pPr>
              <w:jc w:val="right"/>
              <w:spacing w:after="0"/>
              <w:rPr>
                <w:sz w:val="20"/>
                <w:szCs w:val="20"/>
                <w:color w:val="auto"/>
              </w:rPr>
            </w:pPr>
            <w:r>
              <w:rPr>
                <w:rFonts w:ascii="Arial" w:cs="Arial" w:eastAsia="Arial" w:hAnsi="Arial"/>
                <w:sz w:val="14"/>
                <w:szCs w:val="14"/>
                <w:b w:val="1"/>
                <w:bCs w:val="1"/>
                <w:color w:val="auto"/>
              </w:rPr>
              <w:t>(4.0) %</w:t>
            </w:r>
          </w:p>
        </w:tc>
      </w:tr>
      <w:tr>
        <w:trPr>
          <w:trHeight w:val="216"/>
        </w:trPr>
        <w:tc>
          <w:tcPr>
            <w:tcW w:w="6120" w:type="dxa"/>
            <w:vAlign w:val="bottom"/>
          </w:tcPr>
          <w:p>
            <w:pPr>
              <w:ind w:left="120"/>
              <w:spacing w:after="0" w:line="216" w:lineRule="exact"/>
              <w:rPr>
                <w:sz w:val="20"/>
                <w:szCs w:val="20"/>
                <w:color w:val="auto"/>
              </w:rPr>
            </w:pPr>
            <w:r>
              <w:rPr>
                <w:rFonts w:ascii="Arial" w:cs="Arial" w:eastAsia="Arial" w:hAnsi="Arial"/>
                <w:sz w:val="14"/>
                <w:szCs w:val="14"/>
                <w:color w:val="auto"/>
              </w:rPr>
              <w:t xml:space="preserve">Cash Credit </w:t>
            </w:r>
            <w:r>
              <w:rPr>
                <w:rFonts w:ascii="Arial" w:cs="Arial" w:eastAsia="Arial" w:hAnsi="Arial"/>
                <w:sz w:val="19"/>
                <w:szCs w:val="19"/>
                <w:color w:val="auto"/>
                <w:vertAlign w:val="superscript"/>
              </w:rPr>
              <w:t>(2)</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128.48</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151.91</w:t>
            </w:r>
          </w:p>
        </w:tc>
        <w:tc>
          <w:tcPr>
            <w:tcW w:w="1700" w:type="dxa"/>
            <w:vAlign w:val="bottom"/>
            <w:gridSpan w:val="3"/>
          </w:tcPr>
          <w:p>
            <w:pPr>
              <w:jc w:val="right"/>
              <w:spacing w:after="0"/>
              <w:rPr>
                <w:sz w:val="20"/>
                <w:szCs w:val="20"/>
                <w:color w:val="auto"/>
              </w:rPr>
            </w:pPr>
            <w:r>
              <w:rPr>
                <w:rFonts w:ascii="Arial" w:cs="Arial" w:eastAsia="Arial" w:hAnsi="Arial"/>
                <w:sz w:val="14"/>
                <w:szCs w:val="14"/>
                <w:color w:val="auto"/>
              </w:rPr>
              <w:t>(15.4) %</w:t>
            </w:r>
          </w:p>
        </w:tc>
      </w:tr>
      <w:tr>
        <w:trPr>
          <w:trHeight w:val="216"/>
        </w:trPr>
        <w:tc>
          <w:tcPr>
            <w:tcW w:w="6120" w:type="dxa"/>
            <w:vAlign w:val="bottom"/>
            <w:shd w:val="clear" w:color="auto" w:fill="D5DCE4"/>
          </w:tcPr>
          <w:p>
            <w:pPr>
              <w:ind w:left="120"/>
              <w:spacing w:after="0"/>
              <w:rPr>
                <w:sz w:val="20"/>
                <w:szCs w:val="20"/>
                <w:color w:val="auto"/>
              </w:rPr>
            </w:pPr>
            <w:r>
              <w:rPr>
                <w:rFonts w:ascii="Arial" w:cs="Arial" w:eastAsia="Arial" w:hAnsi="Arial"/>
                <w:sz w:val="14"/>
                <w:szCs w:val="14"/>
                <w:color w:val="auto"/>
              </w:rPr>
              <w:t>Credit Derivatives, China Bonds and U.S. Cash EP</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5.59</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5.71</w:t>
            </w:r>
          </w:p>
        </w:tc>
        <w:tc>
          <w:tcPr>
            <w:tcW w:w="1700" w:type="dxa"/>
            <w:vAlign w:val="bottom"/>
            <w:gridSpan w:val="3"/>
            <w:shd w:val="clear" w:color="auto" w:fill="D5DCE4"/>
          </w:tcPr>
          <w:p>
            <w:pPr>
              <w:jc w:val="right"/>
              <w:spacing w:after="0"/>
              <w:rPr>
                <w:sz w:val="20"/>
                <w:szCs w:val="20"/>
                <w:color w:val="auto"/>
              </w:rPr>
            </w:pPr>
            <w:r>
              <w:rPr>
                <w:rFonts w:ascii="Arial" w:cs="Arial" w:eastAsia="Arial" w:hAnsi="Arial"/>
                <w:sz w:val="14"/>
                <w:szCs w:val="14"/>
                <w:color w:val="auto"/>
              </w:rPr>
              <w:t>(2.1) %</w:t>
            </w:r>
          </w:p>
        </w:tc>
      </w:tr>
      <w:tr>
        <w:trPr>
          <w:trHeight w:val="192"/>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612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Equities</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16.31</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15.82</w:t>
            </w:r>
          </w:p>
        </w:tc>
        <w:tc>
          <w:tcPr>
            <w:tcW w:w="1520" w:type="dxa"/>
            <w:vAlign w:val="bottom"/>
            <w:gridSpan w:val="2"/>
            <w:shd w:val="clear" w:color="auto" w:fill="D5DCE4"/>
          </w:tcPr>
          <w:p>
            <w:pPr>
              <w:jc w:val="right"/>
              <w:spacing w:after="0"/>
              <w:rPr>
                <w:sz w:val="20"/>
                <w:szCs w:val="20"/>
                <w:color w:val="auto"/>
              </w:rPr>
            </w:pPr>
            <w:r>
              <w:rPr>
                <w:rFonts w:ascii="Arial" w:cs="Arial" w:eastAsia="Arial" w:hAnsi="Arial"/>
                <w:sz w:val="14"/>
                <w:szCs w:val="14"/>
                <w:b w:val="1"/>
                <w:bCs w:val="1"/>
                <w:color w:val="auto"/>
              </w:rPr>
              <w:t>3.1</w:t>
            </w:r>
          </w:p>
        </w:tc>
        <w:tc>
          <w:tcPr>
            <w:tcW w:w="18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w:t>
            </w:r>
          </w:p>
        </w:tc>
      </w:tr>
      <w:tr>
        <w:trPr>
          <w:trHeight w:val="209"/>
        </w:trPr>
        <w:tc>
          <w:tcPr>
            <w:tcW w:w="6120" w:type="dxa"/>
            <w:vAlign w:val="bottom"/>
          </w:tcPr>
          <w:p>
            <w:pPr>
              <w:ind w:left="120"/>
              <w:spacing w:after="0"/>
              <w:rPr>
                <w:sz w:val="20"/>
                <w:szCs w:val="20"/>
                <w:color w:val="auto"/>
              </w:rPr>
            </w:pPr>
            <w:r>
              <w:rPr>
                <w:rFonts w:ascii="Arial" w:cs="Arial" w:eastAsia="Arial" w:hAnsi="Arial"/>
                <w:sz w:val="14"/>
                <w:szCs w:val="14"/>
                <w:color w:val="auto"/>
              </w:rPr>
              <w:t>Equities Cash</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27.98</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27.68</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6120" w:type="dxa"/>
            <w:vAlign w:val="bottom"/>
            <w:shd w:val="clear" w:color="auto" w:fill="D5DCE4"/>
          </w:tcPr>
          <w:p>
            <w:pPr>
              <w:ind w:left="120"/>
              <w:spacing w:after="0"/>
              <w:rPr>
                <w:sz w:val="20"/>
                <w:szCs w:val="20"/>
                <w:color w:val="auto"/>
              </w:rPr>
            </w:pPr>
            <w:r>
              <w:rPr>
                <w:rFonts w:ascii="Arial" w:cs="Arial" w:eastAsia="Arial" w:hAnsi="Arial"/>
                <w:sz w:val="14"/>
                <w:szCs w:val="14"/>
                <w:color w:val="auto"/>
              </w:rPr>
              <w:t>Equities Derivatives</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color w:val="auto"/>
              </w:rPr>
              <w:t>6.56</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color w:val="auto"/>
              </w:rPr>
              <w:t>$</w:t>
            </w:r>
          </w:p>
        </w:tc>
        <w:tc>
          <w:tcPr>
            <w:tcW w:w="860" w:type="dxa"/>
            <w:vAlign w:val="bottom"/>
            <w:shd w:val="clear" w:color="auto" w:fill="D5DCE4"/>
          </w:tcPr>
          <w:p>
            <w:pPr>
              <w:jc w:val="right"/>
              <w:ind w:right="8"/>
              <w:spacing w:after="0"/>
              <w:rPr>
                <w:sz w:val="20"/>
                <w:szCs w:val="20"/>
                <w:color w:val="auto"/>
              </w:rPr>
            </w:pPr>
            <w:r>
              <w:rPr>
                <w:rFonts w:ascii="Arial" w:cs="Arial" w:eastAsia="Arial" w:hAnsi="Arial"/>
                <w:sz w:val="14"/>
                <w:szCs w:val="14"/>
                <w:color w:val="auto"/>
              </w:rPr>
              <w:t>5.99</w:t>
            </w:r>
          </w:p>
        </w:tc>
        <w:tc>
          <w:tcPr>
            <w:tcW w:w="152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9.6</w:t>
            </w:r>
          </w:p>
        </w:tc>
        <w:tc>
          <w:tcPr>
            <w:tcW w:w="180" w:type="dxa"/>
            <w:vAlign w:val="bottom"/>
            <w:shd w:val="clear" w:color="auto" w:fill="D5DCE4"/>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r>
      <w:tr>
        <w:trPr>
          <w:trHeight w:val="216"/>
        </w:trPr>
        <w:tc>
          <w:tcPr>
            <w:tcW w:w="612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Money Markets</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0.51</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0.54</w:t>
            </w:r>
          </w:p>
        </w:tc>
        <w:tc>
          <w:tcPr>
            <w:tcW w:w="1700" w:type="dxa"/>
            <w:vAlign w:val="bottom"/>
            <w:gridSpan w:val="3"/>
            <w:shd w:val="clear" w:color="auto" w:fill="D5DCE4"/>
          </w:tcPr>
          <w:p>
            <w:pPr>
              <w:jc w:val="right"/>
              <w:spacing w:after="0"/>
              <w:rPr>
                <w:sz w:val="20"/>
                <w:szCs w:val="20"/>
                <w:color w:val="auto"/>
              </w:rPr>
            </w:pPr>
            <w:r>
              <w:rPr>
                <w:rFonts w:ascii="Arial" w:cs="Arial" w:eastAsia="Arial" w:hAnsi="Arial"/>
                <w:sz w:val="14"/>
                <w:szCs w:val="14"/>
                <w:b w:val="1"/>
                <w:bCs w:val="1"/>
                <w:color w:val="auto"/>
              </w:rPr>
              <w:t>(3.9) %</w:t>
            </w:r>
          </w:p>
        </w:tc>
      </w:tr>
      <w:tr>
        <w:trPr>
          <w:trHeight w:val="192"/>
        </w:trPr>
        <w:tc>
          <w:tcPr>
            <w:tcW w:w="6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r>
      <w:tr>
        <w:trPr>
          <w:trHeight w:val="216"/>
        </w:trPr>
        <w:tc>
          <w:tcPr>
            <w:tcW w:w="612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Total</w:t>
            </w:r>
          </w:p>
        </w:tc>
        <w:tc>
          <w:tcPr>
            <w:tcW w:w="300" w:type="dxa"/>
            <w:vAlign w:val="bottom"/>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2.16</w:t>
            </w:r>
          </w:p>
        </w:tc>
        <w:tc>
          <w:tcPr>
            <w:tcW w:w="560" w:type="dxa"/>
            <w:vAlign w:val="bottom"/>
            <w:gridSpan w:val="2"/>
            <w:shd w:val="clear" w:color="auto" w:fill="D5DCE4"/>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2.29</w:t>
            </w:r>
          </w:p>
        </w:tc>
        <w:tc>
          <w:tcPr>
            <w:tcW w:w="1700" w:type="dxa"/>
            <w:vAlign w:val="bottom"/>
            <w:gridSpan w:val="3"/>
            <w:shd w:val="clear" w:color="auto" w:fill="D5DCE4"/>
          </w:tcPr>
          <w:p>
            <w:pPr>
              <w:jc w:val="right"/>
              <w:spacing w:after="0"/>
              <w:rPr>
                <w:sz w:val="20"/>
                <w:szCs w:val="20"/>
                <w:color w:val="auto"/>
              </w:rPr>
            </w:pPr>
            <w:r>
              <w:rPr>
                <w:rFonts w:ascii="Arial" w:cs="Arial" w:eastAsia="Arial" w:hAnsi="Arial"/>
                <w:sz w:val="14"/>
                <w:szCs w:val="14"/>
                <w:b w:val="1"/>
                <w:bCs w:val="1"/>
                <w:color w:val="auto"/>
              </w:rPr>
              <w:t>(5.9) %</w:t>
            </w:r>
          </w:p>
        </w:tc>
      </w:tr>
      <w:tr>
        <w:trPr>
          <w:trHeight w:val="274"/>
        </w:trPr>
        <w:tc>
          <w:tcPr>
            <w:tcW w:w="6120" w:type="dxa"/>
            <w:vAlign w:val="bottom"/>
          </w:tcPr>
          <w:p>
            <w:pPr>
              <w:ind w:left="20"/>
              <w:spacing w:after="0"/>
              <w:rPr>
                <w:sz w:val="20"/>
                <w:szCs w:val="20"/>
                <w:color w:val="auto"/>
              </w:rPr>
            </w:pPr>
            <w:r>
              <w:rPr>
                <w:rFonts w:ascii="Arial" w:cs="Arial" w:eastAsia="Arial" w:hAnsi="Arial"/>
                <w:sz w:val="14"/>
                <w:szCs w:val="14"/>
                <w:b w:val="1"/>
                <w:bCs w:val="1"/>
                <w:color w:val="auto"/>
              </w:rPr>
              <w:t xml:space="preserve">Total excluding Other Rates Derivatives </w:t>
            </w:r>
            <w:r>
              <w:rPr>
                <w:rFonts w:ascii="Arial" w:cs="Arial" w:eastAsia="Arial" w:hAnsi="Arial"/>
                <w:sz w:val="19"/>
                <w:szCs w:val="19"/>
                <w:b w:val="1"/>
                <w:bCs w:val="1"/>
                <w:color w:val="auto"/>
                <w:vertAlign w:val="superscript"/>
              </w:rPr>
              <w:t>(3)</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5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2.68</w:t>
            </w: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(5.3) %</w:t>
            </w:r>
          </w:p>
        </w:tc>
      </w:tr>
    </w:tbl>
    <w:p>
      <w:pPr>
        <w:spacing w:after="0" w:line="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(1)</w:t>
      </w:r>
    </w:p>
    <w:p>
      <w:pPr>
        <w:ind w:left="420"/>
        <w:spacing w:after="0"/>
        <w:rPr>
          <w:sz w:val="20"/>
          <w:szCs w:val="20"/>
          <w:color w:val="auto"/>
        </w:rPr>
      </w:pPr>
      <w:r>
        <w:rPr>
          <w:rFonts w:ascii="Arial" w:cs="Arial" w:eastAsia="Arial" w:hAnsi="Arial"/>
          <w:sz w:val="11"/>
          <w:szCs w:val="11"/>
          <w:color w:val="auto"/>
        </w:rPr>
        <w:t>Includes Swaps/Swaptions of tenor less than 1 year and Rates Futures.</w:t>
      </w:r>
    </w:p>
    <w:p>
      <w:pPr>
        <w:spacing w:after="0" w:line="32" w:lineRule="exact"/>
        <w:rPr>
          <w:sz w:val="20"/>
          <w:szCs w:val="20"/>
          <w:color w:val="auto"/>
        </w:rPr>
      </w:pPr>
    </w:p>
    <w:p>
      <w:pPr>
        <w:ind w:left="420" w:hanging="40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“Cash Credit” category represents the “Credit” asset class excluding (1) Credit Derivatives (2) China Bonds and (3) U.S. High Grade and High Yield electronically processed (“EP”) activity.</w:t>
      </w:r>
    </w:p>
    <w:p>
      <w:pPr>
        <w:spacing w:after="0" w:line="41" w:lineRule="exact"/>
        <w:rPr>
          <w:rFonts w:ascii="Arial" w:cs="Arial" w:eastAsia="Arial" w:hAnsi="Arial"/>
          <w:sz w:val="11"/>
          <w:szCs w:val="11"/>
          <w:color w:val="auto"/>
        </w:rPr>
      </w:pPr>
    </w:p>
    <w:p>
      <w:pPr>
        <w:ind w:left="420" w:hanging="402"/>
        <w:spacing w:after="0"/>
        <w:tabs>
          <w:tab w:leader="none" w:pos="42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Included to contextualize the impact of short-tenored Swaps/Swaptions and Rates Futures on blended fees per million across all periods presented.</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9</w:t>
      </w:r>
    </w:p>
    <w:p>
      <w:pPr>
        <w:sectPr>
          <w:pgSz w:w="11900" w:h="16840" w:orient="portrait"/>
          <w:cols w:equalWidth="0" w:num="1">
            <w:col w:w="10580"/>
          </w:cols>
          <w:pgMar w:left="660" w:top="1133" w:right="660" w:bottom="1440" w:gutter="0" w:footer="0" w:header="0"/>
        </w:sectPr>
      </w:pPr>
    </w:p>
    <w:bookmarkStart w:id="12" w:name="page13"/>
    <w:bookmarkEnd w:id="12"/>
    <w:p>
      <w:pPr>
        <w:spacing w:after="0"/>
        <w:rPr>
          <w:sz w:val="20"/>
          <w:szCs w:val="20"/>
          <w:color w:val="auto"/>
        </w:rPr>
      </w:pPr>
      <w:r>
        <w:rPr>
          <w:rFonts w:ascii="Arial" w:cs="Arial" w:eastAsia="Arial" w:hAnsi="Arial"/>
          <w:sz w:val="14"/>
          <w:szCs w:val="14"/>
          <w:b w:val="1"/>
          <w:bCs w:val="1"/>
          <w:color w:val="083566"/>
        </w:rPr>
        <w:t>TRADEWEB MARKETS INC.</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 xml:space="preserve">AVERAGE DAILY VOLUME (UNAUDITED) </w:t>
      </w:r>
      <w:r>
        <w:rPr>
          <w:rFonts w:ascii="Arial" w:cs="Arial" w:eastAsia="Arial" w:hAnsi="Arial"/>
          <w:sz w:val="19"/>
          <w:szCs w:val="19"/>
          <w:b w:val="1"/>
          <w:bCs w:val="1"/>
          <w:color w:val="083566"/>
          <w:vertAlign w:val="superscript"/>
        </w:rPr>
        <w:t>(1)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rPr>
              <w:t>2025 Q3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60" w:type="dxa"/>
            <w:vAlign w:val="bottom"/>
            <w:gridSpan w:val="3"/>
          </w:tcPr>
          <w:p>
            <w:pPr>
              <w:jc w:val="center"/>
              <w:ind w:right="208"/>
              <w:spacing w:after="0"/>
              <w:rPr>
                <w:sz w:val="20"/>
                <w:szCs w:val="20"/>
                <w:color w:val="auto"/>
              </w:rPr>
            </w:pPr>
            <w:r>
              <w:rPr>
                <w:rFonts w:ascii="Arial" w:cs="Arial" w:eastAsia="Arial" w:hAnsi="Arial"/>
                <w:sz w:val="14"/>
                <w:szCs w:val="14"/>
                <w:b w:val="1"/>
                <w:bCs w:val="1"/>
                <w:color w:val="auto"/>
              </w:rPr>
              <w:t>2024 Q3</w:t>
            </w:r>
          </w:p>
        </w:tc>
        <w:tc>
          <w:tcPr>
            <w:tcW w:w="100" w:type="dxa"/>
            <w:vAlign w:val="bottom"/>
          </w:tcPr>
          <w:p>
            <w:pPr>
              <w:spacing w:after="0"/>
              <w:rPr>
                <w:sz w:val="17"/>
                <w:szCs w:val="17"/>
                <w:color w:val="auto"/>
              </w:rPr>
            </w:pP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YoY</w:t>
            </w:r>
          </w:p>
        </w:tc>
        <w:tc>
          <w:tcPr>
            <w:tcW w:w="20" w:type="dxa"/>
            <w:vAlign w:val="bottom"/>
          </w:tcPr>
          <w:p>
            <w:pPr>
              <w:spacing w:after="0"/>
              <w:rPr>
                <w:sz w:val="17"/>
                <w:szCs w:val="17"/>
                <w:color w:val="auto"/>
              </w:rPr>
            </w:pPr>
          </w:p>
        </w:tc>
      </w:tr>
      <w:tr>
        <w:trPr>
          <w:trHeight w:val="219"/>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 Class</w:t>
            </w: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Product</w:t>
            </w:r>
          </w:p>
        </w:tc>
        <w:tc>
          <w:tcPr>
            <w:tcW w:w="100" w:type="dxa"/>
            <w:vAlign w:val="bottom"/>
            <w:tcBorders>
              <w:bottom w:val="single" w:sz="8" w:color="D5DCE4"/>
            </w:tcBorders>
          </w:tcPr>
          <w:p>
            <w:pPr>
              <w:spacing w:after="0"/>
              <w:rPr>
                <w:sz w:val="19"/>
                <w:szCs w:val="19"/>
                <w:color w:val="auto"/>
              </w:rPr>
            </w:pPr>
          </w:p>
        </w:tc>
        <w:tc>
          <w:tcPr>
            <w:tcW w:w="2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ADV (USD mm) Volume (USD mm)</w:t>
            </w:r>
          </w:p>
        </w:tc>
        <w:tc>
          <w:tcPr>
            <w:tcW w:w="100" w:type="dxa"/>
            <w:vAlign w:val="bottom"/>
            <w:tcBorders>
              <w:bottom w:val="single" w:sz="8" w:color="D5DCE4"/>
            </w:tcBorders>
          </w:tcPr>
          <w:p>
            <w:pPr>
              <w:spacing w:after="0"/>
              <w:rPr>
                <w:sz w:val="19"/>
                <w:szCs w:val="19"/>
                <w:color w:val="auto"/>
              </w:rPr>
            </w:pPr>
          </w:p>
        </w:tc>
        <w:tc>
          <w:tcPr>
            <w:tcW w:w="24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ADV (USD mm) Volume (USD mm)</w:t>
            </w:r>
          </w:p>
        </w:tc>
        <w:tc>
          <w:tcPr>
            <w:tcW w:w="100" w:type="dxa"/>
            <w:vAlign w:val="bottom"/>
            <w:tcBorders>
              <w:bottom w:val="single" w:sz="8" w:color="D5DCE4"/>
            </w:tcBorders>
          </w:tcPr>
          <w:p>
            <w:pPr>
              <w:spacing w:after="0"/>
              <w:rPr>
                <w:sz w:val="19"/>
                <w:szCs w:val="19"/>
                <w:color w:val="auto"/>
              </w:rPr>
            </w:pPr>
          </w:p>
        </w:tc>
        <w:tc>
          <w:tcPr>
            <w:tcW w:w="11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ADV</w:t>
            </w:r>
          </w:p>
        </w:tc>
        <w:tc>
          <w:tcPr>
            <w:tcW w:w="20" w:type="dxa"/>
            <w:vAlign w:val="bottom"/>
          </w:tcPr>
          <w:p>
            <w:pPr>
              <w:spacing w:after="0"/>
              <w:rPr>
                <w:sz w:val="19"/>
                <w:szCs w:val="19"/>
                <w:color w:val="auto"/>
              </w:rPr>
            </w:pPr>
          </w:p>
        </w:tc>
      </w:tr>
      <w:tr>
        <w:trPr>
          <w:trHeight w:val="211"/>
        </w:trPr>
        <w:tc>
          <w:tcPr>
            <w:tcW w:w="12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Rates</w:t>
            </w:r>
          </w:p>
        </w:tc>
        <w:tc>
          <w:tcPr>
            <w:tcW w:w="300" w:type="dxa"/>
            <w:vAlign w:val="bottom"/>
            <w:tcBorders>
              <w:right w:val="single" w:sz="8" w:color="D5DCE4"/>
            </w:tcBorders>
            <w:shd w:val="clear" w:color="auto" w:fill="D5DCE4"/>
          </w:tcPr>
          <w:p>
            <w:pPr>
              <w:spacing w:after="0"/>
              <w:rPr>
                <w:sz w:val="18"/>
                <w:szCs w:val="18"/>
                <w:color w:val="auto"/>
              </w:rPr>
            </w:pPr>
          </w:p>
        </w:tc>
        <w:tc>
          <w:tcPr>
            <w:tcW w:w="27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4"/>
                <w:szCs w:val="14"/>
                <w:b w:val="1"/>
                <w:bCs w:val="1"/>
                <w:color w:val="auto"/>
              </w:rPr>
              <w:t>Cash</w:t>
            </w:r>
          </w:p>
        </w:tc>
        <w:tc>
          <w:tcPr>
            <w:tcW w:w="280" w:type="dxa"/>
            <w:vAlign w:val="bottom"/>
            <w:shd w:val="clear" w:color="auto" w:fill="D5DCE4"/>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534,513</w:t>
            </w:r>
          </w:p>
        </w:tc>
        <w:tc>
          <w:tcPr>
            <w:tcW w:w="120" w:type="dxa"/>
            <w:vAlign w:val="bottom"/>
            <w:shd w:val="clear" w:color="auto" w:fill="D5DCE4"/>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34,306,862</w:t>
            </w:r>
          </w:p>
        </w:tc>
        <w:tc>
          <w:tcPr>
            <w:tcW w:w="380" w:type="dxa"/>
            <w:vAlign w:val="bottom"/>
            <w:gridSpan w:val="2"/>
            <w:shd w:val="clear" w:color="auto" w:fill="D5DCE4"/>
          </w:tcPr>
          <w:p>
            <w:pPr>
              <w:jc w:val="right"/>
              <w:ind w:right="1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496,603</w:t>
            </w:r>
          </w:p>
        </w:tc>
        <w:tc>
          <w:tcPr>
            <w:tcW w:w="12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31,860,817</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b w:val="1"/>
                <w:bCs w:val="1"/>
                <w:color w:val="auto"/>
              </w:rPr>
              <w:t>7.63 %</w:t>
            </w:r>
          </w:p>
        </w:tc>
        <w:tc>
          <w:tcPr>
            <w:tcW w:w="2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U.S. Government Bonds</w:t>
            </w: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221,103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14,150,594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221,864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14,199,306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(0.34)%</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00"/>
              <w:spacing w:after="0"/>
              <w:rPr>
                <w:sz w:val="20"/>
                <w:szCs w:val="20"/>
                <w:color w:val="auto"/>
              </w:rPr>
            </w:pPr>
            <w:r>
              <w:rPr>
                <w:rFonts w:ascii="Arial" w:cs="Arial" w:eastAsia="Arial" w:hAnsi="Arial"/>
                <w:sz w:val="14"/>
                <w:szCs w:val="14"/>
                <w:i w:val="1"/>
                <w:iCs w:val="1"/>
                <w:color w:val="auto"/>
              </w:rPr>
              <w:t>European Government Bonds</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52,816</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3,485,878</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42,964</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2,835,614</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22.93 %</w:t>
            </w:r>
          </w:p>
        </w:tc>
        <w:tc>
          <w:tcPr>
            <w:tcW w:w="20" w:type="dxa"/>
            <w:vAlign w:val="bottom"/>
          </w:tcPr>
          <w:p>
            <w:pPr>
              <w:spacing w:after="0"/>
              <w:rPr>
                <w:sz w:val="19"/>
                <w:szCs w:val="19"/>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Mortgages</w:t>
            </w: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249,254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15,952,288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221,999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14,207,954</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12.28 %</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00"/>
              <w:spacing w:after="0"/>
              <w:rPr>
                <w:sz w:val="20"/>
                <w:szCs w:val="20"/>
                <w:color w:val="auto"/>
              </w:rPr>
            </w:pPr>
            <w:r>
              <w:rPr>
                <w:rFonts w:ascii="Arial" w:cs="Arial" w:eastAsia="Arial" w:hAnsi="Arial"/>
                <w:sz w:val="14"/>
                <w:szCs w:val="14"/>
                <w:i w:val="1"/>
                <w:iCs w:val="1"/>
                <w:color w:val="auto"/>
              </w:rPr>
              <w:t>Other Government Bonds</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11,339</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718,102</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9,775</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617,943</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15.99 %</w:t>
            </w:r>
          </w:p>
        </w:tc>
        <w:tc>
          <w:tcPr>
            <w:tcW w:w="20" w:type="dxa"/>
            <w:vAlign w:val="bottom"/>
          </w:tcPr>
          <w:p>
            <w:pPr>
              <w:spacing w:after="0"/>
              <w:rPr>
                <w:sz w:val="19"/>
                <w:szCs w:val="19"/>
                <w:color w:val="auto"/>
              </w:rPr>
            </w:pPr>
          </w:p>
        </w:tc>
      </w:tr>
      <w:tr>
        <w:trPr>
          <w:trHeight w:val="213"/>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921,043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59,502,286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801,534</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51,882,416</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14.91 %</w:t>
            </w:r>
          </w:p>
        </w:tc>
        <w:tc>
          <w:tcPr>
            <w:tcW w:w="20" w:type="dxa"/>
            <w:vAlign w:val="bottom"/>
          </w:tcPr>
          <w:p>
            <w:pPr>
              <w:spacing w:after="0"/>
              <w:rPr>
                <w:sz w:val="18"/>
                <w:szCs w:val="18"/>
                <w:color w:val="auto"/>
              </w:rPr>
            </w:pPr>
          </w:p>
        </w:tc>
      </w:tr>
      <w:tr>
        <w:trPr>
          <w:trHeight w:val="219"/>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Swaps/Swaptions ≥ 1Y</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28"/>
              <w:spacing w:after="0"/>
              <w:rPr>
                <w:sz w:val="20"/>
                <w:szCs w:val="20"/>
                <w:color w:val="auto"/>
              </w:rPr>
            </w:pPr>
            <w:r>
              <w:rPr>
                <w:rFonts w:ascii="Arial" w:cs="Arial" w:eastAsia="Arial" w:hAnsi="Arial"/>
                <w:sz w:val="14"/>
                <w:szCs w:val="14"/>
                <w:color w:val="auto"/>
              </w:rPr>
              <w:t>476,891</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30,811,252</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439,683</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28,436,368</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8.46 %</w:t>
            </w:r>
          </w:p>
        </w:tc>
        <w:tc>
          <w:tcPr>
            <w:tcW w:w="20" w:type="dxa"/>
            <w:vAlign w:val="bottom"/>
          </w:tcPr>
          <w:p>
            <w:pPr>
              <w:spacing w:after="0"/>
              <w:rPr>
                <w:sz w:val="19"/>
                <w:szCs w:val="19"/>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Swaps/Swaptions &lt; 1Y</w:t>
            </w:r>
          </w:p>
        </w:tc>
        <w:tc>
          <w:tcPr>
            <w:tcW w:w="280" w:type="dxa"/>
            <w:vAlign w:val="bottom"/>
          </w:tcPr>
          <w:p>
            <w:pPr>
              <w:spacing w:after="0"/>
              <w:rPr>
                <w:sz w:val="18"/>
                <w:szCs w:val="18"/>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435,966</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28,164,223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352,589</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22,850,905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23.65 %</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Futures</w:t>
            </w:r>
          </w:p>
        </w:tc>
        <w:tc>
          <w:tcPr>
            <w:tcW w:w="28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8,186</w:t>
            </w:r>
          </w:p>
        </w:tc>
        <w:tc>
          <w:tcPr>
            <w:tcW w:w="120" w:type="dxa"/>
            <w:vAlign w:val="bottom"/>
            <w:tcBorders>
              <w:bottom w:val="single" w:sz="8" w:color="auto"/>
            </w:tcBorders>
            <w:shd w:val="clear" w:color="auto" w:fill="D5DCE4"/>
          </w:tcPr>
          <w:p>
            <w:pPr>
              <w:spacing w:after="0"/>
              <w:rPr>
                <w:sz w:val="19"/>
                <w:szCs w:val="19"/>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526,811</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9,261</w:t>
            </w:r>
          </w:p>
        </w:tc>
        <w:tc>
          <w:tcPr>
            <w:tcW w:w="120" w:type="dxa"/>
            <w:vAlign w:val="bottom"/>
            <w:tcBorders>
              <w:bottom w:val="single" w:sz="8" w:color="auto"/>
            </w:tcBorders>
            <w:shd w:val="clear" w:color="auto" w:fill="D5DCE4"/>
          </w:tcPr>
          <w:p>
            <w:pPr>
              <w:spacing w:after="0"/>
              <w:rPr>
                <w:sz w:val="19"/>
                <w:szCs w:val="19"/>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595,143</w:t>
            </w:r>
          </w:p>
        </w:tc>
        <w:tc>
          <w:tcPr>
            <w:tcW w:w="100" w:type="dxa"/>
            <w:vAlign w:val="bottom"/>
            <w:tcBorders>
              <w:right w:val="single" w:sz="8" w:color="D5DCE4"/>
            </w:tcBorders>
            <w:shd w:val="clear" w:color="auto" w:fill="D5DCE4"/>
          </w:tcPr>
          <w:p>
            <w:pPr>
              <w:spacing w:after="0"/>
              <w:rPr>
                <w:sz w:val="19"/>
                <w:szCs w:val="19"/>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(11.61)%</w:t>
            </w:r>
          </w:p>
        </w:tc>
        <w:tc>
          <w:tcPr>
            <w:tcW w:w="20" w:type="dxa"/>
            <w:vAlign w:val="bottom"/>
          </w:tcPr>
          <w:p>
            <w:pPr>
              <w:spacing w:after="0"/>
              <w:rPr>
                <w:sz w:val="19"/>
                <w:szCs w:val="19"/>
                <w:color w:val="auto"/>
              </w:rPr>
            </w:pPr>
          </w:p>
        </w:tc>
      </w:tr>
      <w:tr>
        <w:trPr>
          <w:trHeight w:val="205"/>
        </w:trPr>
        <w:tc>
          <w:tcPr>
            <w:tcW w:w="1260" w:type="dxa"/>
            <w:vAlign w:val="bottom"/>
            <w:tcBorders>
              <w:bottom w:val="single" w:sz="8" w:color="D5DCE4"/>
            </w:tcBorders>
          </w:tcPr>
          <w:p>
            <w:pPr>
              <w:spacing w:after="0"/>
              <w:rPr>
                <w:sz w:val="17"/>
                <w:szCs w:val="17"/>
                <w:color w:val="auto"/>
              </w:rPr>
            </w:pPr>
          </w:p>
        </w:tc>
        <w:tc>
          <w:tcPr>
            <w:tcW w:w="300" w:type="dxa"/>
            <w:vAlign w:val="bottom"/>
            <w:tcBorders>
              <w:bottom w:val="single" w:sz="8" w:color="D5DCE4"/>
            </w:tcBorders>
          </w:tcPr>
          <w:p>
            <w:pPr>
              <w:spacing w:after="0"/>
              <w:rPr>
                <w:sz w:val="17"/>
                <w:szCs w:val="17"/>
                <w:color w:val="auto"/>
              </w:rPr>
            </w:pPr>
          </w:p>
        </w:tc>
        <w:tc>
          <w:tcPr>
            <w:tcW w:w="2740" w:type="dxa"/>
            <w:vAlign w:val="bottom"/>
            <w:tcBorders>
              <w:bottom w:val="single" w:sz="8" w:color="D5DCE4"/>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1,455,555</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93,809,148</w:t>
            </w:r>
          </w:p>
        </w:tc>
        <w:tc>
          <w:tcPr>
            <w:tcW w:w="100" w:type="dxa"/>
            <w:vAlign w:val="bottom"/>
            <w:tcBorders>
              <w:bottom w:val="single" w:sz="8" w:color="D5DCE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1,298,137</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83,743,234</w:t>
            </w:r>
          </w:p>
        </w:tc>
        <w:tc>
          <w:tcPr>
            <w:tcW w:w="100" w:type="dxa"/>
            <w:vAlign w:val="bottom"/>
            <w:tcBorders>
              <w:bottom w:val="single" w:sz="8" w:color="D5DCE4"/>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12.13 %</w:t>
            </w:r>
          </w:p>
        </w:tc>
        <w:tc>
          <w:tcPr>
            <w:tcW w:w="20" w:type="dxa"/>
            <w:vAlign w:val="bottom"/>
          </w:tcPr>
          <w:p>
            <w:pPr>
              <w:spacing w:after="0"/>
              <w:rPr>
                <w:sz w:val="17"/>
                <w:szCs w:val="17"/>
                <w:color w:val="auto"/>
              </w:rPr>
            </w:pPr>
          </w:p>
        </w:tc>
      </w:tr>
      <w:tr>
        <w:trPr>
          <w:trHeight w:val="211"/>
        </w:trPr>
        <w:tc>
          <w:tcPr>
            <w:tcW w:w="12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Credit</w:t>
            </w:r>
          </w:p>
        </w:tc>
        <w:tc>
          <w:tcPr>
            <w:tcW w:w="300" w:type="dxa"/>
            <w:vAlign w:val="bottom"/>
            <w:tcBorders>
              <w:right w:val="single" w:sz="8" w:color="D5DCE4"/>
            </w:tcBorders>
            <w:shd w:val="clear" w:color="auto" w:fill="D5DCE4"/>
          </w:tcPr>
          <w:p>
            <w:pPr>
              <w:spacing w:after="0"/>
              <w:rPr>
                <w:sz w:val="18"/>
                <w:szCs w:val="18"/>
                <w:color w:val="auto"/>
              </w:rPr>
            </w:pPr>
          </w:p>
        </w:tc>
        <w:tc>
          <w:tcPr>
            <w:tcW w:w="27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4"/>
                <w:szCs w:val="14"/>
                <w:b w:val="1"/>
                <w:bCs w:val="1"/>
                <w:color w:val="auto"/>
              </w:rPr>
              <w:t>Cash</w:t>
            </w:r>
          </w:p>
        </w:tc>
        <w:tc>
          <w:tcPr>
            <w:tcW w:w="280" w:type="dxa"/>
            <w:vAlign w:val="bottom"/>
            <w:shd w:val="clear" w:color="auto" w:fill="D5DCE4"/>
          </w:tcPr>
          <w:p>
            <w:pPr>
              <w:spacing w:after="0"/>
              <w:rPr>
                <w:sz w:val="18"/>
                <w:szCs w:val="18"/>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16,161</w:t>
            </w:r>
          </w:p>
        </w:tc>
        <w:tc>
          <w:tcPr>
            <w:tcW w:w="120" w:type="dxa"/>
            <w:vAlign w:val="bottom"/>
            <w:shd w:val="clear" w:color="auto" w:fill="D5DCE4"/>
          </w:tcPr>
          <w:p>
            <w:pPr>
              <w:spacing w:after="0"/>
              <w:rPr>
                <w:sz w:val="18"/>
                <w:szCs w:val="18"/>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1,043,193</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15,251</w:t>
            </w:r>
          </w:p>
        </w:tc>
        <w:tc>
          <w:tcPr>
            <w:tcW w:w="120" w:type="dxa"/>
            <w:vAlign w:val="bottom"/>
            <w:shd w:val="clear" w:color="auto" w:fill="D5DCE4"/>
          </w:tcPr>
          <w:p>
            <w:pPr>
              <w:spacing w:after="0"/>
              <w:rPr>
                <w:sz w:val="18"/>
                <w:szCs w:val="18"/>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980,571</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b w:val="1"/>
                <w:bCs w:val="1"/>
                <w:color w:val="auto"/>
              </w:rPr>
              <w:t>5.96 %</w:t>
            </w:r>
          </w:p>
        </w:tc>
        <w:tc>
          <w:tcPr>
            <w:tcW w:w="2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ind w:left="580"/>
              <w:spacing w:after="0"/>
              <w:rPr>
                <w:sz w:val="20"/>
                <w:szCs w:val="20"/>
                <w:color w:val="auto"/>
              </w:rPr>
            </w:pPr>
            <w:r>
              <w:rPr>
                <w:rFonts w:ascii="Arial" w:cs="Arial" w:eastAsia="Arial" w:hAnsi="Arial"/>
                <w:sz w:val="14"/>
                <w:szCs w:val="14"/>
                <w:i w:val="1"/>
                <w:iCs w:val="1"/>
                <w:color w:val="auto"/>
              </w:rPr>
              <w:t>U.S. High Grade - Fully Electronic</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6,870</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439,657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6,443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412,321</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6.63 %</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40" w:type="dxa"/>
            <w:vAlign w:val="bottom"/>
            <w:tcBorders>
              <w:right w:val="single" w:sz="8" w:color="D5DCE4"/>
            </w:tcBorders>
            <w:gridSpan w:val="3"/>
            <w:shd w:val="clear" w:color="auto" w:fill="D5DCE4"/>
          </w:tcPr>
          <w:p>
            <w:pPr>
              <w:ind w:left="180"/>
              <w:spacing w:after="0"/>
              <w:rPr>
                <w:sz w:val="20"/>
                <w:szCs w:val="20"/>
                <w:color w:val="auto"/>
              </w:rPr>
            </w:pPr>
            <w:r>
              <w:rPr>
                <w:rFonts w:ascii="Arial" w:cs="Arial" w:eastAsia="Arial" w:hAnsi="Arial"/>
                <w:sz w:val="14"/>
                <w:szCs w:val="14"/>
                <w:i w:val="1"/>
                <w:iCs w:val="1"/>
                <w:color w:val="auto"/>
              </w:rPr>
              <w:t>U.S. High Grade - Electronically Processed</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2,922</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186,986</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2,649</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169,509</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10.31 %</w:t>
            </w:r>
          </w:p>
        </w:tc>
        <w:tc>
          <w:tcPr>
            <w:tcW w:w="20" w:type="dxa"/>
            <w:vAlign w:val="bottom"/>
          </w:tcPr>
          <w:p>
            <w:pPr>
              <w:spacing w:after="0"/>
              <w:rPr>
                <w:sz w:val="19"/>
                <w:szCs w:val="19"/>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00"/>
              <w:spacing w:after="0"/>
              <w:rPr>
                <w:sz w:val="20"/>
                <w:szCs w:val="20"/>
                <w:color w:val="auto"/>
              </w:rPr>
            </w:pPr>
            <w:r>
              <w:rPr>
                <w:rFonts w:ascii="Arial" w:cs="Arial" w:eastAsia="Arial" w:hAnsi="Arial"/>
                <w:sz w:val="14"/>
                <w:szCs w:val="14"/>
                <w:i w:val="1"/>
                <w:iCs w:val="1"/>
                <w:color w:val="auto"/>
              </w:rPr>
              <w:t>U.S. High Yield - Fully Electronic</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59,175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773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49,500</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19.55 %</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4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U.S. High Yield - Electronically Processed</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290</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18,547</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17,679</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4.91 %</w:t>
            </w:r>
          </w:p>
        </w:tc>
        <w:tc>
          <w:tcPr>
            <w:tcW w:w="20" w:type="dxa"/>
            <w:vAlign w:val="bottom"/>
          </w:tcPr>
          <w:p>
            <w:pPr>
              <w:spacing w:after="0"/>
              <w:rPr>
                <w:sz w:val="19"/>
                <w:szCs w:val="19"/>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European Credit</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165,431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2,092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138,095</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19.80 %</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Municipal Bonds</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33,095</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380</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24,303</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36.18 %</w:t>
            </w:r>
          </w:p>
        </w:tc>
        <w:tc>
          <w:tcPr>
            <w:tcW w:w="20" w:type="dxa"/>
            <w:vAlign w:val="bottom"/>
          </w:tcPr>
          <w:p>
            <w:pPr>
              <w:spacing w:after="0"/>
              <w:rPr>
                <w:sz w:val="19"/>
                <w:szCs w:val="19"/>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Chinese Bonds</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116,044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2,372</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151,777</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(25.86)%</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00"/>
              <w:spacing w:after="0"/>
              <w:rPr>
                <w:sz w:val="20"/>
                <w:szCs w:val="20"/>
                <w:color w:val="auto"/>
              </w:rPr>
            </w:pPr>
            <w:r>
              <w:rPr>
                <w:rFonts w:ascii="Arial" w:cs="Arial" w:eastAsia="Arial" w:hAnsi="Arial"/>
                <w:sz w:val="14"/>
                <w:szCs w:val="14"/>
                <w:i w:val="1"/>
                <w:iCs w:val="1"/>
                <w:color w:val="auto"/>
              </w:rPr>
              <w:t>Other Credit Bonds</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24,258</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267</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17,386</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39.78 %</w:t>
            </w:r>
          </w:p>
        </w:tc>
        <w:tc>
          <w:tcPr>
            <w:tcW w:w="20" w:type="dxa"/>
            <w:vAlign w:val="bottom"/>
          </w:tcPr>
          <w:p>
            <w:pPr>
              <w:spacing w:after="0"/>
              <w:rPr>
                <w:sz w:val="19"/>
                <w:szCs w:val="19"/>
                <w:color w:val="auto"/>
              </w:rPr>
            </w:pPr>
          </w:p>
        </w:tc>
      </w:tr>
      <w:tr>
        <w:trPr>
          <w:trHeight w:val="213"/>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25,863</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1,676,981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27,338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1,773,907</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(5.39)%</w:t>
            </w:r>
          </w:p>
        </w:tc>
        <w:tc>
          <w:tcPr>
            <w:tcW w:w="20" w:type="dxa"/>
            <w:vAlign w:val="bottom"/>
          </w:tcPr>
          <w:p>
            <w:pPr>
              <w:spacing w:after="0"/>
              <w:rPr>
                <w:sz w:val="18"/>
                <w:szCs w:val="18"/>
                <w:color w:val="auto"/>
              </w:rPr>
            </w:pPr>
          </w:p>
        </w:tc>
      </w:tr>
      <w:tr>
        <w:trPr>
          <w:trHeight w:val="219"/>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Swaps</w:t>
            </w:r>
          </w:p>
        </w:tc>
        <w:tc>
          <w:tcPr>
            <w:tcW w:w="28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25,863</w:t>
            </w:r>
          </w:p>
        </w:tc>
        <w:tc>
          <w:tcPr>
            <w:tcW w:w="120" w:type="dxa"/>
            <w:vAlign w:val="bottom"/>
            <w:tcBorders>
              <w:bottom w:val="single" w:sz="8" w:color="auto"/>
            </w:tcBorders>
            <w:shd w:val="clear" w:color="auto" w:fill="D5DCE4"/>
          </w:tcPr>
          <w:p>
            <w:pPr>
              <w:spacing w:after="0"/>
              <w:rPr>
                <w:sz w:val="19"/>
                <w:szCs w:val="19"/>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1,676,981</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tcBorders>
              <w:bottom w:val="single" w:sz="8" w:color="auto"/>
            </w:tcBorders>
            <w:shd w:val="clear" w:color="auto" w:fill="D5DCE4"/>
          </w:tcPr>
          <w:p>
            <w:pPr>
              <w:spacing w:after="0"/>
              <w:rPr>
                <w:sz w:val="19"/>
                <w:szCs w:val="19"/>
                <w:color w:val="auto"/>
              </w:rPr>
            </w:pPr>
          </w:p>
        </w:tc>
        <w:tc>
          <w:tcPr>
            <w:tcW w:w="900" w:type="dxa"/>
            <w:vAlign w:val="bottom"/>
            <w:tcBorders>
              <w:bottom w:val="single" w:sz="8" w:color="auto"/>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27,338</w:t>
            </w:r>
          </w:p>
        </w:tc>
        <w:tc>
          <w:tcPr>
            <w:tcW w:w="120" w:type="dxa"/>
            <w:vAlign w:val="bottom"/>
            <w:tcBorders>
              <w:bottom w:val="single" w:sz="8" w:color="auto"/>
            </w:tcBorders>
            <w:shd w:val="clear" w:color="auto" w:fill="D5DCE4"/>
          </w:tcPr>
          <w:p>
            <w:pPr>
              <w:spacing w:after="0"/>
              <w:rPr>
                <w:sz w:val="19"/>
                <w:szCs w:val="19"/>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1,773,907</w:t>
            </w:r>
          </w:p>
        </w:tc>
        <w:tc>
          <w:tcPr>
            <w:tcW w:w="100" w:type="dxa"/>
            <w:vAlign w:val="bottom"/>
            <w:tcBorders>
              <w:right w:val="single" w:sz="8" w:color="D5DCE4"/>
            </w:tcBorders>
            <w:shd w:val="clear" w:color="auto" w:fill="D5DCE4"/>
          </w:tcPr>
          <w:p>
            <w:pPr>
              <w:spacing w:after="0"/>
              <w:rPr>
                <w:sz w:val="19"/>
                <w:szCs w:val="19"/>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color w:val="auto"/>
              </w:rPr>
              <w:t>(5.39)%</w:t>
            </w:r>
          </w:p>
        </w:tc>
        <w:tc>
          <w:tcPr>
            <w:tcW w:w="20" w:type="dxa"/>
            <w:vAlign w:val="bottom"/>
          </w:tcPr>
          <w:p>
            <w:pPr>
              <w:spacing w:after="0"/>
              <w:rPr>
                <w:sz w:val="19"/>
                <w:szCs w:val="19"/>
                <w:color w:val="auto"/>
              </w:rPr>
            </w:pPr>
          </w:p>
        </w:tc>
      </w:tr>
      <w:tr>
        <w:trPr>
          <w:trHeight w:val="205"/>
        </w:trPr>
        <w:tc>
          <w:tcPr>
            <w:tcW w:w="1260" w:type="dxa"/>
            <w:vAlign w:val="bottom"/>
            <w:tcBorders>
              <w:bottom w:val="single" w:sz="8" w:color="D5DCE4"/>
            </w:tcBorders>
          </w:tcPr>
          <w:p>
            <w:pPr>
              <w:spacing w:after="0"/>
              <w:rPr>
                <w:sz w:val="17"/>
                <w:szCs w:val="17"/>
                <w:color w:val="auto"/>
              </w:rPr>
            </w:pPr>
          </w:p>
        </w:tc>
        <w:tc>
          <w:tcPr>
            <w:tcW w:w="300" w:type="dxa"/>
            <w:vAlign w:val="bottom"/>
            <w:tcBorders>
              <w:bottom w:val="single" w:sz="8" w:color="D5DCE4"/>
            </w:tcBorders>
          </w:tcPr>
          <w:p>
            <w:pPr>
              <w:spacing w:after="0"/>
              <w:rPr>
                <w:sz w:val="17"/>
                <w:szCs w:val="17"/>
                <w:color w:val="auto"/>
              </w:rPr>
            </w:pPr>
          </w:p>
        </w:tc>
        <w:tc>
          <w:tcPr>
            <w:tcW w:w="2740" w:type="dxa"/>
            <w:vAlign w:val="bottom"/>
            <w:tcBorders>
              <w:bottom w:val="single" w:sz="8" w:color="D5DCE4"/>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42,024</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2,720,174</w:t>
            </w:r>
          </w:p>
        </w:tc>
        <w:tc>
          <w:tcPr>
            <w:tcW w:w="100" w:type="dxa"/>
            <w:vAlign w:val="bottom"/>
            <w:tcBorders>
              <w:bottom w:val="single" w:sz="8" w:color="D5DCE4"/>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42,590</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2,754,477</w:t>
            </w:r>
          </w:p>
        </w:tc>
        <w:tc>
          <w:tcPr>
            <w:tcW w:w="100" w:type="dxa"/>
            <w:vAlign w:val="bottom"/>
            <w:tcBorders>
              <w:bottom w:val="single" w:sz="8" w:color="D5DCE4"/>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w:t>
            </w:r>
          </w:p>
        </w:tc>
        <w:tc>
          <w:tcPr>
            <w:tcW w:w="20" w:type="dxa"/>
            <w:vAlign w:val="bottom"/>
          </w:tcPr>
          <w:p>
            <w:pPr>
              <w:spacing w:after="0"/>
              <w:rPr>
                <w:sz w:val="17"/>
                <w:szCs w:val="17"/>
                <w:color w:val="auto"/>
              </w:rPr>
            </w:pPr>
          </w:p>
        </w:tc>
      </w:tr>
      <w:tr>
        <w:trPr>
          <w:trHeight w:val="211"/>
        </w:trPr>
        <w:tc>
          <w:tcPr>
            <w:tcW w:w="1260" w:type="dxa"/>
            <w:vAlign w:val="bottom"/>
            <w:shd w:val="clear" w:color="auto" w:fill="D5DCE4"/>
          </w:tcPr>
          <w:p>
            <w:pPr>
              <w:ind w:left="20"/>
              <w:spacing w:after="0"/>
              <w:rPr>
                <w:sz w:val="20"/>
                <w:szCs w:val="20"/>
                <w:color w:val="auto"/>
              </w:rPr>
            </w:pPr>
            <w:r>
              <w:rPr>
                <w:rFonts w:ascii="Arial" w:cs="Arial" w:eastAsia="Arial" w:hAnsi="Arial"/>
                <w:sz w:val="14"/>
                <w:szCs w:val="14"/>
                <w:b w:val="1"/>
                <w:bCs w:val="1"/>
                <w:color w:val="auto"/>
              </w:rPr>
              <w:t>Equities</w:t>
            </w:r>
          </w:p>
        </w:tc>
        <w:tc>
          <w:tcPr>
            <w:tcW w:w="300" w:type="dxa"/>
            <w:vAlign w:val="bottom"/>
            <w:tcBorders>
              <w:right w:val="single" w:sz="8" w:color="D5DCE4"/>
            </w:tcBorders>
            <w:shd w:val="clear" w:color="auto" w:fill="D5DCE4"/>
          </w:tcPr>
          <w:p>
            <w:pPr>
              <w:spacing w:after="0"/>
              <w:rPr>
                <w:sz w:val="18"/>
                <w:szCs w:val="18"/>
                <w:color w:val="auto"/>
              </w:rPr>
            </w:pPr>
          </w:p>
        </w:tc>
        <w:tc>
          <w:tcPr>
            <w:tcW w:w="27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4"/>
                <w:szCs w:val="14"/>
                <w:b w:val="1"/>
                <w:bCs w:val="1"/>
                <w:color w:val="auto"/>
              </w:rPr>
              <w:t>Cash</w:t>
            </w:r>
          </w:p>
        </w:tc>
        <w:tc>
          <w:tcPr>
            <w:tcW w:w="280" w:type="dxa"/>
            <w:vAlign w:val="bottom"/>
            <w:shd w:val="clear" w:color="auto" w:fill="D5DCE4"/>
          </w:tcPr>
          <w:p>
            <w:pPr>
              <w:spacing w:after="0"/>
              <w:rPr>
                <w:sz w:val="18"/>
                <w:szCs w:val="18"/>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11,836</w:t>
            </w:r>
          </w:p>
        </w:tc>
        <w:tc>
          <w:tcPr>
            <w:tcW w:w="120" w:type="dxa"/>
            <w:vAlign w:val="bottom"/>
            <w:shd w:val="clear" w:color="auto" w:fill="D5DCE4"/>
          </w:tcPr>
          <w:p>
            <w:pPr>
              <w:spacing w:after="0"/>
              <w:rPr>
                <w:sz w:val="18"/>
                <w:szCs w:val="18"/>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763,746</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10,308</w:t>
            </w:r>
          </w:p>
        </w:tc>
        <w:tc>
          <w:tcPr>
            <w:tcW w:w="120" w:type="dxa"/>
            <w:vAlign w:val="bottom"/>
            <w:shd w:val="clear" w:color="auto" w:fill="D5DCE4"/>
          </w:tcPr>
          <w:p>
            <w:pPr>
              <w:spacing w:after="0"/>
              <w:rPr>
                <w:sz w:val="18"/>
                <w:szCs w:val="18"/>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665,127</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b w:val="1"/>
                <w:bCs w:val="1"/>
                <w:color w:val="auto"/>
              </w:rPr>
              <w:t>14.82 %</w:t>
            </w:r>
          </w:p>
        </w:tc>
        <w:tc>
          <w:tcPr>
            <w:tcW w:w="20" w:type="dxa"/>
            <w:vAlign w:val="bottom"/>
          </w:tcPr>
          <w:p>
            <w:pPr>
              <w:spacing w:after="0"/>
              <w:rPr>
                <w:sz w:val="18"/>
                <w:szCs w:val="18"/>
                <w:color w:val="auto"/>
              </w:rPr>
            </w:pPr>
          </w:p>
        </w:tc>
      </w:tr>
      <w:tr>
        <w:trPr>
          <w:trHeight w:val="209"/>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U.S. ETFs</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8,725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558,399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7,608</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486,896</w:t>
            </w:r>
          </w:p>
        </w:tc>
        <w:tc>
          <w:tcPr>
            <w:tcW w:w="1240" w:type="dxa"/>
            <w:vAlign w:val="bottom"/>
            <w:gridSpan w:val="2"/>
          </w:tcPr>
          <w:p>
            <w:pPr>
              <w:jc w:val="right"/>
              <w:spacing w:after="0"/>
              <w:rPr>
                <w:sz w:val="20"/>
                <w:szCs w:val="20"/>
                <w:color w:val="auto"/>
              </w:rPr>
            </w:pPr>
            <w:r>
              <w:rPr>
                <w:rFonts w:ascii="Arial" w:cs="Arial" w:eastAsia="Arial" w:hAnsi="Arial"/>
                <w:sz w:val="14"/>
                <w:szCs w:val="14"/>
                <w:color w:val="auto"/>
              </w:rPr>
              <w:t>14.69 %</w:t>
            </w:r>
          </w:p>
        </w:tc>
        <w:tc>
          <w:tcPr>
            <w:tcW w:w="20" w:type="dxa"/>
            <w:vAlign w:val="bottom"/>
          </w:tcPr>
          <w:p>
            <w:pPr>
              <w:spacing w:after="0"/>
              <w:rPr>
                <w:sz w:val="18"/>
                <w:szCs w:val="18"/>
                <w:color w:val="auto"/>
              </w:rPr>
            </w:pPr>
          </w:p>
        </w:tc>
      </w:tr>
      <w:tr>
        <w:trPr>
          <w:trHeight w:val="223"/>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International ETFs</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3,111</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205,346</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178,231</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15.21 %</w:t>
            </w:r>
          </w:p>
        </w:tc>
        <w:tc>
          <w:tcPr>
            <w:tcW w:w="20" w:type="dxa"/>
            <w:vAlign w:val="bottom"/>
          </w:tcPr>
          <w:p>
            <w:pPr>
              <w:spacing w:after="0"/>
              <w:rPr>
                <w:sz w:val="19"/>
                <w:szCs w:val="19"/>
                <w:color w:val="auto"/>
              </w:rPr>
            </w:pPr>
          </w:p>
        </w:tc>
      </w:tr>
      <w:tr>
        <w:trPr>
          <w:trHeight w:val="213"/>
        </w:trPr>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14,225</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913,262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12,507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802,103</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13.74 %</w:t>
            </w:r>
          </w:p>
        </w:tc>
        <w:tc>
          <w:tcPr>
            <w:tcW w:w="20" w:type="dxa"/>
            <w:vAlign w:val="bottom"/>
          </w:tcPr>
          <w:p>
            <w:pPr>
              <w:spacing w:after="0"/>
              <w:rPr>
                <w:sz w:val="18"/>
                <w:szCs w:val="18"/>
                <w:color w:val="auto"/>
              </w:rPr>
            </w:pPr>
          </w:p>
        </w:tc>
      </w:tr>
      <w:tr>
        <w:trPr>
          <w:trHeight w:val="219"/>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Convertibles/Swaps/Options</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10,746</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690,277</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9,279</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595,271</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15.81 %</w:t>
            </w:r>
          </w:p>
        </w:tc>
        <w:tc>
          <w:tcPr>
            <w:tcW w:w="20" w:type="dxa"/>
            <w:vAlign w:val="bottom"/>
          </w:tcPr>
          <w:p>
            <w:pPr>
              <w:spacing w:after="0"/>
              <w:rPr>
                <w:sz w:val="19"/>
                <w:szCs w:val="19"/>
                <w:color w:val="auto"/>
              </w:rPr>
            </w:pPr>
          </w:p>
        </w:tc>
      </w:tr>
      <w:tr>
        <w:trPr>
          <w:trHeight w:val="209"/>
        </w:trPr>
        <w:tc>
          <w:tcPr>
            <w:tcW w:w="1260" w:type="dxa"/>
            <w:vAlign w:val="bottom"/>
            <w:tcBorders>
              <w:bottom w:val="single" w:sz="8" w:color="D5DCE4"/>
            </w:tcBorders>
          </w:tcPr>
          <w:p>
            <w:pPr>
              <w:spacing w:after="0"/>
              <w:rPr>
                <w:sz w:val="18"/>
                <w:szCs w:val="18"/>
                <w:color w:val="auto"/>
              </w:rPr>
            </w:pPr>
          </w:p>
        </w:tc>
        <w:tc>
          <w:tcPr>
            <w:tcW w:w="300" w:type="dxa"/>
            <w:vAlign w:val="bottom"/>
            <w:tcBorders>
              <w:bottom w:val="single" w:sz="8" w:color="D5DCE4"/>
            </w:tcBorders>
          </w:tcPr>
          <w:p>
            <w:pPr>
              <w:spacing w:after="0"/>
              <w:rPr>
                <w:sz w:val="18"/>
                <w:szCs w:val="18"/>
                <w:color w:val="auto"/>
              </w:rPr>
            </w:pPr>
          </w:p>
        </w:tc>
        <w:tc>
          <w:tcPr>
            <w:tcW w:w="274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4"/>
                <w:szCs w:val="14"/>
                <w:i w:val="1"/>
                <w:iCs w:val="1"/>
                <w:color w:val="auto"/>
              </w:rPr>
              <w:t>Futures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3,479</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222,984</w:t>
            </w:r>
          </w:p>
        </w:tc>
        <w:tc>
          <w:tcPr>
            <w:tcW w:w="10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3,228</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206,832</w:t>
            </w:r>
          </w:p>
        </w:tc>
        <w:tc>
          <w:tcPr>
            <w:tcW w:w="100" w:type="dxa"/>
            <w:vAlign w:val="bottom"/>
            <w:tcBorders>
              <w:bottom w:val="single" w:sz="8" w:color="D5DCE4"/>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7.77 %</w:t>
            </w:r>
          </w:p>
        </w:tc>
        <w:tc>
          <w:tcPr>
            <w:tcW w:w="20" w:type="dxa"/>
            <w:vAlign w:val="bottom"/>
          </w:tcPr>
          <w:p>
            <w:pPr>
              <w:spacing w:after="0"/>
              <w:rPr>
                <w:sz w:val="18"/>
                <w:szCs w:val="18"/>
                <w:color w:val="auto"/>
              </w:rPr>
            </w:pPr>
          </w:p>
        </w:tc>
      </w:tr>
      <w:tr>
        <w:trPr>
          <w:trHeight w:val="215"/>
        </w:trPr>
        <w:tc>
          <w:tcPr>
            <w:tcW w:w="1260" w:type="dxa"/>
            <w:vAlign w:val="bottom"/>
            <w:shd w:val="clear" w:color="auto" w:fill="D5DCE4"/>
          </w:tcPr>
          <w:p>
            <w:pPr>
              <w:spacing w:after="0"/>
              <w:rPr>
                <w:sz w:val="18"/>
                <w:szCs w:val="18"/>
                <w:color w:val="auto"/>
              </w:rPr>
            </w:pPr>
          </w:p>
        </w:tc>
        <w:tc>
          <w:tcPr>
            <w:tcW w:w="300" w:type="dxa"/>
            <w:vAlign w:val="bottom"/>
            <w:tcBorders>
              <w:right w:val="single" w:sz="8" w:color="D5DCE4"/>
            </w:tcBorders>
            <w:shd w:val="clear" w:color="auto" w:fill="D5DCE4"/>
          </w:tcPr>
          <w:p>
            <w:pPr>
              <w:spacing w:after="0"/>
              <w:rPr>
                <w:sz w:val="18"/>
                <w:szCs w:val="18"/>
                <w:color w:val="auto"/>
              </w:rPr>
            </w:pPr>
          </w:p>
        </w:tc>
        <w:tc>
          <w:tcPr>
            <w:tcW w:w="27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shd w:val="clear" w:color="auto" w:fill="D5DCE4"/>
          </w:tcPr>
          <w:p>
            <w:pPr>
              <w:spacing w:after="0"/>
              <w:rPr>
                <w:sz w:val="18"/>
                <w:szCs w:val="18"/>
                <w:color w:val="auto"/>
              </w:rPr>
            </w:pPr>
          </w:p>
        </w:tc>
        <w:tc>
          <w:tcPr>
            <w:tcW w:w="900" w:type="dxa"/>
            <w:vAlign w:val="bottom"/>
            <w:tcBorders>
              <w:bottom w:val="single" w:sz="8" w:color="auto"/>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26,061</w:t>
            </w:r>
          </w:p>
        </w:tc>
        <w:tc>
          <w:tcPr>
            <w:tcW w:w="120" w:type="dxa"/>
            <w:vAlign w:val="bottom"/>
            <w:tcBorders>
              <w:bottom w:val="single" w:sz="8" w:color="auto"/>
            </w:tcBorders>
            <w:shd w:val="clear" w:color="auto" w:fill="D5DCE4"/>
          </w:tcPr>
          <w:p>
            <w:pPr>
              <w:spacing w:after="0"/>
              <w:rPr>
                <w:sz w:val="18"/>
                <w:szCs w:val="18"/>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1,677,007</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tcBorders>
              <w:bottom w:val="single" w:sz="8" w:color="auto"/>
            </w:tcBorders>
            <w:shd w:val="clear" w:color="auto" w:fill="D5DCE4"/>
          </w:tcPr>
          <w:p>
            <w:pPr>
              <w:spacing w:after="0"/>
              <w:rPr>
                <w:sz w:val="18"/>
                <w:szCs w:val="18"/>
                <w:color w:val="auto"/>
              </w:rPr>
            </w:pPr>
          </w:p>
        </w:tc>
        <w:tc>
          <w:tcPr>
            <w:tcW w:w="900" w:type="dxa"/>
            <w:vAlign w:val="bottom"/>
            <w:tcBorders>
              <w:bottom w:val="single" w:sz="8" w:color="auto"/>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22,815</w:t>
            </w:r>
          </w:p>
        </w:tc>
        <w:tc>
          <w:tcPr>
            <w:tcW w:w="120" w:type="dxa"/>
            <w:vAlign w:val="bottom"/>
            <w:tcBorders>
              <w:bottom w:val="single" w:sz="8" w:color="auto"/>
            </w:tcBorders>
            <w:shd w:val="clear" w:color="auto" w:fill="D5DCE4"/>
          </w:tcPr>
          <w:p>
            <w:pPr>
              <w:spacing w:after="0"/>
              <w:rPr>
                <w:sz w:val="18"/>
                <w:szCs w:val="18"/>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1,467,230</w:t>
            </w:r>
          </w:p>
        </w:tc>
        <w:tc>
          <w:tcPr>
            <w:tcW w:w="100" w:type="dxa"/>
            <w:vAlign w:val="bottom"/>
            <w:tcBorders>
              <w:right w:val="single" w:sz="8" w:color="D5DCE4"/>
            </w:tcBorders>
            <w:shd w:val="clear" w:color="auto" w:fill="D5DCE4"/>
          </w:tcPr>
          <w:p>
            <w:pPr>
              <w:spacing w:after="0"/>
              <w:rPr>
                <w:sz w:val="18"/>
                <w:szCs w:val="18"/>
                <w:color w:val="auto"/>
              </w:rPr>
            </w:pPr>
          </w:p>
        </w:tc>
        <w:tc>
          <w:tcPr>
            <w:tcW w:w="11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4"/>
                <w:szCs w:val="14"/>
                <w:b w:val="1"/>
                <w:bCs w:val="1"/>
                <w:color w:val="auto"/>
              </w:rPr>
              <w:t>14.23 %</w:t>
            </w:r>
          </w:p>
        </w:tc>
        <w:tc>
          <w:tcPr>
            <w:tcW w:w="20" w:type="dxa"/>
            <w:vAlign w:val="bottom"/>
          </w:tcPr>
          <w:p>
            <w:pPr>
              <w:spacing w:after="0"/>
              <w:rPr>
                <w:sz w:val="18"/>
                <w:szCs w:val="18"/>
                <w:color w:val="auto"/>
              </w:rPr>
            </w:pPr>
          </w:p>
        </w:tc>
      </w:tr>
      <w:tr>
        <w:trPr>
          <w:trHeight w:val="205"/>
        </w:trPr>
        <w:tc>
          <w:tcPr>
            <w:tcW w:w="1260" w:type="dxa"/>
            <w:vAlign w:val="bottom"/>
          </w:tcPr>
          <w:p>
            <w:pPr>
              <w:ind w:left="20"/>
              <w:spacing w:after="0"/>
              <w:rPr>
                <w:sz w:val="20"/>
                <w:szCs w:val="20"/>
                <w:color w:val="auto"/>
              </w:rPr>
            </w:pPr>
            <w:r>
              <w:rPr>
                <w:rFonts w:ascii="Arial" w:cs="Arial" w:eastAsia="Arial" w:hAnsi="Arial"/>
                <w:sz w:val="14"/>
                <w:szCs w:val="14"/>
                <w:b w:val="1"/>
                <w:bCs w:val="1"/>
                <w:color w:val="auto"/>
              </w:rPr>
              <w:t>Money Markets</w:t>
            </w:r>
          </w:p>
        </w:tc>
        <w:tc>
          <w:tcPr>
            <w:tcW w:w="30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1,051,611</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74,615,475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939,622</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59,556,275</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11.92 %</w:t>
            </w:r>
          </w:p>
        </w:tc>
        <w:tc>
          <w:tcPr>
            <w:tcW w:w="20" w:type="dxa"/>
            <w:vAlign w:val="bottom"/>
          </w:tcPr>
          <w:p>
            <w:pPr>
              <w:spacing w:after="0"/>
              <w:rPr>
                <w:sz w:val="17"/>
                <w:szCs w:val="17"/>
                <w:color w:val="auto"/>
              </w:rPr>
            </w:pPr>
          </w:p>
        </w:tc>
      </w:tr>
      <w:tr>
        <w:trPr>
          <w:trHeight w:val="219"/>
        </w:trPr>
        <w:tc>
          <w:tcPr>
            <w:tcW w:w="1260" w:type="dxa"/>
            <w:vAlign w:val="bottom"/>
            <w:shd w:val="clear" w:color="auto" w:fill="D5DCE4"/>
          </w:tcPr>
          <w:p>
            <w:pPr>
              <w:spacing w:after="0"/>
              <w:rPr>
                <w:sz w:val="19"/>
                <w:szCs w:val="19"/>
                <w:color w:val="auto"/>
              </w:rPr>
            </w:pPr>
          </w:p>
        </w:tc>
        <w:tc>
          <w:tcPr>
            <w:tcW w:w="300" w:type="dxa"/>
            <w:vAlign w:val="bottom"/>
            <w:tcBorders>
              <w:right w:val="single" w:sz="8" w:color="D5DCE4"/>
            </w:tcBorders>
            <w:shd w:val="clear" w:color="auto" w:fill="D5DCE4"/>
          </w:tcPr>
          <w:p>
            <w:pPr>
              <w:spacing w:after="0"/>
              <w:rPr>
                <w:sz w:val="19"/>
                <w:szCs w:val="19"/>
                <w:color w:val="auto"/>
              </w:rPr>
            </w:pPr>
          </w:p>
        </w:tc>
        <w:tc>
          <w:tcPr>
            <w:tcW w:w="274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4"/>
                <w:szCs w:val="14"/>
                <w:i w:val="1"/>
                <w:iCs w:val="1"/>
                <w:color w:val="auto"/>
              </w:rPr>
              <w:t>Repurchase Agreements (Repo)</w:t>
            </w: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28"/>
              <w:spacing w:after="0"/>
              <w:rPr>
                <w:sz w:val="20"/>
                <w:szCs w:val="20"/>
                <w:color w:val="auto"/>
              </w:rPr>
            </w:pPr>
            <w:r>
              <w:rPr>
                <w:rFonts w:ascii="Arial" w:cs="Arial" w:eastAsia="Arial" w:hAnsi="Arial"/>
                <w:sz w:val="14"/>
                <w:szCs w:val="14"/>
                <w:color w:val="auto"/>
              </w:rPr>
              <w:t>779,853</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50,260,266</w:t>
            </w:r>
          </w:p>
        </w:tc>
        <w:tc>
          <w:tcPr>
            <w:tcW w:w="100" w:type="dxa"/>
            <w:vAlign w:val="bottom"/>
            <w:tcBorders>
              <w:right w:val="single" w:sz="8" w:color="D5DCE4"/>
            </w:tcBorders>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color w:val="auto"/>
              </w:rPr>
              <w:t>647,745</w:t>
            </w:r>
          </w:p>
        </w:tc>
        <w:tc>
          <w:tcPr>
            <w:tcW w:w="120" w:type="dxa"/>
            <w:vAlign w:val="bottom"/>
            <w:shd w:val="clear" w:color="auto" w:fill="D5DCE4"/>
          </w:tcPr>
          <w:p>
            <w:pPr>
              <w:spacing w:after="0"/>
              <w:rPr>
                <w:sz w:val="19"/>
                <w:szCs w:val="19"/>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color w:val="auto"/>
              </w:rPr>
              <w:t>41,687,516</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color w:val="auto"/>
              </w:rPr>
              <w:t>20.40 %</w:t>
            </w:r>
          </w:p>
        </w:tc>
        <w:tc>
          <w:tcPr>
            <w:tcW w:w="20" w:type="dxa"/>
            <w:vAlign w:val="bottom"/>
          </w:tcPr>
          <w:p>
            <w:pPr>
              <w:spacing w:after="0"/>
              <w:rPr>
                <w:sz w:val="19"/>
                <w:szCs w:val="19"/>
                <w:color w:val="auto"/>
              </w:rPr>
            </w:pPr>
          </w:p>
        </w:tc>
      </w:tr>
      <w:tr>
        <w:trPr>
          <w:trHeight w:val="209"/>
        </w:trPr>
        <w:tc>
          <w:tcPr>
            <w:tcW w:w="1260" w:type="dxa"/>
            <w:vAlign w:val="bottom"/>
            <w:tcBorders>
              <w:bottom w:val="single" w:sz="8" w:color="D5DCE4"/>
            </w:tcBorders>
          </w:tcPr>
          <w:p>
            <w:pPr>
              <w:spacing w:after="0"/>
              <w:rPr>
                <w:sz w:val="18"/>
                <w:szCs w:val="18"/>
                <w:color w:val="auto"/>
              </w:rPr>
            </w:pPr>
          </w:p>
        </w:tc>
        <w:tc>
          <w:tcPr>
            <w:tcW w:w="300" w:type="dxa"/>
            <w:vAlign w:val="bottom"/>
            <w:tcBorders>
              <w:bottom w:val="single" w:sz="8" w:color="D5DCE4"/>
            </w:tcBorders>
          </w:tcPr>
          <w:p>
            <w:pPr>
              <w:spacing w:after="0"/>
              <w:rPr>
                <w:sz w:val="18"/>
                <w:szCs w:val="18"/>
                <w:color w:val="auto"/>
              </w:rPr>
            </w:pPr>
          </w:p>
        </w:tc>
        <w:tc>
          <w:tcPr>
            <w:tcW w:w="274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4"/>
                <w:szCs w:val="14"/>
                <w:i w:val="1"/>
                <w:iCs w:val="1"/>
                <w:color w:val="auto"/>
              </w:rPr>
              <w:t>Other Money Markets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271,758</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24,355,209</w:t>
            </w:r>
          </w:p>
        </w:tc>
        <w:tc>
          <w:tcPr>
            <w:tcW w:w="100" w:type="dxa"/>
            <w:vAlign w:val="bottom"/>
            <w:tcBorders>
              <w:bottom w:val="single" w:sz="8" w:color="D5DCE4"/>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291,877</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17,868,759</w:t>
            </w:r>
          </w:p>
        </w:tc>
        <w:tc>
          <w:tcPr>
            <w:tcW w:w="100" w:type="dxa"/>
            <w:vAlign w:val="bottom"/>
            <w:tcBorders>
              <w:bottom w:val="single" w:sz="8" w:color="D5DCE4"/>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w:t>
            </w:r>
          </w:p>
        </w:tc>
        <w:tc>
          <w:tcPr>
            <w:tcW w:w="20" w:type="dxa"/>
            <w:vAlign w:val="bottom"/>
          </w:tcPr>
          <w:p>
            <w:pPr>
              <w:spacing w:after="0"/>
              <w:rPr>
                <w:sz w:val="18"/>
                <w:szCs w:val="18"/>
                <w:color w:val="auto"/>
              </w:rPr>
            </w:pPr>
          </w:p>
        </w:tc>
      </w:tr>
      <w:tr>
        <w:trPr>
          <w:trHeight w:val="212"/>
        </w:trPr>
        <w:tc>
          <w:tcPr>
            <w:tcW w:w="1260" w:type="dxa"/>
            <w:vAlign w:val="bottom"/>
            <w:shd w:val="clear" w:color="auto" w:fill="D5DCE4"/>
          </w:tcPr>
          <w:p>
            <w:pPr>
              <w:spacing w:after="0"/>
              <w:rPr>
                <w:sz w:val="18"/>
                <w:szCs w:val="18"/>
                <w:color w:val="auto"/>
              </w:rPr>
            </w:pPr>
          </w:p>
        </w:tc>
        <w:tc>
          <w:tcPr>
            <w:tcW w:w="300" w:type="dxa"/>
            <w:vAlign w:val="bottom"/>
            <w:tcBorders>
              <w:right w:val="single" w:sz="8" w:color="D5DCE4"/>
            </w:tcBorders>
            <w:shd w:val="clear" w:color="auto" w:fill="D5DCE4"/>
          </w:tcPr>
          <w:p>
            <w:pPr>
              <w:spacing w:after="0"/>
              <w:rPr>
                <w:sz w:val="18"/>
                <w:szCs w:val="18"/>
                <w:color w:val="auto"/>
              </w:rPr>
            </w:pPr>
          </w:p>
        </w:tc>
        <w:tc>
          <w:tcPr>
            <w:tcW w:w="274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shd w:val="clear" w:color="auto" w:fill="D5DCE4"/>
          </w:tcPr>
          <w:p>
            <w:pPr>
              <w:spacing w:after="0"/>
              <w:rPr>
                <w:sz w:val="18"/>
                <w:szCs w:val="18"/>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1,051,611</w:t>
            </w:r>
          </w:p>
        </w:tc>
        <w:tc>
          <w:tcPr>
            <w:tcW w:w="120" w:type="dxa"/>
            <w:vAlign w:val="bottom"/>
            <w:shd w:val="clear" w:color="auto" w:fill="D5DCE4"/>
          </w:tcPr>
          <w:p>
            <w:pPr>
              <w:spacing w:after="0"/>
              <w:rPr>
                <w:sz w:val="18"/>
                <w:szCs w:val="18"/>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74,615,475</w:t>
            </w:r>
          </w:p>
        </w:tc>
        <w:tc>
          <w:tcPr>
            <w:tcW w:w="100" w:type="dxa"/>
            <w:vAlign w:val="bottom"/>
            <w:tcBorders>
              <w:right w:val="single" w:sz="8" w:color="D5DCE4"/>
            </w:tcBorders>
            <w:shd w:val="clear" w:color="auto" w:fill="D5DCE4"/>
          </w:tcPr>
          <w:p>
            <w:pPr>
              <w:spacing w:after="0"/>
              <w:rPr>
                <w:sz w:val="18"/>
                <w:szCs w:val="18"/>
                <w:color w:val="auto"/>
              </w:rPr>
            </w:pPr>
          </w:p>
        </w:tc>
        <w:tc>
          <w:tcPr>
            <w:tcW w:w="280" w:type="dxa"/>
            <w:vAlign w:val="bottom"/>
            <w:shd w:val="clear" w:color="auto" w:fill="D5DCE4"/>
          </w:tcPr>
          <w:p>
            <w:pPr>
              <w:spacing w:after="0"/>
              <w:rPr>
                <w:sz w:val="18"/>
                <w:szCs w:val="18"/>
                <w:color w:val="auto"/>
              </w:rPr>
            </w:pPr>
          </w:p>
        </w:tc>
        <w:tc>
          <w:tcPr>
            <w:tcW w:w="900" w:type="dxa"/>
            <w:vAlign w:val="bottom"/>
            <w:tcBorders>
              <w:right w:val="single" w:sz="8" w:color="D5DCE4"/>
            </w:tcBorders>
            <w:shd w:val="clear" w:color="auto" w:fill="D5DCE4"/>
          </w:tcPr>
          <w:p>
            <w:pPr>
              <w:jc w:val="right"/>
              <w:ind w:right="8"/>
              <w:spacing w:after="0"/>
              <w:rPr>
                <w:sz w:val="20"/>
                <w:szCs w:val="20"/>
                <w:color w:val="auto"/>
              </w:rPr>
            </w:pPr>
            <w:r>
              <w:rPr>
                <w:rFonts w:ascii="Arial" w:cs="Arial" w:eastAsia="Arial" w:hAnsi="Arial"/>
                <w:sz w:val="14"/>
                <w:szCs w:val="14"/>
                <w:b w:val="1"/>
                <w:bCs w:val="1"/>
                <w:color w:val="auto"/>
              </w:rPr>
              <w:t>939,622</w:t>
            </w:r>
          </w:p>
        </w:tc>
        <w:tc>
          <w:tcPr>
            <w:tcW w:w="120" w:type="dxa"/>
            <w:vAlign w:val="bottom"/>
            <w:shd w:val="clear" w:color="auto" w:fill="D5DCE4"/>
          </w:tcPr>
          <w:p>
            <w:pPr>
              <w:spacing w:after="0"/>
              <w:rPr>
                <w:sz w:val="18"/>
                <w:szCs w:val="18"/>
                <w:color w:val="auto"/>
              </w:rPr>
            </w:pPr>
          </w:p>
        </w:tc>
        <w:tc>
          <w:tcPr>
            <w:tcW w:w="1140" w:type="dxa"/>
            <w:vAlign w:val="bottom"/>
            <w:shd w:val="clear" w:color="auto" w:fill="D5DCE4"/>
          </w:tcPr>
          <w:p>
            <w:pPr>
              <w:jc w:val="right"/>
              <w:spacing w:after="0"/>
              <w:rPr>
                <w:sz w:val="20"/>
                <w:szCs w:val="20"/>
                <w:color w:val="auto"/>
              </w:rPr>
            </w:pPr>
            <w:r>
              <w:rPr>
                <w:rFonts w:ascii="Arial" w:cs="Arial" w:eastAsia="Arial" w:hAnsi="Arial"/>
                <w:sz w:val="14"/>
                <w:szCs w:val="14"/>
                <w:b w:val="1"/>
                <w:bCs w:val="1"/>
                <w:color w:val="auto"/>
              </w:rPr>
              <w:t>59,556,275</w:t>
            </w:r>
          </w:p>
        </w:tc>
        <w:tc>
          <w:tcPr>
            <w:tcW w:w="1240" w:type="dxa"/>
            <w:vAlign w:val="bottom"/>
            <w:gridSpan w:val="2"/>
            <w:shd w:val="clear" w:color="auto" w:fill="D5DCE4"/>
          </w:tcPr>
          <w:p>
            <w:pPr>
              <w:jc w:val="right"/>
              <w:spacing w:after="0"/>
              <w:rPr>
                <w:sz w:val="20"/>
                <w:szCs w:val="20"/>
                <w:color w:val="auto"/>
              </w:rPr>
            </w:pPr>
            <w:r>
              <w:rPr>
                <w:rFonts w:ascii="Arial" w:cs="Arial" w:eastAsia="Arial" w:hAnsi="Arial"/>
                <w:sz w:val="14"/>
                <w:szCs w:val="14"/>
                <w:b w:val="1"/>
                <w:bCs w:val="1"/>
                <w:color w:val="auto"/>
              </w:rPr>
              <w:t>11.92 %</w:t>
            </w:r>
          </w:p>
        </w:tc>
        <w:tc>
          <w:tcPr>
            <w:tcW w:w="20" w:type="dxa"/>
            <w:vAlign w:val="bottom"/>
          </w:tcPr>
          <w:p>
            <w:pPr>
              <w:spacing w:after="0"/>
              <w:rPr>
                <w:sz w:val="18"/>
                <w:szCs w:val="18"/>
                <w:color w:val="auto"/>
              </w:rPr>
            </w:pPr>
          </w:p>
        </w:tc>
      </w:tr>
      <w:tr>
        <w:trPr>
          <w:trHeight w:val="175"/>
        </w:trPr>
        <w:tc>
          <w:tcPr>
            <w:tcW w:w="1260" w:type="dxa"/>
            <w:vAlign w:val="bottom"/>
            <w:tcBorders>
              <w:bottom w:val="single" w:sz="8" w:color="D5DCE4"/>
            </w:tcBorders>
          </w:tcPr>
          <w:p>
            <w:pPr>
              <w:spacing w:after="0"/>
              <w:rPr>
                <w:sz w:val="15"/>
                <w:szCs w:val="15"/>
                <w:color w:val="auto"/>
              </w:rPr>
            </w:pPr>
          </w:p>
        </w:tc>
        <w:tc>
          <w:tcPr>
            <w:tcW w:w="300" w:type="dxa"/>
            <w:vAlign w:val="bottom"/>
            <w:tcBorders>
              <w:bottom w:val="single" w:sz="8" w:color="D5DCE4"/>
            </w:tcBorders>
          </w:tcPr>
          <w:p>
            <w:pPr>
              <w:spacing w:after="0"/>
              <w:rPr>
                <w:sz w:val="15"/>
                <w:szCs w:val="15"/>
                <w:color w:val="auto"/>
              </w:rPr>
            </w:pPr>
          </w:p>
        </w:tc>
        <w:tc>
          <w:tcPr>
            <w:tcW w:w="2640" w:type="dxa"/>
            <w:vAlign w:val="bottom"/>
            <w:tcBorders>
              <w:bottom w:val="single" w:sz="8" w:color="D5DCE4"/>
            </w:tcBorders>
          </w:tcPr>
          <w:p>
            <w:pPr>
              <w:spacing w:after="0"/>
              <w:rPr>
                <w:sz w:val="15"/>
                <w:szCs w:val="15"/>
                <w:color w:val="auto"/>
              </w:rPr>
            </w:pPr>
          </w:p>
        </w:tc>
        <w:tc>
          <w:tcPr>
            <w:tcW w:w="100" w:type="dxa"/>
            <w:vAlign w:val="bottom"/>
            <w:tcBorders>
              <w:bottom w:val="single" w:sz="8" w:color="D5DCE4"/>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2"/>
        </w:trPr>
        <w:tc>
          <w:tcPr>
            <w:tcW w:w="1260" w:type="dxa"/>
            <w:vAlign w:val="bottom"/>
            <w:shd w:val="clear" w:color="auto" w:fill="D5DCE4"/>
          </w:tcPr>
          <w:p>
            <w:pPr>
              <w:spacing w:after="0"/>
              <w:rPr>
                <w:sz w:val="14"/>
                <w:szCs w:val="14"/>
                <w:color w:val="auto"/>
              </w:rPr>
            </w:pPr>
          </w:p>
        </w:tc>
        <w:tc>
          <w:tcPr>
            <w:tcW w:w="300" w:type="dxa"/>
            <w:vAlign w:val="bottom"/>
            <w:tcBorders>
              <w:right w:val="single" w:sz="8" w:color="D5DCE4"/>
            </w:tcBorders>
            <w:shd w:val="clear" w:color="auto" w:fill="D5DCE4"/>
          </w:tcPr>
          <w:p>
            <w:pPr>
              <w:spacing w:after="0"/>
              <w:rPr>
                <w:sz w:val="14"/>
                <w:szCs w:val="14"/>
                <w:color w:val="auto"/>
              </w:rPr>
            </w:pPr>
          </w:p>
        </w:tc>
        <w:tc>
          <w:tcPr>
            <w:tcW w:w="2640" w:type="dxa"/>
            <w:vAlign w:val="bottom"/>
            <w:shd w:val="clear" w:color="auto" w:fill="D5DCE4"/>
          </w:tcPr>
          <w:p>
            <w:pPr>
              <w:spacing w:after="0"/>
              <w:rPr>
                <w:sz w:val="14"/>
                <w:szCs w:val="14"/>
                <w:color w:val="auto"/>
              </w:rPr>
            </w:pPr>
          </w:p>
        </w:tc>
        <w:tc>
          <w:tcPr>
            <w:tcW w:w="100" w:type="dxa"/>
            <w:vAlign w:val="bottom"/>
            <w:tcBorders>
              <w:right w:val="single" w:sz="8" w:color="auto"/>
            </w:tcBorders>
            <w:shd w:val="clear" w:color="auto" w:fill="D5DCE4"/>
          </w:tcPr>
          <w:p>
            <w:pPr>
              <w:spacing w:after="0"/>
              <w:rPr>
                <w:sz w:val="14"/>
                <w:szCs w:val="14"/>
                <w:color w:val="auto"/>
              </w:rPr>
            </w:pPr>
          </w:p>
        </w:tc>
        <w:tc>
          <w:tcPr>
            <w:tcW w:w="280" w:type="dxa"/>
            <w:vAlign w:val="bottom"/>
            <w:shd w:val="clear" w:color="auto" w:fill="D5DCE4"/>
          </w:tcPr>
          <w:p>
            <w:pPr>
              <w:spacing w:after="0"/>
              <w:rPr>
                <w:sz w:val="14"/>
                <w:szCs w:val="14"/>
                <w:color w:val="auto"/>
              </w:rPr>
            </w:pPr>
          </w:p>
        </w:tc>
        <w:tc>
          <w:tcPr>
            <w:tcW w:w="900" w:type="dxa"/>
            <w:vAlign w:val="bottom"/>
            <w:tcBorders>
              <w:right w:val="single" w:sz="8" w:color="auto"/>
            </w:tcBorders>
            <w:shd w:val="clear" w:color="auto" w:fill="D5DCE4"/>
          </w:tcPr>
          <w:p>
            <w:pPr>
              <w:spacing w:after="0"/>
              <w:rPr>
                <w:sz w:val="14"/>
                <w:szCs w:val="14"/>
                <w:color w:val="auto"/>
              </w:rPr>
            </w:pPr>
          </w:p>
        </w:tc>
        <w:tc>
          <w:tcPr>
            <w:tcW w:w="120" w:type="dxa"/>
            <w:vAlign w:val="bottom"/>
            <w:shd w:val="clear" w:color="auto" w:fill="D5DCE4"/>
          </w:tcPr>
          <w:p>
            <w:pPr>
              <w:spacing w:after="0"/>
              <w:rPr>
                <w:sz w:val="14"/>
                <w:szCs w:val="14"/>
                <w:color w:val="auto"/>
              </w:rPr>
            </w:pPr>
          </w:p>
        </w:tc>
        <w:tc>
          <w:tcPr>
            <w:tcW w:w="1140" w:type="dxa"/>
            <w:vAlign w:val="bottom"/>
            <w:shd w:val="clear" w:color="auto" w:fill="D5DCE4"/>
          </w:tcPr>
          <w:p>
            <w:pPr>
              <w:jc w:val="right"/>
              <w:ind w:right="108"/>
              <w:spacing w:after="0"/>
              <w:rPr>
                <w:sz w:val="20"/>
                <w:szCs w:val="20"/>
                <w:color w:val="auto"/>
              </w:rPr>
            </w:pPr>
            <w:r>
              <w:rPr>
                <w:rFonts w:ascii="Arial" w:cs="Arial" w:eastAsia="Arial" w:hAnsi="Arial"/>
                <w:sz w:val="14"/>
                <w:szCs w:val="14"/>
                <w:b w:val="1"/>
                <w:bCs w:val="1"/>
                <w:color w:val="auto"/>
              </w:rPr>
              <w:t>Volume (USD</w:t>
            </w:r>
          </w:p>
        </w:tc>
        <w:tc>
          <w:tcPr>
            <w:tcW w:w="100" w:type="dxa"/>
            <w:vAlign w:val="bottom"/>
            <w:tcBorders>
              <w:right w:val="single" w:sz="8" w:color="auto"/>
            </w:tcBorders>
            <w:shd w:val="clear" w:color="auto" w:fill="D5DCE4"/>
          </w:tcPr>
          <w:p>
            <w:pPr>
              <w:spacing w:after="0"/>
              <w:rPr>
                <w:sz w:val="14"/>
                <w:szCs w:val="14"/>
                <w:color w:val="auto"/>
              </w:rPr>
            </w:pPr>
          </w:p>
        </w:tc>
        <w:tc>
          <w:tcPr>
            <w:tcW w:w="280" w:type="dxa"/>
            <w:vAlign w:val="bottom"/>
            <w:shd w:val="clear" w:color="auto" w:fill="D5DCE4"/>
          </w:tcPr>
          <w:p>
            <w:pPr>
              <w:spacing w:after="0"/>
              <w:rPr>
                <w:sz w:val="14"/>
                <w:szCs w:val="14"/>
                <w:color w:val="auto"/>
              </w:rPr>
            </w:pPr>
          </w:p>
        </w:tc>
        <w:tc>
          <w:tcPr>
            <w:tcW w:w="900" w:type="dxa"/>
            <w:vAlign w:val="bottom"/>
            <w:tcBorders>
              <w:right w:val="single" w:sz="8" w:color="auto"/>
            </w:tcBorders>
            <w:shd w:val="clear" w:color="auto" w:fill="D5DCE4"/>
          </w:tcPr>
          <w:p>
            <w:pPr>
              <w:spacing w:after="0"/>
              <w:rPr>
                <w:sz w:val="14"/>
                <w:szCs w:val="14"/>
                <w:color w:val="auto"/>
              </w:rPr>
            </w:pPr>
          </w:p>
        </w:tc>
        <w:tc>
          <w:tcPr>
            <w:tcW w:w="120" w:type="dxa"/>
            <w:vAlign w:val="bottom"/>
            <w:shd w:val="clear" w:color="auto" w:fill="D5DCE4"/>
          </w:tcPr>
          <w:p>
            <w:pPr>
              <w:spacing w:after="0"/>
              <w:rPr>
                <w:sz w:val="14"/>
                <w:szCs w:val="14"/>
                <w:color w:val="auto"/>
              </w:rPr>
            </w:pPr>
          </w:p>
        </w:tc>
        <w:tc>
          <w:tcPr>
            <w:tcW w:w="1140" w:type="dxa"/>
            <w:vAlign w:val="bottom"/>
            <w:shd w:val="clear" w:color="auto" w:fill="D5DCE4"/>
          </w:tcPr>
          <w:p>
            <w:pPr>
              <w:jc w:val="right"/>
              <w:ind w:right="108"/>
              <w:spacing w:after="0"/>
              <w:rPr>
                <w:sz w:val="20"/>
                <w:szCs w:val="20"/>
                <w:color w:val="auto"/>
              </w:rPr>
            </w:pPr>
            <w:r>
              <w:rPr>
                <w:rFonts w:ascii="Arial" w:cs="Arial" w:eastAsia="Arial" w:hAnsi="Arial"/>
                <w:sz w:val="14"/>
                <w:szCs w:val="14"/>
                <w:b w:val="1"/>
                <w:bCs w:val="1"/>
                <w:color w:val="auto"/>
              </w:rPr>
              <w:t>Volume (USD</w:t>
            </w:r>
          </w:p>
        </w:tc>
        <w:tc>
          <w:tcPr>
            <w:tcW w:w="100" w:type="dxa"/>
            <w:vAlign w:val="bottom"/>
            <w:tcBorders>
              <w:right w:val="single" w:sz="8" w:color="auto"/>
            </w:tcBorders>
            <w:shd w:val="clear" w:color="auto" w:fill="D5DCE4"/>
          </w:tcPr>
          <w:p>
            <w:pPr>
              <w:spacing w:after="0"/>
              <w:rPr>
                <w:sz w:val="14"/>
                <w:szCs w:val="14"/>
                <w:color w:val="auto"/>
              </w:rPr>
            </w:pPr>
          </w:p>
        </w:tc>
        <w:tc>
          <w:tcPr>
            <w:tcW w:w="1140" w:type="dxa"/>
            <w:vAlign w:val="bottom"/>
            <w:shd w:val="clear" w:color="auto" w:fill="D5DCE4"/>
          </w:tcPr>
          <w:p>
            <w:pPr>
              <w:spacing w:after="0"/>
              <w:rPr>
                <w:sz w:val="14"/>
                <w:szCs w:val="14"/>
                <w:color w:val="auto"/>
              </w:rPr>
            </w:pPr>
          </w:p>
        </w:tc>
        <w:tc>
          <w:tcPr>
            <w:tcW w:w="20" w:type="dxa"/>
            <w:vAlign w:val="bottom"/>
            <w:shd w:val="clear" w:color="auto" w:fill="000000"/>
          </w:tcPr>
          <w:p>
            <w:pPr>
              <w:spacing w:after="0"/>
              <w:rPr>
                <w:sz w:val="14"/>
                <w:szCs w:val="14"/>
                <w:color w:val="auto"/>
              </w:rPr>
            </w:pPr>
          </w:p>
        </w:tc>
      </w:tr>
      <w:tr>
        <w:trPr>
          <w:trHeight w:val="201"/>
        </w:trPr>
        <w:tc>
          <w:tcPr>
            <w:tcW w:w="1260" w:type="dxa"/>
            <w:vAlign w:val="bottom"/>
            <w:shd w:val="clear" w:color="auto" w:fill="D5DCE4"/>
          </w:tcPr>
          <w:p>
            <w:pPr>
              <w:spacing w:after="0"/>
              <w:rPr>
                <w:sz w:val="17"/>
                <w:szCs w:val="17"/>
                <w:color w:val="auto"/>
              </w:rPr>
            </w:pPr>
          </w:p>
        </w:tc>
        <w:tc>
          <w:tcPr>
            <w:tcW w:w="300" w:type="dxa"/>
            <w:vAlign w:val="bottom"/>
            <w:tcBorders>
              <w:right w:val="single" w:sz="8" w:color="D5DCE4"/>
            </w:tcBorders>
            <w:shd w:val="clear" w:color="auto" w:fill="D5DCE4"/>
          </w:tcPr>
          <w:p>
            <w:pPr>
              <w:spacing w:after="0"/>
              <w:rPr>
                <w:sz w:val="17"/>
                <w:szCs w:val="17"/>
                <w:color w:val="auto"/>
              </w:rPr>
            </w:pPr>
          </w:p>
        </w:tc>
        <w:tc>
          <w:tcPr>
            <w:tcW w:w="2640" w:type="dxa"/>
            <w:vAlign w:val="bottom"/>
            <w:tcBorders>
              <w:bottom w:val="single" w:sz="8" w:color="auto"/>
            </w:tcBorders>
            <w:shd w:val="clear" w:color="auto" w:fill="D5DCE4"/>
          </w:tcPr>
          <w:p>
            <w:pPr>
              <w:spacing w:after="0"/>
              <w:rPr>
                <w:sz w:val="17"/>
                <w:szCs w:val="17"/>
                <w:color w:val="auto"/>
              </w:rPr>
            </w:pPr>
          </w:p>
        </w:tc>
        <w:tc>
          <w:tcPr>
            <w:tcW w:w="100" w:type="dxa"/>
            <w:vAlign w:val="bottom"/>
            <w:tcBorders>
              <w:bottom w:val="single" w:sz="8" w:color="auto"/>
              <w:right w:val="single" w:sz="8" w:color="auto"/>
            </w:tcBorders>
            <w:shd w:val="clear" w:color="auto" w:fill="D5DCE4"/>
          </w:tcPr>
          <w:p>
            <w:pPr>
              <w:spacing w:after="0"/>
              <w:rPr>
                <w:sz w:val="17"/>
                <w:szCs w:val="17"/>
                <w:color w:val="auto"/>
              </w:rPr>
            </w:pPr>
          </w:p>
        </w:tc>
        <w:tc>
          <w:tcPr>
            <w:tcW w:w="1180" w:type="dxa"/>
            <w:vAlign w:val="bottom"/>
            <w:tcBorders>
              <w:bottom w:val="single" w:sz="8" w:color="auto"/>
              <w:right w:val="single" w:sz="8" w:color="auto"/>
            </w:tcBorders>
            <w:gridSpan w:val="2"/>
            <w:shd w:val="clear" w:color="auto" w:fill="D5DCE4"/>
          </w:tcPr>
          <w:p>
            <w:pPr>
              <w:ind w:left="60"/>
              <w:spacing w:after="0"/>
              <w:rPr>
                <w:sz w:val="20"/>
                <w:szCs w:val="20"/>
                <w:color w:val="auto"/>
              </w:rPr>
            </w:pPr>
            <w:r>
              <w:rPr>
                <w:rFonts w:ascii="Arial" w:cs="Arial" w:eastAsia="Arial" w:hAnsi="Arial"/>
                <w:sz w:val="14"/>
                <w:szCs w:val="14"/>
                <w:b w:val="1"/>
                <w:bCs w:val="1"/>
                <w:color w:val="auto"/>
              </w:rPr>
              <w:t>ADV (USD mm)</w:t>
            </w:r>
          </w:p>
        </w:tc>
        <w:tc>
          <w:tcPr>
            <w:tcW w:w="120" w:type="dxa"/>
            <w:vAlign w:val="bottom"/>
            <w:tcBorders>
              <w:bottom w:val="single" w:sz="8" w:color="auto"/>
            </w:tcBorders>
            <w:shd w:val="clear" w:color="auto" w:fill="D5DCE4"/>
          </w:tcPr>
          <w:p>
            <w:pPr>
              <w:spacing w:after="0"/>
              <w:rPr>
                <w:sz w:val="17"/>
                <w:szCs w:val="17"/>
                <w:color w:val="auto"/>
              </w:rPr>
            </w:pPr>
          </w:p>
        </w:tc>
        <w:tc>
          <w:tcPr>
            <w:tcW w:w="1140" w:type="dxa"/>
            <w:vAlign w:val="bottom"/>
            <w:tcBorders>
              <w:bottom w:val="single" w:sz="8" w:color="auto"/>
            </w:tcBorders>
            <w:shd w:val="clear" w:color="auto" w:fill="D5DCE4"/>
          </w:tcPr>
          <w:p>
            <w:pPr>
              <w:jc w:val="right"/>
              <w:ind w:right="408"/>
              <w:spacing w:after="0"/>
              <w:rPr>
                <w:sz w:val="20"/>
                <w:szCs w:val="20"/>
                <w:color w:val="auto"/>
              </w:rPr>
            </w:pPr>
            <w:r>
              <w:rPr>
                <w:rFonts w:ascii="Arial" w:cs="Arial" w:eastAsia="Arial" w:hAnsi="Arial"/>
                <w:sz w:val="14"/>
                <w:szCs w:val="14"/>
                <w:b w:val="1"/>
                <w:bCs w:val="1"/>
                <w:color w:val="auto"/>
              </w:rPr>
              <w:t>mm)</w:t>
            </w:r>
          </w:p>
        </w:tc>
        <w:tc>
          <w:tcPr>
            <w:tcW w:w="100" w:type="dxa"/>
            <w:vAlign w:val="bottom"/>
            <w:tcBorders>
              <w:bottom w:val="single" w:sz="8" w:color="auto"/>
              <w:right w:val="single" w:sz="8" w:color="auto"/>
            </w:tcBorders>
            <w:shd w:val="clear" w:color="auto" w:fill="D5DCE4"/>
          </w:tcPr>
          <w:p>
            <w:pPr>
              <w:spacing w:after="0"/>
              <w:rPr>
                <w:sz w:val="17"/>
                <w:szCs w:val="17"/>
                <w:color w:val="auto"/>
              </w:rPr>
            </w:pPr>
          </w:p>
        </w:tc>
        <w:tc>
          <w:tcPr>
            <w:tcW w:w="1180" w:type="dxa"/>
            <w:vAlign w:val="bottom"/>
            <w:tcBorders>
              <w:bottom w:val="single" w:sz="8" w:color="auto"/>
              <w:right w:val="single" w:sz="8" w:color="auto"/>
            </w:tcBorders>
            <w:gridSpan w:val="2"/>
            <w:shd w:val="clear" w:color="auto" w:fill="D5DCE4"/>
          </w:tcPr>
          <w:p>
            <w:pPr>
              <w:ind w:left="60"/>
              <w:spacing w:after="0"/>
              <w:rPr>
                <w:sz w:val="20"/>
                <w:szCs w:val="20"/>
                <w:color w:val="auto"/>
              </w:rPr>
            </w:pPr>
            <w:r>
              <w:rPr>
                <w:rFonts w:ascii="Arial" w:cs="Arial" w:eastAsia="Arial" w:hAnsi="Arial"/>
                <w:sz w:val="14"/>
                <w:szCs w:val="14"/>
                <w:b w:val="1"/>
                <w:bCs w:val="1"/>
                <w:color w:val="auto"/>
              </w:rPr>
              <w:t>ADV (USD mm)</w:t>
            </w:r>
          </w:p>
        </w:tc>
        <w:tc>
          <w:tcPr>
            <w:tcW w:w="120" w:type="dxa"/>
            <w:vAlign w:val="bottom"/>
            <w:tcBorders>
              <w:bottom w:val="single" w:sz="8" w:color="auto"/>
            </w:tcBorders>
            <w:shd w:val="clear" w:color="auto" w:fill="D5DCE4"/>
          </w:tcPr>
          <w:p>
            <w:pPr>
              <w:spacing w:after="0"/>
              <w:rPr>
                <w:sz w:val="17"/>
                <w:szCs w:val="17"/>
                <w:color w:val="auto"/>
              </w:rPr>
            </w:pPr>
          </w:p>
        </w:tc>
        <w:tc>
          <w:tcPr>
            <w:tcW w:w="1140" w:type="dxa"/>
            <w:vAlign w:val="bottom"/>
            <w:tcBorders>
              <w:bottom w:val="single" w:sz="8" w:color="auto"/>
            </w:tcBorders>
            <w:shd w:val="clear" w:color="auto" w:fill="D5DCE4"/>
          </w:tcPr>
          <w:p>
            <w:pPr>
              <w:jc w:val="right"/>
              <w:ind w:right="408"/>
              <w:spacing w:after="0"/>
              <w:rPr>
                <w:sz w:val="20"/>
                <w:szCs w:val="20"/>
                <w:color w:val="auto"/>
              </w:rPr>
            </w:pPr>
            <w:r>
              <w:rPr>
                <w:rFonts w:ascii="Arial" w:cs="Arial" w:eastAsia="Arial" w:hAnsi="Arial"/>
                <w:sz w:val="14"/>
                <w:szCs w:val="14"/>
                <w:b w:val="1"/>
                <w:bCs w:val="1"/>
                <w:color w:val="auto"/>
              </w:rPr>
              <w:t>mm)</w:t>
            </w:r>
          </w:p>
        </w:tc>
        <w:tc>
          <w:tcPr>
            <w:tcW w:w="100" w:type="dxa"/>
            <w:vAlign w:val="bottom"/>
            <w:tcBorders>
              <w:bottom w:val="single" w:sz="8" w:color="auto"/>
              <w:right w:val="single" w:sz="8" w:color="auto"/>
            </w:tcBorders>
            <w:shd w:val="clear" w:color="auto" w:fill="D5DCE4"/>
          </w:tcPr>
          <w:p>
            <w:pPr>
              <w:spacing w:after="0"/>
              <w:rPr>
                <w:sz w:val="17"/>
                <w:szCs w:val="17"/>
                <w:color w:val="auto"/>
              </w:rPr>
            </w:pPr>
          </w:p>
        </w:tc>
        <w:tc>
          <w:tcPr>
            <w:tcW w:w="1140" w:type="dxa"/>
            <w:vAlign w:val="bottom"/>
            <w:tcBorders>
              <w:bottom w:val="single" w:sz="8" w:color="auto"/>
            </w:tcBorders>
            <w:shd w:val="clear" w:color="auto" w:fill="D5DCE4"/>
          </w:tcPr>
          <w:p>
            <w:pPr>
              <w:jc w:val="right"/>
              <w:ind w:right="348"/>
              <w:spacing w:after="0"/>
              <w:rPr>
                <w:sz w:val="20"/>
                <w:szCs w:val="20"/>
                <w:color w:val="auto"/>
              </w:rPr>
            </w:pPr>
            <w:r>
              <w:rPr>
                <w:rFonts w:ascii="Arial" w:cs="Arial" w:eastAsia="Arial" w:hAnsi="Arial"/>
                <w:sz w:val="14"/>
                <w:szCs w:val="14"/>
                <w:b w:val="1"/>
                <w:bCs w:val="1"/>
                <w:color w:val="auto"/>
              </w:rPr>
              <w:t>YoY</w:t>
            </w:r>
          </w:p>
        </w:tc>
        <w:tc>
          <w:tcPr>
            <w:tcW w:w="20" w:type="dxa"/>
            <w:vAlign w:val="bottom"/>
            <w:tcBorders>
              <w:bottom w:val="single" w:sz="8" w:color="auto"/>
            </w:tcBorders>
            <w:shd w:val="clear" w:color="auto" w:fill="000000"/>
          </w:tcPr>
          <w:p>
            <w:pPr>
              <w:spacing w:after="0"/>
              <w:rPr>
                <w:sz w:val="17"/>
                <w:szCs w:val="17"/>
                <w:color w:val="auto"/>
              </w:rPr>
            </w:pPr>
          </w:p>
        </w:tc>
      </w:tr>
      <w:tr>
        <w:trPr>
          <w:trHeight w:val="208"/>
        </w:trPr>
        <w:tc>
          <w:tcPr>
            <w:tcW w:w="126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7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2,575,251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172,821,805</w:t>
            </w:r>
          </w:p>
        </w:tc>
        <w:tc>
          <w:tcPr>
            <w:tcW w:w="10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right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2,303,164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147,521,215</w:t>
            </w:r>
          </w:p>
        </w:tc>
        <w:tc>
          <w:tcPr>
            <w:tcW w:w="10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11.81 %</w:t>
            </w:r>
          </w:p>
        </w:tc>
        <w:tc>
          <w:tcPr>
            <w:tcW w:w="20" w:type="dxa"/>
            <w:vAlign w:val="bottom"/>
            <w:tcBorders>
              <w:bottom w:val="single" w:sz="8" w:color="auto"/>
            </w:tcBorders>
            <w:shd w:val="clear" w:color="auto" w:fill="000000"/>
          </w:tcPr>
          <w:p>
            <w:pPr>
              <w:spacing w:after="0"/>
              <w:rPr>
                <w:sz w:val="18"/>
                <w:szCs w:val="18"/>
                <w:color w:val="auto"/>
              </w:rPr>
            </w:pPr>
          </w:p>
        </w:tc>
      </w:tr>
    </w:tbl>
    <w:p>
      <w:pPr>
        <w:spacing w:after="0" w:line="348" w:lineRule="exact"/>
        <w:rPr>
          <w:sz w:val="20"/>
          <w:szCs w:val="20"/>
          <w:color w:val="auto"/>
        </w:rPr>
      </w:pPr>
    </w:p>
    <w:p>
      <w:pPr>
        <w:ind w:left="440" w:right="80" w:hanging="422"/>
        <w:spacing w:after="0" w:line="256" w:lineRule="auto"/>
        <w:tabs>
          <w:tab w:leader="none" w:pos="4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We acquired ICD on August 1, 2024. Total volume reported includes volumes from the acquired business subsequent to the closing date of the acquisition. For average daily volume derived from acquisitions, the denominator is the number of trading days within the reporting period that have elapsed from the acquisition date to the end date of the reporting period.</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To access historical traded volumes, go to </w:t>
      </w:r>
      <w:r>
        <w:rPr>
          <w:rFonts w:ascii="Arial" w:cs="Arial" w:eastAsia="Arial" w:hAnsi="Arial"/>
          <w:sz w:val="14"/>
          <w:szCs w:val="14"/>
          <w:u w:val="single" w:color="auto"/>
          <w:color w:val="0E32E1"/>
        </w:rPr>
        <w:t>https://www.tradeweb.com/newsroom/monthly-activity-reports/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10</w:t>
      </w:r>
    </w:p>
    <w:p>
      <w:pPr>
        <w:sectPr>
          <w:pgSz w:w="11900" w:h="16840" w:orient="portrait"/>
          <w:cols w:equalWidth="0" w:num="1">
            <w:col w:w="10580"/>
          </w:cols>
          <w:pgMar w:left="660" w:top="1133" w:right="660"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color w:val="083566"/>
        </w:rPr>
        <w:t>BASIS OF PRESENTATION</w:t>
      </w:r>
    </w:p>
    <w:p>
      <w:pPr>
        <w:spacing w:after="0" w:line="103"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4"/>
          <w:szCs w:val="14"/>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Please refer to the Company's previously filed Quarterly Reports on Form 10-Q and Annual Report on Form 10-K for capitalized terms not otherwise defined herein.</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UNAUDITED INTERIM RESULTS</w:t>
      </w:r>
    </w:p>
    <w:p>
      <w:pPr>
        <w:spacing w:after="0" w:line="199" w:lineRule="exact"/>
        <w:rPr>
          <w:sz w:val="20"/>
          <w:szCs w:val="20"/>
          <w:color w:val="auto"/>
        </w:rPr>
      </w:pPr>
    </w:p>
    <w:p>
      <w:pPr>
        <w:ind w:right="80"/>
        <w:spacing w:after="0" w:line="294" w:lineRule="auto"/>
        <w:rPr>
          <w:sz w:val="20"/>
          <w:szCs w:val="20"/>
          <w:color w:val="auto"/>
        </w:rPr>
      </w:pPr>
      <w:r>
        <w:rPr>
          <w:rFonts w:ascii="Arial" w:cs="Arial" w:eastAsia="Arial" w:hAnsi="Arial"/>
          <w:sz w:val="14"/>
          <w:szCs w:val="14"/>
          <w:color w:val="auto"/>
        </w:rPr>
        <w:t>The interim financial results presented herein for the three and nine months ended September 30, 2025 and 2024 are unaudited. Operating results for interim periods are not necessarily indicative of the results that may be expected for the full year.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FORWARD-LOOKING STATEMENTS</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This release contains forward-looking statements within the meaning of the federal securities laws. Statements related to, among other things, our guidance, including full-year 2025 guidance and full-year 2025 revenue guidance related to the LSEG market data license agreement, pending and completed acquisitions, partnerships and collaborations, future performance, the industry and markets in which we operate, our expectations, beliefs, plans, strategies, objectives, prospects and assumptions and future events are forward-looking statements.</w:t>
      </w:r>
    </w:p>
    <w:p>
      <w:pPr>
        <w:spacing w:after="0" w:line="153"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 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NON-GAAP FINANCIAL MEASURES</w:t>
      </w:r>
    </w:p>
    <w:p>
      <w:pPr>
        <w:spacing w:after="0" w:line="199" w:lineRule="exact"/>
        <w:rPr>
          <w:sz w:val="20"/>
          <w:szCs w:val="20"/>
          <w:color w:val="auto"/>
        </w:rPr>
      </w:pPr>
    </w:p>
    <w:p>
      <w:pPr>
        <w:ind w:right="60"/>
        <w:spacing w:after="0" w:line="261" w:lineRule="auto"/>
        <w:rPr>
          <w:sz w:val="20"/>
          <w:szCs w:val="20"/>
          <w:color w:val="auto"/>
        </w:rPr>
      </w:pPr>
      <w:r>
        <w:rPr>
          <w:rFonts w:ascii="Arial" w:cs="Arial" w:eastAsia="Arial" w:hAnsi="Arial"/>
          <w:sz w:val="14"/>
          <w:szCs w:val="14"/>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57"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53"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53" w:lineRule="exact"/>
        <w:rPr>
          <w:sz w:val="20"/>
          <w:szCs w:val="20"/>
          <w:color w:val="auto"/>
        </w:rPr>
      </w:pPr>
    </w:p>
    <w:p>
      <w:pPr>
        <w:ind w:right="260"/>
        <w:spacing w:after="0" w:line="294" w:lineRule="auto"/>
        <w:rPr>
          <w:sz w:val="20"/>
          <w:szCs w:val="20"/>
          <w:color w:val="auto"/>
        </w:rPr>
      </w:pPr>
      <w:r>
        <w:rPr>
          <w:rFonts w:ascii="Arial" w:cs="Arial" w:eastAsia="Arial" w:hAnsi="Arial"/>
          <w:sz w:val="14"/>
          <w:szCs w:val="14"/>
          <w:color w:val="auto"/>
        </w:rPr>
        <w:t>We use Adjusted Expenses as a supplemental metric to evaluate our underlying operating performance over time by removing items that are not related to day-to-day operations or are non-cash expenses.</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 11</w:t>
      </w:r>
    </w:p>
    <w:p>
      <w:pPr>
        <w:sectPr>
          <w:pgSz w:w="11900" w:h="16840" w:orient="portrait"/>
          <w:cols w:equalWidth="0" w:num="1">
            <w:col w:w="10580"/>
          </w:cols>
          <w:pgMar w:left="660" w:top="1325" w:right="660" w:bottom="1440" w:gutter="0" w:footer="0" w:header="0"/>
        </w:sectPr>
      </w:pPr>
    </w:p>
    <w:bookmarkStart w:id="14" w:name="page15"/>
    <w:bookmarkEnd w:id="14"/>
    <w:p>
      <w:pPr>
        <w:ind w:right="740"/>
        <w:spacing w:after="0" w:line="294" w:lineRule="auto"/>
        <w:rPr>
          <w:sz w:val="20"/>
          <w:szCs w:val="20"/>
          <w:color w:val="auto"/>
        </w:rPr>
      </w:pPr>
      <w:r>
        <w:rPr>
          <w:rFonts w:ascii="Arial" w:cs="Arial" w:eastAsia="Arial" w:hAnsi="Arial"/>
          <w:sz w:val="14"/>
          <w:szCs w:val="14"/>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34" w:lineRule="exact"/>
        <w:rPr>
          <w:sz w:val="20"/>
          <w:szCs w:val="20"/>
          <w:color w:val="auto"/>
        </w:rPr>
      </w:pPr>
    </w:p>
    <w:p>
      <w:pPr>
        <w:ind w:right="80"/>
        <w:spacing w:after="0" w:line="258" w:lineRule="auto"/>
        <w:rPr>
          <w:sz w:val="20"/>
          <w:szCs w:val="20"/>
          <w:color w:val="auto"/>
        </w:rPr>
      </w:pPr>
      <w:r>
        <w:rPr>
          <w:rFonts w:ascii="Arial" w:cs="Arial" w:eastAsia="Arial" w:hAnsi="Arial"/>
          <w:sz w:val="14"/>
          <w:szCs w:val="14"/>
          <w:color w:val="auto"/>
        </w:rPr>
        <w:t>We present certain changes on a “constant currency” basis. Since our consolidated financial statements are presented in U.S. dollars, we must translate non-U.S. dollar revenues and expenses into U.S. dollars. Constant currency change, which is a non- 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330" w:lineRule="exact"/>
        <w:rPr>
          <w:sz w:val="20"/>
          <w:szCs w:val="20"/>
          <w:color w:val="auto"/>
        </w:rPr>
      </w:pPr>
    </w:p>
    <w:p>
      <w:pPr>
        <w:ind w:right="60"/>
        <w:spacing w:after="0" w:line="257" w:lineRule="auto"/>
        <w:rPr>
          <w:sz w:val="20"/>
          <w:szCs w:val="20"/>
          <w:color w:val="auto"/>
        </w:rPr>
      </w:pPr>
      <w:r>
        <w:rPr>
          <w:rFonts w:ascii="Arial" w:cs="Arial" w:eastAsia="Arial" w:hAnsi="Arial"/>
          <w:sz w:val="14"/>
          <w:szCs w:val="14"/>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Our presentation of non-GAAP financial measures should not be construed as an inference that our future results will be unaffected by unusual or non- recurring items. In addition, the non-GAAP financial measures contained in this release may not be comparable to similarly titled measures used by other companies in our industry or across different industries.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MARKET AND INDUSTRY DATA</w:t>
      </w:r>
    </w:p>
    <w:p>
      <w:pPr>
        <w:spacing w:after="0" w:line="19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083566"/>
        </w:rPr>
        <w:t>TRADEWEB SOCIAL MEDIA</w:t>
      </w:r>
    </w:p>
    <w:p>
      <w:pPr>
        <w:spacing w:after="0" w:line="199"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 # #</w:t>
      </w:r>
    </w:p>
    <w:p>
      <w:pPr>
        <w:spacing w:after="0" w:line="176" w:lineRule="exact"/>
        <w:rPr>
          <w:sz w:val="20"/>
          <w:szCs w:val="20"/>
          <w:color w:val="auto"/>
        </w:rPr>
      </w:pPr>
    </w:p>
    <w:p>
      <w:pPr>
        <w:ind w:left="9900"/>
        <w:spacing w:after="0"/>
        <w:rPr>
          <w:sz w:val="20"/>
          <w:szCs w:val="20"/>
          <w:color w:val="auto"/>
        </w:rPr>
      </w:pPr>
      <w:r>
        <w:rPr>
          <w:rFonts w:ascii="Arial" w:cs="Arial" w:eastAsia="Arial" w:hAnsi="Arial"/>
          <w:sz w:val="14"/>
          <w:szCs w:val="14"/>
          <w:color w:val="auto"/>
        </w:rPr>
        <w:t>Page | 12</w:t>
      </w:r>
    </w:p>
    <w:p>
      <w:pPr>
        <w:sectPr>
          <w:pgSz w:w="11900" w:h="16840" w:orient="portrait"/>
          <w:cols w:equalWidth="0" w:num="1">
            <w:col w:w="10580"/>
          </w:cols>
          <w:pgMar w:left="660" w:top="1325" w:right="660" w:bottom="1440" w:gutter="0" w:footer="0" w:header="0"/>
        </w:sectPr>
      </w:pPr>
    </w:p>
    <w:bookmarkStart w:id="15" w:name="page16"/>
    <w:bookmarkEnd w:id="15"/>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2"/>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jpe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3" Type="http://schemas.openxmlformats.org/officeDocument/2006/relationships/hyperlink" Target="https://www.sec.gov/ix?doc=/Archives/edgar/data/0001758730/000175873025000091/tw-2025032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2025-10-30T06:18:15Z</dcterms:created>
  <dcterms:modified xsi:type="dcterms:W3CDTF">2025-10-30T06:18:15Z</dcterms:modified>
</cp:coreProperties>
</file>