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142240</wp:posOffset>
            </wp:positionV>
            <wp:extent cx="1140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161290</wp:posOffset>
            </wp:positionV>
            <wp:extent cx="1140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1140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142240</wp:posOffset>
            </wp:positionV>
            <wp:extent cx="1140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416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4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8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16"/>
        </w:trPr>
        <w:tc>
          <w:tcPr>
            <w:tcW w:w="4160" w:type="dxa"/>
            <w:vAlign w:val="bottom"/>
          </w:tcPr>
          <w:p>
            <w:pPr>
              <w:jc w:val="center"/>
              <w:ind w:right="2130"/>
              <w:spacing w:after="0"/>
              <w:rPr>
                <w:sz w:val="20"/>
                <w:szCs w:val="20"/>
                <w:color w:val="auto"/>
              </w:rPr>
            </w:pPr>
            <w:r>
              <w:rPr>
                <w:rFonts w:ascii="Arial" w:cs="Arial" w:eastAsia="Arial" w:hAnsi="Arial"/>
                <w:sz w:val="18"/>
                <w:szCs w:val="18"/>
                <w:color w:val="auto"/>
                <w:w w:val="90"/>
              </w:rPr>
              <w:t>(State or Other Jurisdiction</w:t>
            </w:r>
          </w:p>
        </w:tc>
        <w:tc>
          <w:tcPr>
            <w:tcW w:w="2460" w:type="dxa"/>
            <w:vAlign w:val="bottom"/>
          </w:tcPr>
          <w:p>
            <w:pPr>
              <w:jc w:val="center"/>
              <w:ind w:right="1090"/>
              <w:spacing w:after="0"/>
              <w:rPr>
                <w:sz w:val="20"/>
                <w:szCs w:val="20"/>
                <w:color w:val="auto"/>
              </w:rPr>
            </w:pPr>
            <w:r>
              <w:rPr>
                <w:rFonts w:ascii="Arial" w:cs="Arial" w:eastAsia="Arial" w:hAnsi="Arial"/>
                <w:sz w:val="18"/>
                <w:szCs w:val="18"/>
                <w:color w:val="auto"/>
                <w:w w:val="91"/>
              </w:rPr>
              <w:t>(Commission</w:t>
            </w:r>
          </w:p>
        </w:tc>
        <w:tc>
          <w:tcPr>
            <w:tcW w:w="268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160" w:type="dxa"/>
            <w:vAlign w:val="bottom"/>
          </w:tcPr>
          <w:p>
            <w:pPr>
              <w:jc w:val="center"/>
              <w:ind w:right="2130"/>
              <w:spacing w:after="0"/>
              <w:rPr>
                <w:sz w:val="20"/>
                <w:szCs w:val="20"/>
                <w:color w:val="auto"/>
              </w:rPr>
            </w:pPr>
            <w:r>
              <w:rPr>
                <w:rFonts w:ascii="Arial" w:cs="Arial" w:eastAsia="Arial" w:hAnsi="Arial"/>
                <w:sz w:val="18"/>
                <w:szCs w:val="18"/>
                <w:color w:val="auto"/>
                <w:w w:val="93"/>
              </w:rPr>
              <w:t>of Incorporation)</w:t>
            </w:r>
          </w:p>
        </w:tc>
        <w:tc>
          <w:tcPr>
            <w:tcW w:w="2460" w:type="dxa"/>
            <w:vAlign w:val="bottom"/>
          </w:tcPr>
          <w:p>
            <w:pPr>
              <w:jc w:val="center"/>
              <w:ind w:right="1090"/>
              <w:spacing w:after="0"/>
              <w:rPr>
                <w:sz w:val="20"/>
                <w:szCs w:val="20"/>
                <w:color w:val="auto"/>
              </w:rPr>
            </w:pPr>
            <w:r>
              <w:rPr>
                <w:rFonts w:ascii="Arial" w:cs="Arial" w:eastAsia="Arial" w:hAnsi="Arial"/>
                <w:sz w:val="18"/>
                <w:szCs w:val="18"/>
                <w:color w:val="auto"/>
                <w:w w:val="92"/>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160" w:type="dxa"/>
            <w:vAlign w:val="bottom"/>
          </w:tcPr>
          <w:p>
            <w:pPr>
              <w:jc w:val="center"/>
              <w:ind w:left="1570"/>
              <w:spacing w:after="0"/>
              <w:rPr>
                <w:sz w:val="20"/>
                <w:szCs w:val="20"/>
                <w:color w:val="auto"/>
              </w:rPr>
            </w:pPr>
            <w:r>
              <w:rPr>
                <w:rFonts w:ascii="Arial" w:cs="Arial" w:eastAsia="Arial" w:hAnsi="Arial"/>
                <w:sz w:val="18"/>
                <w:szCs w:val="18"/>
                <w:b w:val="1"/>
                <w:bCs w:val="1"/>
                <w:color w:val="auto"/>
                <w:w w:val="88"/>
              </w:rPr>
              <w:t>1177 Avenue of the Americas</w:t>
            </w:r>
          </w:p>
        </w:tc>
        <w:tc>
          <w:tcPr>
            <w:tcW w:w="2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16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New York, New York</w:t>
            </w:r>
          </w:p>
        </w:tc>
        <w:tc>
          <w:tcPr>
            <w:tcW w:w="246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30"/>
        </w:trPr>
        <w:tc>
          <w:tcPr>
            <w:tcW w:w="662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1140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4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$0.00001</w:t>
            </w: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2"/>
        </w:trPr>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75"/>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Tradeweb Markets Inc. (the “Company”) has commenced today an underwritten primary offering of shares of its Class A common stock (the “Offering”). In connection with the Offering, the Company has filed with the Securities and Exchange Commission a Registration Statement on Form S-1 relating to the Offering (the “Registration Statement”). The Registration Statement contained the Company’s preliminary unaudited financial results as of and for the three and nine months ended September 30, 2019. These preliminary financial results are based upon the Company’s current estimates and are subject to completion of financial and operating closing procedures as of and for the three and nine months ended September 30, 2019, and therefore are subject to change. The preliminary financial results are furnished as Exhibit 99.1 hereto and incorporated herein by reference.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62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460" w:type="dxa"/>
            <w:vAlign w:val="bottom"/>
            <w:gridSpan w:val="2"/>
          </w:tcPr>
          <w:p>
            <w:pPr>
              <w:ind w:left="4000"/>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84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9"/>
                <w:szCs w:val="19"/>
                <w:color w:val="auto"/>
              </w:rPr>
            </w:pPr>
          </w:p>
        </w:tc>
        <w:tc>
          <w:tcPr>
            <w:tcW w:w="104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Preliminary financial results for the three and nine months ended September 30, 2019.</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20" w:type="dxa"/>
            <w:vAlign w:val="bottom"/>
            <w:tcBorders>
              <w:top w:val="single" w:sz="8" w:color="0000EE"/>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1900"/>
              <w:spacing w:after="0"/>
              <w:rPr>
                <w:sz w:val="20"/>
                <w:szCs w:val="20"/>
                <w:color w:val="auto"/>
              </w:rPr>
            </w:pPr>
            <w:r>
              <w:rPr>
                <w:rFonts w:ascii="Arial" w:cs="Arial" w:eastAsia="Arial" w:hAnsi="Arial"/>
                <w:sz w:val="18"/>
                <w:szCs w:val="18"/>
                <w:color w:val="auto"/>
              </w:rPr>
              <w:t>TRADEWEB MARKETS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15, 2019</w:t>
            </w:r>
          </w:p>
        </w:tc>
        <w:tc>
          <w:tcPr>
            <w:tcW w:w="7820" w:type="dxa"/>
            <w:vAlign w:val="bottom"/>
            <w:gridSpan w:val="2"/>
          </w:tcPr>
          <w:p>
            <w:pPr>
              <w:ind w:left="1900"/>
              <w:spacing w:after="0"/>
              <w:rPr>
                <w:sz w:val="20"/>
                <w:szCs w:val="20"/>
                <w:color w:val="auto"/>
              </w:rPr>
            </w:pPr>
            <w:r>
              <w:rPr>
                <w:rFonts w:ascii="Arial" w:cs="Arial" w:eastAsia="Arial" w:hAnsi="Arial"/>
                <w:sz w:val="18"/>
                <w:szCs w:val="18"/>
                <w:color w:val="auto"/>
              </w:rPr>
              <w:t>By: /s/ Douglas Friedman</w:t>
            </w:r>
          </w:p>
        </w:tc>
      </w:tr>
      <w:tr>
        <w:trPr>
          <w:trHeight w:val="195"/>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Title:  General Counsel</w:t>
            </w:r>
          </w:p>
        </w:tc>
      </w:tr>
      <w:tr>
        <w:trPr>
          <w:trHeight w:val="675"/>
        </w:trPr>
        <w:tc>
          <w:tcPr>
            <w:tcW w:w="3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ind w:right="739"/>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60" w:right="759" w:firstLine="360"/>
        <w:spacing w:after="0" w:line="291" w:lineRule="auto"/>
        <w:rPr>
          <w:sz w:val="20"/>
          <w:szCs w:val="20"/>
          <w:color w:val="auto"/>
        </w:rPr>
      </w:pPr>
      <w:r>
        <w:rPr>
          <w:rFonts w:ascii="Arial" w:cs="Arial" w:eastAsia="Arial" w:hAnsi="Arial"/>
          <w:sz w:val="16"/>
          <w:szCs w:val="16"/>
          <w:i w:val="1"/>
          <w:iCs w:val="1"/>
          <w:color w:val="auto"/>
        </w:rPr>
        <w:t>“We,” “us,” “our,” the “Company,” “Tradeweb” and similar references refer: (i) on or prior to the completion of a series of reorganization transactions that were completed (the “Reorganization Transactions”) in connection with Tradeweb Markets Inc.’s initial public offering (“IPO”), which was completed on April 8, 2019,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59" w:lineRule="exact"/>
        <w:rPr>
          <w:sz w:val="20"/>
          <w:szCs w:val="20"/>
          <w:color w:val="auto"/>
        </w:rPr>
      </w:pPr>
    </w:p>
    <w:p>
      <w:pPr>
        <w:ind w:left="60" w:right="739" w:firstLine="360"/>
        <w:spacing w:after="0" w:line="287" w:lineRule="auto"/>
        <w:rPr>
          <w:sz w:val="20"/>
          <w:szCs w:val="20"/>
          <w:color w:val="auto"/>
        </w:rPr>
      </w:pPr>
      <w:r>
        <w:rPr>
          <w:rFonts w:ascii="Arial" w:cs="Arial" w:eastAsia="Arial" w:hAnsi="Arial"/>
          <w:sz w:val="16"/>
          <w:szCs w:val="16"/>
          <w:i w:val="1"/>
          <w:iCs w:val="1"/>
          <w:color w:val="auto"/>
        </w:rPr>
        <w:t>The historical financial information and other disclosures contained herein relate to periods that ended both prior to and after the completion of the Reorganization Transactions and the IPO. As a result of the Reorganization Transactions completed in connection with the IPO, on April 4, 2019, Tradeweb Markets Inc. became a holding company whose principal asset consists of its equity interest in Tradeweb Markets LLC (“TWM LLC”).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herein relating to periods prior to, and including, March 31, 2019 pertain to TWM LLC, the predecessor of Tradeweb Markets Inc. for financial reporting purposes, and its subsidiaries. The historical financial information contained herein relating to periods beginning on April 1, 2019, and through and including June 30, 2019, pertain to Tradeweb Markets Inc. and its subsidiaries, including TWM LLC.</w:t>
      </w:r>
    </w:p>
    <w:p>
      <w:pPr>
        <w:spacing w:after="0" w:line="61" w:lineRule="exact"/>
        <w:rPr>
          <w:sz w:val="20"/>
          <w:szCs w:val="20"/>
          <w:color w:val="auto"/>
        </w:rPr>
      </w:pPr>
    </w:p>
    <w:p>
      <w:pPr>
        <w:ind w:left="60" w:right="759" w:firstLine="360"/>
        <w:spacing w:after="0" w:line="283" w:lineRule="auto"/>
        <w:rPr>
          <w:sz w:val="20"/>
          <w:szCs w:val="20"/>
          <w:color w:val="auto"/>
        </w:rPr>
      </w:pPr>
      <w:r>
        <w:rPr>
          <w:rFonts w:ascii="Arial" w:cs="Arial" w:eastAsia="Arial" w:hAnsi="Arial"/>
          <w:sz w:val="16"/>
          <w:szCs w:val="16"/>
          <w:i w:val="1"/>
          <w:iCs w:val="1"/>
          <w:color w:val="auto"/>
        </w:rPr>
        <w:t>As a result of the Refinitiv Transaction (the “Refinitiv Transaction”), pursuant to which Refinitiv Holdings Ltd. (“Refinitiv”) indirectly acquired on October 1, 2018 substantially all of the financial and risk business of Thomson Reuters Corporation (“Thomson Reuters”) and Thomson Reuters indirectly acquired a 45% ownership interest in Refinitiv, we revalued our assets and liabilities based on their fair values as of the closing date of the Refinitiv Transaction in accordance with the acquisition method of accounting. Due to the change in the basis of accounting resulting from the application of pushdown accounting, the financial information for the period beginning on October 1, 2018, and through and including June 30, 2019, and the financial information for the periods prior to, and including, September 30, 2018 are not comparable. However, the change in basis resulting from the Refinitiv Transaction did not impact certain financial information, specifically revenues and certain expenses. Accordingly, we present gross revenue and Adjusted EBITDA for the year ended December 31, 2018 on a combined basis as the change in basis resulting from the Refinitiv Transaction did not impact such financial information and, we believe it provides a meaningful method of comparison to other periods. The combined financial information is being presented for informational purposes only and (i) has not been prepared on a</w:t>
      </w:r>
    </w:p>
    <w:p>
      <w:pPr>
        <w:spacing w:after="0" w:line="3" w:lineRule="exact"/>
        <w:rPr>
          <w:sz w:val="20"/>
          <w:szCs w:val="20"/>
          <w:color w:val="auto"/>
        </w:rPr>
      </w:pPr>
    </w:p>
    <w:p>
      <w:pPr>
        <w:ind w:left="60" w:right="819"/>
        <w:spacing w:after="0" w:line="254" w:lineRule="auto"/>
        <w:rPr>
          <w:sz w:val="20"/>
          <w:szCs w:val="20"/>
          <w:color w:val="auto"/>
        </w:rPr>
      </w:pPr>
      <w:r>
        <w:rPr>
          <w:rFonts w:ascii="Arial" w:cs="Arial" w:eastAsia="Arial" w:hAnsi="Arial"/>
          <w:sz w:val="18"/>
          <w:szCs w:val="18"/>
          <w:i w:val="1"/>
          <w:iCs w:val="1"/>
          <w:color w:val="auto"/>
        </w:rPr>
        <w:t>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separate periods presented in accordance with GAAP.</w:t>
      </w:r>
    </w:p>
    <w:p>
      <w:pPr>
        <w:spacing w:after="0" w:line="82" w:lineRule="exact"/>
        <w:rPr>
          <w:sz w:val="20"/>
          <w:szCs w:val="20"/>
          <w:color w:val="auto"/>
        </w:rPr>
      </w:pPr>
    </w:p>
    <w:p>
      <w:pPr>
        <w:ind w:left="60" w:right="859" w:firstLine="360"/>
        <w:spacing w:after="0" w:line="257" w:lineRule="auto"/>
        <w:rPr>
          <w:sz w:val="20"/>
          <w:szCs w:val="20"/>
          <w:color w:val="auto"/>
        </w:rPr>
      </w:pPr>
      <w:r>
        <w:rPr>
          <w:rFonts w:ascii="Arial" w:cs="Arial" w:eastAsia="Arial" w:hAnsi="Arial"/>
          <w:sz w:val="18"/>
          <w:szCs w:val="18"/>
          <w:i w:val="1"/>
          <w:iCs w:val="1"/>
          <w:color w:val="auto"/>
        </w:rPr>
        <w:t>Unless otherwise indicated, revenue is presented on a gross revenue basis. For certain periods, our gross revenue is offset by contingent consideration, a contra-revenue adjustment related to the achievement of specific revenue earnout milestones for certain credit products. We believe that gross revenue is the key driver of our operating performance and therefore is the revenue measure we utilize to assess our business on a period by period basis.</w:t>
      </w:r>
    </w:p>
    <w:p>
      <w:pPr>
        <w:spacing w:after="0" w:line="171" w:lineRule="exact"/>
        <w:rPr>
          <w:sz w:val="20"/>
          <w:szCs w:val="20"/>
          <w:color w:val="auto"/>
        </w:rPr>
      </w:pPr>
    </w:p>
    <w:p>
      <w:pPr>
        <w:ind w:left="60" w:right="1079"/>
        <w:spacing w:after="0" w:line="251" w:lineRule="auto"/>
        <w:rPr>
          <w:sz w:val="20"/>
          <w:szCs w:val="20"/>
          <w:color w:val="auto"/>
        </w:rPr>
      </w:pPr>
      <w:r>
        <w:rPr>
          <w:rFonts w:ascii="Arial" w:cs="Arial" w:eastAsia="Arial" w:hAnsi="Arial"/>
          <w:sz w:val="18"/>
          <w:szCs w:val="18"/>
          <w:b w:val="1"/>
          <w:bCs w:val="1"/>
          <w:color w:val="auto"/>
        </w:rPr>
        <w:t>Preliminary Results for Three and Nine Months Ended September 30, 2019 (Successor) and Three and Nine Months Ended September 30, 2018 (Predecessor)</w:t>
      </w:r>
    </w:p>
    <w:p>
      <w:pPr>
        <w:spacing w:after="0" w:line="71" w:lineRule="exact"/>
        <w:rPr>
          <w:sz w:val="20"/>
          <w:szCs w:val="20"/>
          <w:color w:val="auto"/>
        </w:rPr>
      </w:pPr>
    </w:p>
    <w:p>
      <w:pPr>
        <w:ind w:left="60" w:right="839" w:firstLine="360"/>
        <w:spacing w:after="0" w:line="276" w:lineRule="auto"/>
        <w:rPr>
          <w:sz w:val="20"/>
          <w:szCs w:val="20"/>
          <w:color w:val="auto"/>
        </w:rPr>
      </w:pPr>
      <w:r>
        <w:rPr>
          <w:rFonts w:ascii="Arial" w:cs="Arial" w:eastAsia="Arial" w:hAnsi="Arial"/>
          <w:sz w:val="17"/>
          <w:szCs w:val="17"/>
          <w:color w:val="auto"/>
        </w:rPr>
        <w:t>Our preliminary estimated unaudited financial results for the three and nine months ended September 30, 2019 are set forth below. Our estimates of results are based solely on information available to us as of the date hereof and are inherently uncertain and subject to change due to a variety of business, economic and competitive risks and uncertainties, many of which are not within our control, and we undertake no obligation to update this information. Actual results remain subject to the completion of management’s</w:t>
      </w: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 w:name="page5"/>
    <w:bookmarkEnd w:id="4"/>
    <w:p>
      <w:pPr>
        <w:ind w:left="60" w:right="759"/>
        <w:spacing w:after="0" w:line="291" w:lineRule="auto"/>
        <w:rPr>
          <w:sz w:val="20"/>
          <w:szCs w:val="20"/>
          <w:color w:val="auto"/>
        </w:rPr>
      </w:pPr>
      <w:r>
        <w:rPr>
          <w:rFonts w:ascii="Arial" w:cs="Arial" w:eastAsia="Arial" w:hAnsi="Arial"/>
          <w:sz w:val="16"/>
          <w:szCs w:val="16"/>
          <w:color w:val="auto"/>
        </w:rPr>
        <w:t>final reviews and our other financial closing procedures, as well as the completion of our auditor’s review of our unaudited consolidated financial statements, as described below. During the course of the preparation of our actual unaudited consolidated financial statements and related notes, additional items that would require material adjustments to the preliminary estimated unaudited financial results presented below may be identified. See “Management's Discussion and Analysis of Financial Condition and Results of Operations — Critical Accounting Policies and Estimates — Use of Estimates” included in our Quarterly Report on Form 10-Q for the quarterly period ended June 30, 2019 and “Cautionary Note Regarding Forward-Looking Statements” included herein.</w:t>
      </w:r>
    </w:p>
    <w:p>
      <w:pPr>
        <w:spacing w:after="0" w:line="59" w:lineRule="exact"/>
        <w:rPr>
          <w:sz w:val="20"/>
          <w:szCs w:val="20"/>
          <w:color w:val="auto"/>
        </w:rPr>
      </w:pPr>
    </w:p>
    <w:p>
      <w:pPr>
        <w:ind w:left="60" w:right="779" w:firstLine="360"/>
        <w:spacing w:after="0" w:line="270" w:lineRule="auto"/>
        <w:rPr>
          <w:sz w:val="20"/>
          <w:szCs w:val="20"/>
          <w:color w:val="auto"/>
        </w:rPr>
      </w:pPr>
      <w:r>
        <w:rPr>
          <w:rFonts w:ascii="Arial" w:cs="Arial" w:eastAsia="Arial" w:hAnsi="Arial"/>
          <w:sz w:val="17"/>
          <w:szCs w:val="17"/>
          <w:color w:val="auto"/>
        </w:rPr>
        <w:t>The preliminary financial data included herein have been prepared by and are the responsibility of our management. Our independent accountant, Deloitte &amp; Touche LLP, has not audited, reviewed, compiled or performed any procedures with respect to the preliminary financial data. Accordingly, Deloitte &amp; Touche LLP does not express an opinion or any other form of assurance with respect thereto. These estimates are not a comprehensive statement of our financial results as of and for the three and nine months ended September 30, 2019, and should not be viewed as a substitute for full financial statements prepared in accordance with generally accepted accounting principles in the United States (“GAAP”). In addition, these preliminary estimates for the three and nine months ended September 30, 2019 are not necessarily indicative of the results that may be achieved for a full fiscal year or any future periods.</w:t>
      </w:r>
    </w:p>
    <w:p>
      <w:pPr>
        <w:spacing w:after="0" w:line="74" w:lineRule="exact"/>
        <w:rPr>
          <w:sz w:val="20"/>
          <w:szCs w:val="20"/>
          <w:color w:val="auto"/>
        </w:rPr>
      </w:pPr>
    </w:p>
    <w:p>
      <w:pPr>
        <w:ind w:left="60" w:right="819" w:firstLine="360"/>
        <w:spacing w:after="0" w:line="291" w:lineRule="auto"/>
        <w:rPr>
          <w:sz w:val="20"/>
          <w:szCs w:val="20"/>
          <w:color w:val="auto"/>
        </w:rPr>
      </w:pPr>
      <w:r>
        <w:rPr>
          <w:rFonts w:ascii="Arial" w:cs="Arial" w:eastAsia="Arial" w:hAnsi="Arial"/>
          <w:sz w:val="16"/>
          <w:szCs w:val="16"/>
          <w:color w:val="auto"/>
        </w:rPr>
        <w:t>The table set forth below presents estimates for our expected gross revenue, total expenses, net income, net income attributable to Tradeweb Markets Inc., diluted earnings per share, Adjusted EBITDA, Adjusted EBITDA margin, Adjusted EBIT, Adjusted EBIT margin, Adjusted Net Income and Adjusted Diluted EPS for the three and nine months ended September 30, 2019. As noted above, each of the line items presented below represents our preliminary estimated unaudited financial results which remain subject to the completion of management’s final reviews and our other financial closing procedures, as well as the completion of our auditor’s review of our unaudited consolidated financial statements for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Borders>
              <w:left w:val="single" w:sz="8" w:color="auto"/>
            </w:tcBorders>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left w:val="single" w:sz="8" w:color="auto"/>
            </w:tcBorders>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9"/>
              </w:rPr>
              <w:t>(dollars in thousands)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Rates</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$ 115,505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left w:val="single" w:sz="8" w:color="auto"/>
            </w:tcBorders>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92,592</w:t>
            </w:r>
          </w:p>
        </w:tc>
        <w:tc>
          <w:tcPr>
            <w:tcW w:w="6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22,913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33,642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5,936</w:t>
            </w:r>
          </w:p>
        </w:tc>
        <w:tc>
          <w:tcPr>
            <w:tcW w:w="8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17.6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12,333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3,849</w:t>
            </w:r>
          </w:p>
        </w:tc>
        <w:tc>
          <w:tcPr>
            <w:tcW w:w="820" w:type="dxa"/>
            <w:vAlign w:val="bottom"/>
            <w:gridSpan w:val="2"/>
          </w:tcPr>
          <w:p>
            <w:pPr>
              <w:jc w:val="right"/>
              <w:ind w:right="96"/>
              <w:spacing w:after="0"/>
              <w:rPr>
                <w:sz w:val="20"/>
                <w:szCs w:val="20"/>
                <w:color w:val="auto"/>
              </w:rPr>
            </w:pPr>
            <w:r>
              <w:rPr>
                <w:rFonts w:ascii="Arial" w:cs="Arial" w:eastAsia="Arial" w:hAnsi="Arial"/>
                <w:sz w:val="18"/>
                <w:szCs w:val="18"/>
                <w:color w:val="auto"/>
              </w:rPr>
              <w:t>45.4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1,813</w:t>
            </w:r>
          </w:p>
        </w:tc>
        <w:tc>
          <w:tcPr>
            <w:tcW w:w="8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20.9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Market Data</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15,770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1,144</w:t>
            </w:r>
          </w:p>
        </w:tc>
        <w:tc>
          <w:tcPr>
            <w:tcW w:w="820" w:type="dxa"/>
            <w:vAlign w:val="bottom"/>
            <w:gridSpan w:val="2"/>
          </w:tcPr>
          <w:p>
            <w:pPr>
              <w:jc w:val="right"/>
              <w:ind w:right="96"/>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6,098</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8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Gross revenue</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200,981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165,253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35,728</w:t>
            </w:r>
          </w:p>
        </w:tc>
        <w:tc>
          <w:tcPr>
            <w:tcW w:w="820" w:type="dxa"/>
            <w:vAlign w:val="bottom"/>
            <w:gridSpan w:val="2"/>
          </w:tcPr>
          <w:p>
            <w:pPr>
              <w:jc w:val="right"/>
              <w:ind w:right="96"/>
              <w:spacing w:after="0"/>
              <w:rPr>
                <w:sz w:val="20"/>
                <w:szCs w:val="20"/>
                <w:color w:val="auto"/>
              </w:rPr>
            </w:pPr>
            <w:r>
              <w:rPr>
                <w:rFonts w:ascii="Arial" w:cs="Arial" w:eastAsia="Arial" w:hAnsi="Arial"/>
                <w:sz w:val="18"/>
                <w:szCs w:val="18"/>
                <w:color w:val="auto"/>
              </w:rPr>
              <w:t>21.6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142,723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114,973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45,955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Tradeweb Markets Inc.</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spacing w:after="0" w:line="284"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7"/>
                <w:szCs w:val="27"/>
                <w:color w:val="auto"/>
                <w:vertAlign w:val="superscript"/>
              </w:rPr>
              <w:t>(1)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4"/>
          </w:tcPr>
          <w:p>
            <w:pPr>
              <w:jc w:val="right"/>
              <w:ind w:right="60"/>
              <w:spacing w:after="0" w:line="284" w:lineRule="exact"/>
              <w:rPr>
                <w:sz w:val="20"/>
                <w:szCs w:val="20"/>
                <w:color w:val="auto"/>
              </w:rPr>
            </w:pPr>
            <w:r>
              <w:rPr>
                <w:rFonts w:ascii="Arial" w:cs="Arial" w:eastAsia="Arial" w:hAnsi="Arial"/>
                <w:sz w:val="18"/>
                <w:szCs w:val="18"/>
                <w:color w:val="auto"/>
              </w:rPr>
              <w:t>0.20</w:t>
            </w:r>
            <w:r>
              <w:rPr>
                <w:rFonts w:ascii="Arial" w:cs="Arial" w:eastAsia="Arial" w:hAnsi="Arial"/>
                <w:sz w:val="27"/>
                <w:szCs w:val="27"/>
                <w:color w:val="auto"/>
                <w:vertAlign w:val="superscript"/>
              </w:rPr>
              <w:t>(b)</w:t>
            </w: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0"/>
              <w:spacing w:after="0" w:line="284" w:lineRule="exact"/>
              <w:rPr>
                <w:sz w:val="20"/>
                <w:szCs w:val="20"/>
                <w:color w:val="auto"/>
              </w:rPr>
            </w:pPr>
            <w:r>
              <w:rPr>
                <w:rFonts w:ascii="Arial" w:cs="Arial" w:eastAsia="Arial" w:hAnsi="Arial"/>
                <w:sz w:val="18"/>
                <w:szCs w:val="18"/>
                <w:color w:val="auto"/>
              </w:rPr>
              <w:t>0.21</w:t>
            </w:r>
            <w:r>
              <w:rPr>
                <w:rFonts w:ascii="Arial" w:cs="Arial" w:eastAsia="Arial" w:hAnsi="Arial"/>
                <w:sz w:val="27"/>
                <w:szCs w:val="27"/>
                <w:color w:val="auto"/>
                <w:vertAlign w:val="superscript"/>
              </w:rPr>
              <w:t>(a)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ind w:left="180"/>
              <w:spacing w:after="0" w:line="284"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66,583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26,866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shd w:val="clear" w:color="auto" w:fill="CCEEFF"/>
          </w:tcPr>
          <w:p>
            <w:pPr>
              <w:ind w:left="180"/>
              <w:spacing w:after="0" w:line="284"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(2)</w:t>
            </w: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100" w:type="dxa"/>
            <w:vAlign w:val="bottom"/>
            <w:tcBorders>
              <w:left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+620bps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ind w:left="180"/>
              <w:spacing w:after="0" w:line="284" w:lineRule="exact"/>
              <w:rPr>
                <w:sz w:val="20"/>
                <w:szCs w:val="20"/>
                <w:color w:val="auto"/>
              </w:rPr>
            </w:pPr>
            <w:r>
              <w:rPr>
                <w:rFonts w:ascii="Arial" w:cs="Arial" w:eastAsia="Arial" w:hAnsi="Arial"/>
                <w:sz w:val="18"/>
                <w:szCs w:val="18"/>
                <w:color w:val="auto"/>
              </w:rPr>
              <w:t>Adjusted EBIT</w:t>
            </w:r>
            <w:r>
              <w:rPr>
                <w:rFonts w:ascii="Arial" w:cs="Arial" w:eastAsia="Arial" w:hAnsi="Arial"/>
                <w:sz w:val="27"/>
                <w:szCs w:val="27"/>
                <w:color w:val="auto"/>
                <w:vertAlign w:val="superscript"/>
              </w:rPr>
              <w:t>(2)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83,096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left w:val="single" w:sz="8" w:color="auto"/>
            </w:tcBorders>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56,734</w:t>
            </w: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26,362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shd w:val="clear" w:color="auto" w:fill="CCEEFF"/>
          </w:tcPr>
          <w:p>
            <w:pPr>
              <w:ind w:left="180"/>
              <w:spacing w:after="0" w:line="284"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7"/>
                <w:szCs w:val="27"/>
                <w:color w:val="auto"/>
                <w:vertAlign w:val="superscript"/>
              </w:rPr>
              <w:t>(2)</w:t>
            </w: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100" w:type="dxa"/>
            <w:vAlign w:val="bottom"/>
            <w:tcBorders>
              <w:left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+701bps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ind w:left="180"/>
              <w:spacing w:after="0" w:line="28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61,627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left w:val="single" w:sz="8" w:color="auto"/>
            </w:tcBorders>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42,252</w:t>
            </w: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19,375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3840" w:type="dxa"/>
            <w:vAlign w:val="bottom"/>
            <w:shd w:val="clear" w:color="auto" w:fill="CCEEFF"/>
          </w:tcPr>
          <w:p>
            <w:pPr>
              <w:ind w:left="180"/>
              <w:spacing w:after="0" w:line="284"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7"/>
                <w:szCs w:val="27"/>
                <w:color w:val="auto"/>
                <w:vertAlign w:val="superscript"/>
              </w:rPr>
              <w:t>(2)(3)</w:t>
            </w: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left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8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38.6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0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Nine Months</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340" w:type="dxa"/>
            <w:vAlign w:val="bottom"/>
            <w:gridSpan w:val="4"/>
          </w:tcPr>
          <w:p>
            <w:pPr>
              <w:jc w:val="center"/>
              <w:ind w:left="19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Rates</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$326,658</w:t>
            </w: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
              <w:spacing w:after="0"/>
              <w:rPr>
                <w:sz w:val="20"/>
                <w:szCs w:val="20"/>
                <w:color w:val="auto"/>
              </w:rPr>
            </w:pPr>
            <w:r>
              <w:rPr>
                <w:rFonts w:ascii="Arial" w:cs="Arial" w:eastAsia="Arial" w:hAnsi="Arial"/>
                <w:sz w:val="18"/>
                <w:szCs w:val="18"/>
                <w:color w:val="auto"/>
                <w:w w:val="94"/>
              </w:rPr>
              <w:t>$ 281,641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45,017</w:t>
            </w:r>
          </w:p>
        </w:tc>
        <w:tc>
          <w:tcPr>
            <w:tcW w:w="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134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118,612</w:t>
            </w:r>
          </w:p>
        </w:tc>
        <w:tc>
          <w:tcPr>
            <w:tcW w:w="8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lef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102,452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16,160</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15.8</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35,247</w:t>
            </w: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28,347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6,900</w:t>
            </w:r>
          </w:p>
        </w:tc>
        <w:tc>
          <w:tcPr>
            <w:tcW w:w="60" w:type="dxa"/>
            <w:vAlign w:val="bottom"/>
          </w:tcPr>
          <w:p>
            <w:pPr>
              <w:spacing w:after="0"/>
              <w:rPr>
                <w:sz w:val="22"/>
                <w:szCs w:val="22"/>
                <w:color w:val="auto"/>
              </w:rPr>
            </w:pPr>
          </w:p>
        </w:tc>
        <w:tc>
          <w:tcPr>
            <w:tcW w:w="820" w:type="dxa"/>
            <w:vAlign w:val="bottom"/>
            <w:gridSpan w:val="2"/>
          </w:tcPr>
          <w:p>
            <w:pPr>
              <w:jc w:val="right"/>
              <w:ind w:right="136"/>
              <w:spacing w:after="0"/>
              <w:rPr>
                <w:sz w:val="20"/>
                <w:szCs w:val="20"/>
                <w:color w:val="auto"/>
              </w:rPr>
            </w:pPr>
            <w:r>
              <w:rPr>
                <w:rFonts w:ascii="Arial" w:cs="Arial" w:eastAsia="Arial" w:hAnsi="Arial"/>
                <w:sz w:val="18"/>
                <w:szCs w:val="18"/>
                <w:color w:val="auto"/>
              </w:rPr>
              <w:t>24.3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134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30,364</w:t>
            </w:r>
          </w:p>
        </w:tc>
        <w:tc>
          <w:tcPr>
            <w:tcW w:w="8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25,248</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5,116</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20.3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Market Data</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51,361</w:t>
            </w: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47,059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4,302</w:t>
            </w:r>
          </w:p>
        </w:tc>
        <w:tc>
          <w:tcPr>
            <w:tcW w:w="60" w:type="dxa"/>
            <w:vAlign w:val="bottom"/>
          </w:tcPr>
          <w:p>
            <w:pPr>
              <w:spacing w:after="0"/>
              <w:rPr>
                <w:sz w:val="22"/>
                <w:szCs w:val="22"/>
                <w:color w:val="auto"/>
              </w:rPr>
            </w:pPr>
          </w:p>
        </w:tc>
        <w:tc>
          <w:tcPr>
            <w:tcW w:w="820" w:type="dxa"/>
            <w:vAlign w:val="bottom"/>
            <w:gridSpan w:val="2"/>
          </w:tcPr>
          <w:p>
            <w:pPr>
              <w:jc w:val="right"/>
              <w:ind w:right="136"/>
              <w:spacing w:after="0"/>
              <w:rPr>
                <w:sz w:val="20"/>
                <w:szCs w:val="20"/>
                <w:color w:val="auto"/>
              </w:rPr>
            </w:pPr>
            <w:r>
              <w:rPr>
                <w:rFonts w:ascii="Arial" w:cs="Arial" w:eastAsia="Arial" w:hAnsi="Arial"/>
                <w:sz w:val="18"/>
                <w:szCs w:val="18"/>
                <w:color w:val="auto"/>
              </w:rPr>
              <w:t>9.1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16,016</w:t>
            </w:r>
          </w:p>
        </w:tc>
        <w:tc>
          <w:tcPr>
            <w:tcW w:w="8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21,024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(5,008)</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(23.8)</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Gross revenue</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578,258</w:t>
            </w: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
              <w:spacing w:after="0"/>
              <w:rPr>
                <w:sz w:val="20"/>
                <w:szCs w:val="20"/>
                <w:color w:val="auto"/>
              </w:rPr>
            </w:pPr>
            <w:r>
              <w:rPr>
                <w:rFonts w:ascii="Arial" w:cs="Arial" w:eastAsia="Arial" w:hAnsi="Arial"/>
                <w:sz w:val="18"/>
                <w:szCs w:val="18"/>
                <w:color w:val="auto"/>
              </w:rPr>
              <w:t>505,771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72,487</w:t>
            </w:r>
          </w:p>
        </w:tc>
        <w:tc>
          <w:tcPr>
            <w:tcW w:w="60" w:type="dxa"/>
            <w:vAlign w:val="bottom"/>
          </w:tcPr>
          <w:p>
            <w:pPr>
              <w:spacing w:after="0"/>
              <w:rPr>
                <w:sz w:val="22"/>
                <w:szCs w:val="22"/>
                <w:color w:val="auto"/>
              </w:rPr>
            </w:pPr>
          </w:p>
        </w:tc>
        <w:tc>
          <w:tcPr>
            <w:tcW w:w="820" w:type="dxa"/>
            <w:vAlign w:val="bottom"/>
            <w:gridSpan w:val="2"/>
          </w:tcPr>
          <w:p>
            <w:pPr>
              <w:jc w:val="right"/>
              <w:ind w:right="136"/>
              <w:spacing w:after="0"/>
              <w:rPr>
                <w:sz w:val="20"/>
                <w:szCs w:val="20"/>
                <w:color w:val="auto"/>
              </w:rPr>
            </w:pPr>
            <w:r>
              <w:rPr>
                <w:rFonts w:ascii="Arial" w:cs="Arial" w:eastAsia="Arial" w:hAnsi="Arial"/>
                <w:sz w:val="18"/>
                <w:szCs w:val="18"/>
                <w:color w:val="auto"/>
              </w:rPr>
              <w:t>14.3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34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442,768</w:t>
            </w:r>
          </w:p>
        </w:tc>
        <w:tc>
          <w:tcPr>
            <w:tcW w:w="8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lef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338,607</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115,746</w:t>
            </w: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2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Tradeweb Markets Inc.</w:t>
            </w:r>
          </w:p>
        </w:tc>
        <w:tc>
          <w:tcPr>
            <w:tcW w:w="134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42,440</w:t>
            </w:r>
          </w:p>
        </w:tc>
        <w:tc>
          <w:tcPr>
            <w:tcW w:w="80" w:type="dxa"/>
            <w:vAlign w:val="bottom"/>
            <w:shd w:val="clear" w:color="auto" w:fill="CCEEFF"/>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spacing w:after="0" w:line="284" w:lineRule="exact"/>
              <w:rPr>
                <w:sz w:val="20"/>
                <w:szCs w:val="20"/>
                <w:color w:val="auto"/>
              </w:rPr>
            </w:pPr>
            <w:r>
              <w:rPr>
                <w:rFonts w:ascii="Arial" w:cs="Arial" w:eastAsia="Arial" w:hAnsi="Arial"/>
                <w:sz w:val="18"/>
                <w:szCs w:val="18"/>
                <w:color w:val="auto"/>
              </w:rPr>
              <w:t>Diluted EPS</w:t>
            </w:r>
            <w:r>
              <w:rPr>
                <w:rFonts w:ascii="Arial" w:cs="Arial" w:eastAsia="Arial" w:hAnsi="Arial"/>
                <w:sz w:val="27"/>
                <w:szCs w:val="27"/>
                <w:color w:val="auto"/>
                <w:vertAlign w:val="superscript"/>
              </w:rPr>
              <w:t>(1)</w:t>
            </w:r>
          </w:p>
        </w:tc>
        <w:tc>
          <w:tcPr>
            <w:tcW w:w="260" w:type="dxa"/>
            <w:vAlign w:val="bottom"/>
          </w:tcPr>
          <w:p>
            <w:pPr>
              <w:spacing w:after="0"/>
              <w:rPr>
                <w:sz w:val="24"/>
                <w:szCs w:val="24"/>
                <w:color w:val="auto"/>
              </w:rPr>
            </w:pPr>
          </w:p>
        </w:tc>
        <w:tc>
          <w:tcPr>
            <w:tcW w:w="1160" w:type="dxa"/>
            <w:vAlign w:val="bottom"/>
            <w:gridSpan w:val="4"/>
          </w:tcPr>
          <w:p>
            <w:pPr>
              <w:jc w:val="center"/>
              <w:ind w:right="60"/>
              <w:spacing w:after="0" w:line="284" w:lineRule="exact"/>
              <w:rPr>
                <w:sz w:val="20"/>
                <w:szCs w:val="20"/>
                <w:color w:val="auto"/>
              </w:rPr>
            </w:pPr>
            <w:r>
              <w:rPr>
                <w:rFonts w:ascii="Arial" w:cs="Arial" w:eastAsia="Arial" w:hAnsi="Arial"/>
                <w:sz w:val="18"/>
                <w:szCs w:val="18"/>
                <w:color w:val="auto"/>
                <w:w w:val="82"/>
              </w:rPr>
              <w:t>0.19</w:t>
            </w:r>
            <w:r>
              <w:rPr>
                <w:rFonts w:ascii="Arial" w:cs="Arial" w:eastAsia="Arial" w:hAnsi="Arial"/>
                <w:sz w:val="27"/>
                <w:szCs w:val="27"/>
                <w:color w:val="auto"/>
                <w:w w:val="82"/>
                <w:vertAlign w:val="superscript"/>
              </w:rPr>
              <w:t>(a)</w:t>
            </w:r>
            <w:r>
              <w:rPr>
                <w:rFonts w:ascii="Arial" w:cs="Arial" w:eastAsia="Arial" w:hAnsi="Arial"/>
                <w:sz w:val="18"/>
                <w:szCs w:val="18"/>
                <w:color w:val="auto"/>
                <w:w w:val="82"/>
              </w:rPr>
              <w:t>/ 0.28</w:t>
            </w:r>
            <w:r>
              <w:rPr>
                <w:rFonts w:ascii="Arial" w:cs="Arial" w:eastAsia="Arial" w:hAnsi="Arial"/>
                <w:sz w:val="27"/>
                <w:szCs w:val="27"/>
                <w:color w:val="auto"/>
                <w:w w:val="82"/>
                <w:vertAlign w:val="superscript"/>
              </w:rPr>
              <w:t>(b)</w:t>
            </w: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140"/>
              <w:spacing w:after="0" w:line="284" w:lineRule="exact"/>
              <w:rPr>
                <w:sz w:val="20"/>
                <w:szCs w:val="20"/>
                <w:color w:val="auto"/>
              </w:rPr>
            </w:pPr>
            <w:r>
              <w:rPr>
                <w:rFonts w:ascii="Arial" w:cs="Arial" w:eastAsia="Arial" w:hAnsi="Arial"/>
                <w:sz w:val="18"/>
                <w:szCs w:val="18"/>
                <w:color w:val="auto"/>
              </w:rPr>
              <w:t>0.60</w:t>
            </w:r>
            <w:r>
              <w:rPr>
                <w:rFonts w:ascii="Arial" w:cs="Arial" w:eastAsia="Arial" w:hAnsi="Arial"/>
                <w:sz w:val="27"/>
                <w:szCs w:val="27"/>
                <w:color w:val="auto"/>
                <w:vertAlign w:val="superscript"/>
              </w:rPr>
              <w:t>(a)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tcPr>
          <w:p>
            <w:pPr>
              <w:ind w:left="180"/>
              <w:spacing w:after="0" w:line="284"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(2)</w:t>
            </w:r>
          </w:p>
        </w:tc>
        <w:tc>
          <w:tcPr>
            <w:tcW w:w="1340" w:type="dxa"/>
            <w:vAlign w:val="bottom"/>
            <w:gridSpan w:val="4"/>
          </w:tcPr>
          <w:p>
            <w:pPr>
              <w:jc w:val="right"/>
              <w:ind w:right="93"/>
              <w:spacing w:after="0"/>
              <w:rPr>
                <w:sz w:val="20"/>
                <w:szCs w:val="20"/>
                <w:color w:val="auto"/>
              </w:rPr>
            </w:pPr>
            <w:r>
              <w:rPr>
                <w:rFonts w:ascii="Arial" w:cs="Arial" w:eastAsia="Arial" w:hAnsi="Arial"/>
                <w:sz w:val="18"/>
                <w:szCs w:val="18"/>
                <w:color w:val="auto"/>
              </w:rPr>
              <w:t>260,721</w:t>
            </w:r>
          </w:p>
        </w:tc>
        <w:tc>
          <w:tcPr>
            <w:tcW w:w="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2"/>
              <w:spacing w:after="0"/>
              <w:rPr>
                <w:sz w:val="20"/>
                <w:szCs w:val="20"/>
                <w:color w:val="auto"/>
              </w:rPr>
            </w:pPr>
            <w:r>
              <w:rPr>
                <w:rFonts w:ascii="Arial" w:cs="Arial" w:eastAsia="Arial" w:hAnsi="Arial"/>
                <w:sz w:val="18"/>
                <w:szCs w:val="18"/>
                <w:color w:val="auto"/>
              </w:rPr>
              <w:t>214,091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46,630</w:t>
            </w:r>
          </w:p>
        </w:tc>
        <w:tc>
          <w:tcPr>
            <w:tcW w:w="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shd w:val="clear" w:color="auto" w:fill="CCEEFF"/>
          </w:tcPr>
          <w:p>
            <w:pPr>
              <w:ind w:left="180"/>
              <w:spacing w:after="0" w:line="284"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(2)</w:t>
            </w: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24"/>
                <w:szCs w:val="24"/>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+276bps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0" w:type="dxa"/>
            <w:vAlign w:val="bottom"/>
            <w:gridSpan w:val="2"/>
          </w:tcPr>
          <w:p>
            <w:pPr>
              <w:jc w:val="right"/>
              <w:ind w:right="124"/>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-7357110</wp:posOffset>
            </wp:positionV>
            <wp:extent cx="128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-3232150</wp:posOffset>
            </wp:positionV>
            <wp:extent cx="111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062" w:right="91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Borders>
              <w:left w:val="single" w:sz="8" w:color="auto"/>
            </w:tcBorders>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Borders>
              <w:left w:val="single" w:sz="8" w:color="auto"/>
            </w:tcBorders>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left w:val="single" w:sz="8" w:color="auto"/>
            </w:tcBorders>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1000" w:type="dxa"/>
            <w:vAlign w:val="bottom"/>
            <w:tcBorders>
              <w:left w:val="single" w:sz="8" w:color="auto"/>
            </w:tcBorders>
            <w:gridSpan w:val="2"/>
          </w:tcPr>
          <w:p>
            <w:pPr>
              <w:jc w:val="center"/>
              <w:ind w:left="34"/>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line="276" w:lineRule="exact"/>
              <w:rPr>
                <w:sz w:val="20"/>
                <w:szCs w:val="20"/>
                <w:color w:val="auto"/>
              </w:rPr>
            </w:pPr>
            <w:r>
              <w:rPr>
                <w:rFonts w:ascii="Arial" w:cs="Arial" w:eastAsia="Arial" w:hAnsi="Arial"/>
                <w:sz w:val="18"/>
                <w:szCs w:val="18"/>
                <w:color w:val="auto"/>
              </w:rPr>
              <w:t>Adjusted EBIT</w:t>
            </w:r>
            <w:r>
              <w:rPr>
                <w:rFonts w:ascii="Arial" w:cs="Arial" w:eastAsia="Arial" w:hAnsi="Arial"/>
                <w:sz w:val="27"/>
                <w:szCs w:val="27"/>
                <w:color w:val="auto"/>
                <w:vertAlign w:val="superscript"/>
              </w:rPr>
              <w:t>(2)</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$229,915</w:t>
            </w:r>
          </w:p>
        </w:tc>
        <w:tc>
          <w:tcPr>
            <w:tcW w:w="80" w:type="dxa"/>
            <w:vAlign w:val="bottom"/>
            <w:shd w:val="clear" w:color="auto" w:fill="CCEEFF"/>
          </w:tcPr>
          <w:p>
            <w:pPr>
              <w:spacing w:after="0"/>
              <w:rPr>
                <w:sz w:val="24"/>
                <w:szCs w:val="24"/>
                <w:color w:val="auto"/>
              </w:rPr>
            </w:pPr>
          </w:p>
        </w:tc>
        <w:tc>
          <w:tcPr>
            <w:tcW w:w="1000" w:type="dxa"/>
            <w:vAlign w:val="bottom"/>
            <w:tcBorders>
              <w:lef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$184,859</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45,056</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7"/>
                <w:szCs w:val="27"/>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3"/>
                <w:szCs w:val="23"/>
                <w:color w:val="auto"/>
              </w:rPr>
            </w:pPr>
          </w:p>
        </w:tc>
        <w:tc>
          <w:tcPr>
            <w:tcW w:w="1220" w:type="dxa"/>
            <w:vAlign w:val="bottom"/>
            <w:tcBorders>
              <w:lef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+321bps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(2)</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$170,446</w:t>
            </w:r>
          </w:p>
        </w:tc>
        <w:tc>
          <w:tcPr>
            <w:tcW w:w="80" w:type="dxa"/>
            <w:vAlign w:val="bottom"/>
            <w:shd w:val="clear" w:color="auto" w:fill="CCEEFF"/>
          </w:tcPr>
          <w:p>
            <w:pPr>
              <w:spacing w:after="0"/>
              <w:rPr>
                <w:sz w:val="23"/>
                <w:szCs w:val="23"/>
                <w:color w:val="auto"/>
              </w:rPr>
            </w:pPr>
          </w:p>
        </w:tc>
        <w:tc>
          <w:tcPr>
            <w:tcW w:w="1000" w:type="dxa"/>
            <w:vAlign w:val="bottom"/>
            <w:tcBorders>
              <w:lef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$137,327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33,119</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84"/>
        </w:trPr>
        <w:tc>
          <w:tcPr>
            <w:tcW w:w="412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7"/>
                <w:szCs w:val="27"/>
                <w:color w:val="auto"/>
                <w:vertAlign w:val="superscript"/>
              </w:rPr>
              <w:t>(2)(3)</w:t>
            </w:r>
          </w:p>
        </w:tc>
        <w:tc>
          <w:tcPr>
            <w:tcW w:w="1080" w:type="dxa"/>
            <w:vAlign w:val="bottom"/>
          </w:tcPr>
          <w:p>
            <w:pPr>
              <w:jc w:val="right"/>
              <w:ind w:right="121"/>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24"/>
                <w:szCs w:val="24"/>
                <w:color w:val="auto"/>
              </w:rPr>
            </w:pPr>
          </w:p>
        </w:tc>
        <w:tc>
          <w:tcPr>
            <w:tcW w:w="1000" w:type="dxa"/>
            <w:vAlign w:val="bottom"/>
            <w:tcBorders>
              <w:left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760" w:type="dxa"/>
            <w:vAlign w:val="bottom"/>
          </w:tcPr>
          <w:p>
            <w:pPr>
              <w:ind w:left="2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-994410</wp:posOffset>
            </wp:positionV>
            <wp:extent cx="128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left="420" w:right="899" w:hanging="352"/>
        <w:spacing w:after="0" w:line="25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result of the Refinitiv Transaction and pushdown accounting, certain financial information for the period beginning on October 1, 2018, and through and including September 30, 2019, which we refer to as the “Successor period,” and certain financial information for the periods prior to, and including, September 30, 2018, which we refer to as the “Predecessor period,” are not comparable. See “Basis of Presentation.”</w:t>
      </w:r>
    </w:p>
    <w:p>
      <w:pPr>
        <w:spacing w:after="0" w:line="80" w:lineRule="exact"/>
        <w:rPr>
          <w:sz w:val="20"/>
          <w:szCs w:val="20"/>
          <w:color w:val="auto"/>
        </w:rPr>
      </w:pPr>
    </w:p>
    <w:p>
      <w:pPr>
        <w:ind w:left="420" w:right="1319" w:hanging="352"/>
        <w:spacing w:after="0" w:line="34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Reorganization Transactions and the IPO completed in April 2019, certain earnings information is being presented separately for Tradeweb Markets LLC and Tradeweb Markets Inc.</w:t>
      </w:r>
    </w:p>
    <w:p>
      <w:pPr>
        <w:spacing w:after="0" w:line="15"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17" w:lineRule="exact"/>
        <w:rPr>
          <w:sz w:val="20"/>
          <w:szCs w:val="20"/>
          <w:color w:val="auto"/>
        </w:rPr>
      </w:pPr>
    </w:p>
    <w:p>
      <w:pPr>
        <w:ind w:left="420" w:right="859"/>
        <w:spacing w:after="0" w:line="297" w:lineRule="auto"/>
        <w:rPr>
          <w:sz w:val="20"/>
          <w:szCs w:val="20"/>
          <w:color w:val="auto"/>
        </w:rPr>
      </w:pPr>
      <w:r>
        <w:rPr>
          <w:rFonts w:ascii="Arial" w:cs="Arial" w:eastAsia="Arial" w:hAnsi="Arial"/>
          <w:sz w:val="16"/>
          <w:szCs w:val="16"/>
          <w:color w:val="auto"/>
        </w:rPr>
        <w:t>For more information for pre-IPO period and post-IPO period earnings per share information, see “Basis of Presentation,” “Note 16 — Earnings Per Share” to the unaudited consolidated financial statements of Tradeweb Markets Inc. included in our Quarterly Report on Form 10-Q for the quarterly period ended June 30, 2019 and “Note 18 — Net Income Per Share” to the audited consolidated financial statements of Tradeweb Markets LLC included in our Current Report on Form 8-K dated June 18, 2019.</w:t>
      </w:r>
    </w:p>
    <w:p>
      <w:pPr>
        <w:spacing w:after="0" w:line="50" w:lineRule="exact"/>
        <w:rPr>
          <w:sz w:val="20"/>
          <w:szCs w:val="20"/>
          <w:color w:val="auto"/>
        </w:rPr>
      </w:pPr>
    </w:p>
    <w:p>
      <w:pPr>
        <w:ind w:left="420" w:right="1319" w:hanging="352"/>
        <w:spacing w:after="0" w:line="286"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definitions of Adjusted EBITDA, Adjusted EBITDA margin, Adjusted EBIT, Adjusted EBIT margin, Adjusted Net Income and Adjusted Diluted EPS and reconciliations to their most directly comparable financial measures presented in accordance with GAAP, see the tables below.</w:t>
      </w:r>
    </w:p>
    <w:p>
      <w:pPr>
        <w:spacing w:after="0" w:line="57" w:lineRule="exact"/>
        <w:rPr>
          <w:rFonts w:ascii="Arial" w:cs="Arial" w:eastAsia="Arial" w:hAnsi="Arial"/>
          <w:sz w:val="17"/>
          <w:szCs w:val="17"/>
          <w:color w:val="auto"/>
        </w:rPr>
      </w:pPr>
    </w:p>
    <w:p>
      <w:pPr>
        <w:ind w:left="420" w:right="779" w:hanging="352"/>
        <w:spacing w:after="0" w:line="279"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Diluted EPS includes certain tax related adjustments to reflect an assumed effective tax rate for all periods presented and, for the three and nine months ended September 30, 2019, assumes all LLC Interests are exchanged for shares of Class A or Class B common stock. As a result, we believe that Adjusted Diluted EPS for Tradeweb Markets Inc. and Tradeweb Markets LLC are comparable.</w:t>
      </w:r>
    </w:p>
    <w:p>
      <w:pPr>
        <w:spacing w:after="0" w:line="63" w:lineRule="exact"/>
        <w:rPr>
          <w:sz w:val="20"/>
          <w:szCs w:val="20"/>
          <w:color w:val="auto"/>
        </w:rPr>
      </w:pPr>
    </w:p>
    <w:p>
      <w:pPr>
        <w:ind w:left="60" w:right="759" w:firstLine="360"/>
        <w:spacing w:after="0" w:line="285" w:lineRule="auto"/>
        <w:rPr>
          <w:sz w:val="20"/>
          <w:szCs w:val="20"/>
          <w:color w:val="auto"/>
        </w:rPr>
      </w:pPr>
      <w:r>
        <w:rPr>
          <w:rFonts w:ascii="Arial" w:cs="Arial" w:eastAsia="Arial" w:hAnsi="Arial"/>
          <w:sz w:val="16"/>
          <w:szCs w:val="16"/>
          <w:color w:val="auto"/>
        </w:rPr>
        <w:t>During the three and nine months ended September 30, 2019 our estimated results were impacted by higher revenues related to increases in rates, credit, equities and money markets trading as well as market data. Our expenses were impacted by higher depreciation and amortization expense as a result of the application of pushdown accounting and non-cash stock-based compensation expense related to a special award of options to management and other employees (the “Special Option Award”), which is discussed under “Management’s Discussion and Analysis of Financial Condition and Results of Operations — Critical Accounting Policies and Estimates — Stock-Based Compensation” included in our Quarterly Report on Form 10-Q for the quarterly period ended June 30, 2019, as a result of the completion of the IPO. Net income for the three and nine months ended September 30, 2019 was $48.6 million and $115.7 million, respectively. Net income for the three and nine months ended September 30, 2018 was $46.0 million and $130.2 million, respectively. Net income for the three months ended September 30, 2019 was impacted by higher revenues, partially offset by $18.3 million of higher depreciation expense as a result of the Refinitiv Transaction and the application of pushdown accounting. Net income for the nine months ended September 30, 2019 was impacted by $52.5 million of higher depreciation expense as a result of the Refinitiv Transaction and the application of pushdown accounting and higher employee compensation and benefits, including $22.4 million of stock-based compensation expense related to the Special Option Award, partially offset by higher revenues. Net income attributable to Tradeweb Markets Inc. for the three and nine months ended September 30, 2019 was $29.6 million and $42.4 million, respectively.</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7" w:name="page8"/>
    <w:bookmarkEnd w:id="7"/>
    <w:p>
      <w:pPr>
        <w:ind w:left="60" w:right="1279" w:firstLine="360"/>
        <w:spacing w:after="0" w:line="312" w:lineRule="auto"/>
        <w:rPr>
          <w:sz w:val="20"/>
          <w:szCs w:val="20"/>
          <w:color w:val="auto"/>
        </w:rPr>
      </w:pPr>
      <w:r>
        <w:rPr>
          <w:rFonts w:ascii="Arial" w:cs="Arial" w:eastAsia="Arial" w:hAnsi="Arial"/>
          <w:sz w:val="16"/>
          <w:szCs w:val="16"/>
          <w:color w:val="auto"/>
        </w:rPr>
        <w:t>Adjusted EBITDA, Adjusted EBITDA margin, Adjusted EBIT, Adjusted EBIT margin, Adjusted Net Income and Adjusted Diluted EPS increased for the three and nine months ended September 30, 2019 as compared to prior periods, primarily due to gross revenue growth of 21.6% and 14.3%, respectively.</w:t>
      </w:r>
    </w:p>
    <w:p>
      <w:pPr>
        <w:spacing w:after="0" w:line="39" w:lineRule="exact"/>
        <w:rPr>
          <w:sz w:val="20"/>
          <w:szCs w:val="20"/>
          <w:color w:val="auto"/>
        </w:rPr>
      </w:pPr>
    </w:p>
    <w:p>
      <w:pPr>
        <w:ind w:left="60" w:right="839" w:firstLine="360"/>
        <w:spacing w:after="0" w:line="259"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three and nine months ended September 30, 2019 and 2018 and the trailing twelve months ended September 30, 2019 and 2018 were as follows: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3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September 30, 2018</w:t>
            </w:r>
          </w:p>
        </w:tc>
        <w:tc>
          <w:tcPr>
            <w:tcW w:w="820" w:type="dxa"/>
            <w:vAlign w:val="bottom"/>
          </w:tcPr>
          <w:p>
            <w:pPr>
              <w:spacing w:after="0"/>
              <w:rPr>
                <w:sz w:val="17"/>
                <w:szCs w:val="17"/>
                <w:color w:val="auto"/>
              </w:rPr>
            </w:pPr>
          </w:p>
        </w:tc>
      </w:tr>
      <w:tr>
        <w:trPr>
          <w:trHeight w:val="26"/>
        </w:trPr>
        <w:tc>
          <w:tcPr>
            <w:tcW w:w="3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7"/>
                <w:szCs w:val="1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8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Volume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ADV Change</w:t>
            </w:r>
          </w:p>
        </w:tc>
      </w:tr>
      <w:tr>
        <w:trPr>
          <w:trHeight w:val="26"/>
        </w:trPr>
        <w:tc>
          <w:tcPr>
            <w:tcW w:w="3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7"/>
        </w:trPr>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563,379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36,305,114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342,572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21,710,832</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17,199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1,117,045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11,885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760,207</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44.7%</w:t>
            </w:r>
          </w:p>
        </w:tc>
      </w:tr>
      <w:tr>
        <w:trPr>
          <w:trHeight w:val="257"/>
        </w:trPr>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366,590</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r>
      <w:tr>
        <w:trPr>
          <w:trHeight w:val="263"/>
        </w:trPr>
        <w:tc>
          <w:tcPr>
            <w:tcW w:w="3300" w:type="dxa"/>
            <w:vAlign w:val="bottom"/>
          </w:tcPr>
          <w:p>
            <w:pPr>
              <w:spacing w:after="0"/>
              <w:rPr>
                <w:sz w:val="20"/>
                <w:szCs w:val="20"/>
                <w:color w:val="auto"/>
              </w:rPr>
            </w:pPr>
            <w:r>
              <w:rPr>
                <w:rFonts w:ascii="Arial" w:cs="Arial" w:eastAsia="Arial" w:hAnsi="Arial"/>
                <w:sz w:val="18"/>
                <w:szCs w:val="18"/>
                <w:color w:val="auto"/>
              </w:rPr>
              <w:t>Money Markets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227,125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14,701,122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171,509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10,872,806</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32.4%</w:t>
            </w:r>
          </w:p>
        </w:tc>
      </w:tr>
      <w:tr>
        <w:trPr>
          <w:trHeight w:val="20"/>
        </w:trPr>
        <w:tc>
          <w:tcPr>
            <w:tcW w:w="3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257"/>
        </w:trPr>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815,048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52,599,410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531,712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33,710,434</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-196850</wp:posOffset>
            </wp:positionV>
            <wp:extent cx="660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-196850</wp:posOffset>
            </wp:positionV>
            <wp:extent cx="146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-196850</wp:posOffset>
            </wp:positionV>
            <wp:extent cx="146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-196850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-985520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-985520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-985520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 2018</w:t>
            </w:r>
          </w:p>
        </w:tc>
        <w:tc>
          <w:tcPr>
            <w:tcW w:w="820" w:type="dxa"/>
            <w:vAlign w:val="bottom"/>
          </w:tcPr>
          <w:p>
            <w:pPr>
              <w:spacing w:after="0"/>
              <w:rPr>
                <w:sz w:val="17"/>
                <w:szCs w:val="17"/>
                <w:color w:val="auto"/>
              </w:rPr>
            </w:pP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12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7"/>
                <w:szCs w:val="1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ADV Change</w:t>
            </w: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7"/>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502,303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94,680,563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345,759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65,186,563</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15,295</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2,893,232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12,871</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2,433,824</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18.8%</w:t>
            </w:r>
          </w:p>
        </w:tc>
      </w:tr>
      <w:tr>
        <w:trPr>
          <w:trHeight w:val="257"/>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1,397,429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1,419,622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120" w:type="dxa"/>
            <w:vAlign w:val="bottom"/>
          </w:tcPr>
          <w:p>
            <w:pPr>
              <w:spacing w:after="0"/>
              <w:rPr>
                <w:sz w:val="20"/>
                <w:szCs w:val="20"/>
                <w:color w:val="auto"/>
              </w:rPr>
            </w:pPr>
            <w:r>
              <w:rPr>
                <w:rFonts w:ascii="Arial" w:cs="Arial" w:eastAsia="Arial" w:hAnsi="Arial"/>
                <w:sz w:val="18"/>
                <w:szCs w:val="18"/>
                <w:color w:val="auto"/>
              </w:rPr>
              <w:t>Money Markets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213,920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40,495,243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168,618</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31,773,689</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26.9%</w:t>
            </w:r>
          </w:p>
        </w:tc>
      </w:tr>
      <w:tr>
        <w:trPr>
          <w:trHeight w:val="20"/>
        </w:trPr>
        <w:tc>
          <w:tcPr>
            <w:tcW w:w="3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257"/>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738,903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139,466,467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534,791</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100,813,698</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414"/>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Trailing Twelve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 2018</w:t>
            </w:r>
          </w:p>
        </w:tc>
        <w:tc>
          <w:tcPr>
            <w:tcW w:w="820" w:type="dxa"/>
            <w:vAlign w:val="bottom"/>
          </w:tcPr>
          <w:p>
            <w:pPr>
              <w:spacing w:after="0"/>
              <w:rPr>
                <w:sz w:val="17"/>
                <w:szCs w:val="17"/>
                <w:color w:val="auto"/>
              </w:rPr>
            </w:pP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12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7"/>
                <w:szCs w:val="1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ADV Change</w:t>
            </w:r>
          </w:p>
        </w:tc>
      </w:tr>
      <w:tr>
        <w:trPr>
          <w:trHeight w:val="26"/>
        </w:trPr>
        <w:tc>
          <w:tcPr>
            <w:tcW w:w="3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63"/>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472,192</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118,119,615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329,381</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82,562,651</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14,487</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3,645,616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11,403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2,874,097</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27.0%</w:t>
            </w:r>
          </w:p>
        </w:tc>
      </w:tr>
      <w:tr>
        <w:trPr>
          <w:trHeight w:val="257"/>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7,674</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1,940,373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1,814,489</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63"/>
        </w:trPr>
        <w:tc>
          <w:tcPr>
            <w:tcW w:w="3120" w:type="dxa"/>
            <w:vAlign w:val="bottom"/>
          </w:tcPr>
          <w:p>
            <w:pPr>
              <w:spacing w:after="0"/>
              <w:rPr>
                <w:sz w:val="20"/>
                <w:szCs w:val="20"/>
                <w:color w:val="auto"/>
              </w:rPr>
            </w:pPr>
            <w:r>
              <w:rPr>
                <w:rFonts w:ascii="Arial" w:cs="Arial" w:eastAsia="Arial" w:hAnsi="Arial"/>
                <w:sz w:val="18"/>
                <w:szCs w:val="18"/>
                <w:color w:val="auto"/>
              </w:rPr>
              <w:t>Money Markets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207,581</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52,184,471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162,791</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40,803,091</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27.5%</w:t>
            </w:r>
          </w:p>
        </w:tc>
      </w:tr>
      <w:tr>
        <w:trPr>
          <w:trHeight w:val="20"/>
        </w:trPr>
        <w:tc>
          <w:tcPr>
            <w:tcW w:w="3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270"/>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701,934</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175,890,074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510,814</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128,054,328</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-1809115</wp:posOffset>
            </wp:positionV>
            <wp:extent cx="660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-1809115</wp:posOffset>
            </wp:positionV>
            <wp:extent cx="146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-1809115</wp:posOffset>
            </wp:positionV>
            <wp:extent cx="146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-1809115</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-2597785</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-2597785</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-2597785</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-205105</wp:posOffset>
            </wp:positionV>
            <wp:extent cx="660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-205105</wp:posOffset>
            </wp:positionV>
            <wp:extent cx="146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-205105</wp:posOffset>
            </wp:positionV>
            <wp:extent cx="146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-205105</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-1011555</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-1011555</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-1011555</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60" w:right="799" w:firstLine="360"/>
        <w:spacing w:after="0" w:line="288" w:lineRule="auto"/>
        <w:rPr>
          <w:sz w:val="20"/>
          <w:szCs w:val="20"/>
          <w:color w:val="auto"/>
        </w:rPr>
      </w:pPr>
      <w:r>
        <w:rPr>
          <w:rFonts w:ascii="Arial" w:cs="Arial" w:eastAsia="Arial" w:hAnsi="Arial"/>
          <w:sz w:val="16"/>
          <w:szCs w:val="16"/>
          <w:color w:val="auto"/>
        </w:rPr>
        <w:t>We believe the increases in average daily volumes in the three and nine months ended September 30, 2019 for most asset classes can be attributed to various factors, including further electronification of trading activities across our asset classes, increase in market share, new products, new clients and increased volatility. Trading activity in interest rate swaps and swaptions, in particular short-tenor swaps, repurchase agreements and mortgages were the leading drivers of our overall volume growth for the three and nine months ended September 30, 2019. Rates ADV increased due mainly to higher trading activity in interest rate swaps and swaptions, in particular short-tenor swaps, mortgages and U.S. treasuries. Credit ADV increased due mainly to higher trading activity in credit derivatives, high-grade and high-yield credit as well as Chinese bonds. Equities ADV increased due mainly to higher trading activity in institutional European ETFs. Money Markets ADV increased due to the continued growth of bilateral electronic trading in repurchase agreements.</w:t>
      </w:r>
    </w:p>
    <w:p>
      <w:pPr>
        <w:spacing w:after="0" w:line="61" w:lineRule="exact"/>
        <w:rPr>
          <w:sz w:val="20"/>
          <w:szCs w:val="20"/>
          <w:color w:val="auto"/>
        </w:rPr>
      </w:pPr>
    </w:p>
    <w:p>
      <w:pPr>
        <w:ind w:left="60" w:right="759" w:firstLine="360"/>
        <w:spacing w:after="0" w:line="308"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and nine months ended September 30, 2019 and 2018 and the trailing twelve months ended</w:t>
      </w:r>
    </w:p>
    <w:p>
      <w:pPr>
        <w:spacing w:after="0" w:line="21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8" w:name="page9"/>
    <w:bookmarkEnd w:id="8"/>
    <w:p>
      <w:pPr>
        <w:ind w:left="60" w:right="879"/>
        <w:spacing w:after="0" w:line="253" w:lineRule="auto"/>
        <w:rPr>
          <w:sz w:val="20"/>
          <w:szCs w:val="20"/>
          <w:color w:val="auto"/>
        </w:rPr>
      </w:pPr>
      <w:r>
        <w:rPr>
          <w:rFonts w:ascii="Arial" w:cs="Arial" w:eastAsia="Arial" w:hAnsi="Arial"/>
          <w:sz w:val="18"/>
          <w:szCs w:val="18"/>
          <w:color w:val="auto"/>
        </w:rPr>
        <w:t>September 30, 2019 and 2018 are summarized below. There are four potential drivers of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17.7% for the three months ended September 30, 2019 while gross revenue for our Credit asset class increased 17.6% over the same period.</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variable fees per million</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Rates</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21"/>
                <w:szCs w:val="21"/>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$ 30.81</w:t>
            </w:r>
          </w:p>
        </w:tc>
        <w:tc>
          <w:tcPr>
            <w:tcW w:w="4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$ 37.45</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Equities</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9"/>
              </w:rPr>
              <w:t>$ 20.78</w:t>
            </w:r>
          </w:p>
        </w:tc>
        <w:tc>
          <w:tcPr>
            <w:tcW w:w="4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$ 19.27</w:t>
            </w:r>
          </w:p>
        </w:tc>
        <w:tc>
          <w:tcPr>
            <w:tcW w:w="22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9"/>
              </w:rPr>
              <w:t>$ 1.51</w:t>
            </w: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22"/>
                <w:szCs w:val="22"/>
                <w:color w:val="auto"/>
              </w:rPr>
            </w:pPr>
          </w:p>
        </w:tc>
        <w:tc>
          <w:tcPr>
            <w:tcW w:w="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3"/>
                <w:szCs w:val="23"/>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28"/>
        </w:trPr>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10"/>
          </w:tcPr>
          <w:p>
            <w:pPr>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9"/>
          </w:tcPr>
          <w:p>
            <w:pPr>
              <w:ind w:left="14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variable fees per million</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Rates</w:t>
            </w:r>
          </w:p>
        </w:tc>
        <w:tc>
          <w:tcPr>
            <w:tcW w:w="660" w:type="dxa"/>
            <w:vAlign w:val="bottom"/>
            <w:gridSpan w:val="6"/>
          </w:tcPr>
          <w:p>
            <w:pPr>
              <w:ind w:left="160"/>
              <w:spacing w:after="0"/>
              <w:rPr>
                <w:sz w:val="20"/>
                <w:szCs w:val="20"/>
                <w:color w:val="auto"/>
              </w:rPr>
            </w:pPr>
            <w:r>
              <w:rPr>
                <w:rFonts w:ascii="Arial" w:cs="Arial" w:eastAsia="Arial" w:hAnsi="Arial"/>
                <w:sz w:val="18"/>
                <w:szCs w:val="18"/>
                <w:color w:val="auto"/>
                <w:w w:val="95"/>
              </w:rPr>
              <w:t>$ 1.85</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$(0.19)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6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87"/>
              </w:rPr>
              <w:t>$35.64</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$ 35.85</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Equities</w:t>
            </w:r>
          </w:p>
        </w:tc>
        <w:tc>
          <w:tcPr>
            <w:tcW w:w="660" w:type="dxa"/>
            <w:vAlign w:val="bottom"/>
            <w:gridSpan w:val="6"/>
          </w:tcPr>
          <w:p>
            <w:pPr>
              <w:ind w:left="160"/>
              <w:spacing w:after="0"/>
              <w:rPr>
                <w:sz w:val="20"/>
                <w:szCs w:val="20"/>
                <w:color w:val="auto"/>
              </w:rPr>
            </w:pPr>
            <w:r>
              <w:rPr>
                <w:rFonts w:ascii="Arial" w:cs="Arial" w:eastAsia="Arial" w:hAnsi="Arial"/>
                <w:sz w:val="18"/>
                <w:szCs w:val="18"/>
                <w:color w:val="auto"/>
                <w:w w:val="87"/>
              </w:rPr>
              <w:t>$20.93</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$ 16.55</w:t>
            </w:r>
          </w:p>
        </w:tc>
        <w:tc>
          <w:tcPr>
            <w:tcW w:w="22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9"/>
              </w:rPr>
              <w:t>$ 4.38</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6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$ 0.48</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$ 0.01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gridSpan w:val="6"/>
          </w:tcPr>
          <w:p>
            <w:pPr>
              <w:ind w:left="160"/>
              <w:spacing w:after="0"/>
              <w:rPr>
                <w:sz w:val="20"/>
                <w:szCs w:val="20"/>
                <w:color w:val="auto"/>
              </w:rPr>
            </w:pPr>
            <w:r>
              <w:rPr>
                <w:rFonts w:ascii="Arial" w:cs="Arial" w:eastAsia="Arial" w:hAnsi="Arial"/>
                <w:sz w:val="18"/>
                <w:szCs w:val="18"/>
                <w:color w:val="auto"/>
                <w:w w:val="95"/>
              </w:rPr>
              <w:t>$ 2.34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$(0.23)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15"/>
        </w:trPr>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7"/>
          </w:tcPr>
          <w:p>
            <w:pPr>
              <w:jc w:val="center"/>
              <w:ind w:left="99"/>
              <w:spacing w:after="0"/>
              <w:rPr>
                <w:sz w:val="20"/>
                <w:szCs w:val="20"/>
                <w:color w:val="auto"/>
              </w:rPr>
            </w:pPr>
            <w:r>
              <w:rPr>
                <w:rFonts w:ascii="Arial" w:cs="Arial" w:eastAsia="Arial" w:hAnsi="Arial"/>
                <w:sz w:val="14"/>
                <w:szCs w:val="14"/>
                <w:b w:val="1"/>
                <w:bCs w:val="1"/>
                <w:color w:val="auto"/>
                <w:w w:val="98"/>
              </w:rPr>
              <w:t>Trailing</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40" w:type="dxa"/>
            <w:vAlign w:val="bottom"/>
            <w:gridSpan w:val="12"/>
          </w:tcPr>
          <w:p>
            <w:pPr>
              <w:jc w:val="center"/>
              <w:ind w:right="260"/>
              <w:spacing w:after="0"/>
              <w:rPr>
                <w:sz w:val="20"/>
                <w:szCs w:val="20"/>
                <w:color w:val="auto"/>
              </w:rPr>
            </w:pPr>
            <w:r>
              <w:rPr>
                <w:rFonts w:ascii="Arial" w:cs="Arial" w:eastAsia="Arial" w:hAnsi="Arial"/>
                <w:sz w:val="14"/>
                <w:szCs w:val="14"/>
                <w:b w:val="1"/>
                <w:bCs w:val="1"/>
                <w:color w:val="auto"/>
                <w:w w:val="93"/>
              </w:rPr>
              <w:t>Twelve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5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5"/>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580" w:type="dxa"/>
            <w:vAlign w:val="bottom"/>
            <w:gridSpan w:val="4"/>
          </w:tcPr>
          <w:p>
            <w:pPr>
              <w:ind w:left="1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variable fees per million</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Rates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$ 37.05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$ 38.64</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Equities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9"/>
              </w:rPr>
              <w:t>$ 20.71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$ 15.79</w:t>
            </w:r>
          </w:p>
        </w:tc>
        <w:tc>
          <w:tcPr>
            <w:tcW w:w="22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9"/>
              </w:rPr>
              <w:t>$ 4.92</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$ 0.01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2.41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-3909695</wp:posOffset>
            </wp:positionV>
            <wp:extent cx="4751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-2477770</wp:posOffset>
            </wp:positionV>
            <wp:extent cx="4751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-951230</wp:posOffset>
            </wp:positionV>
            <wp:extent cx="4751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4" w:lineRule="exact"/>
        <w:rPr>
          <w:sz w:val="20"/>
          <w:szCs w:val="20"/>
          <w:color w:val="auto"/>
        </w:rPr>
      </w:pPr>
    </w:p>
    <w:p>
      <w:pPr>
        <w:ind w:left="60" w:right="819" w:firstLine="360"/>
        <w:spacing w:after="0" w:line="269"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 Adjusted EBITDA is defined as net income before contingent consideration, net interest income, provision for income taxes and depreciation and amortization, adjusted for the impact of certain other items, including certain stock-based compensation expense,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acquisition and Refinitiv Transaction-related depreciation and amortization, gains and losses from outstanding foreign exchange forward contracts and the revaluation of foreign denominated cash.</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9" w:name="page10"/>
    <w:bookmarkEnd w:id="9"/>
    <w:p>
      <w:pPr>
        <w:ind w:left="60" w:right="759" w:firstLine="360"/>
        <w:spacing w:after="0" w:line="268" w:lineRule="auto"/>
        <w:rPr>
          <w:sz w:val="20"/>
          <w:szCs w:val="20"/>
          <w:color w:val="auto"/>
        </w:rPr>
      </w:pPr>
      <w:r>
        <w:rPr>
          <w:rFonts w:ascii="Arial" w:cs="Arial" w:eastAsia="Arial" w:hAnsi="Arial"/>
          <w:sz w:val="17"/>
          <w:szCs w:val="17"/>
          <w:color w:val="auto"/>
        </w:rPr>
        <w:t>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we also exclude non-cash stock-based compensation expense associated with the Special Option Award. We believe it is useful to exclude this stock-based compensation expense because the amount of expense associated with the Special Option Award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77" w:lineRule="exact"/>
        <w:rPr>
          <w:sz w:val="20"/>
          <w:szCs w:val="20"/>
          <w:color w:val="auto"/>
        </w:rPr>
      </w:pPr>
    </w:p>
    <w:p>
      <w:pPr>
        <w:ind w:left="60" w:right="759" w:firstLine="360"/>
        <w:spacing w:after="0" w:line="26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 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common membership units of TWM LLC (“LLC Interests”) held by non-controlling interests are exchanged for shares of Class A or Class B common stock, we believe that Adjusted Net Income and Adjusted Diluted EPS for Tradeweb Markets Inc. and Tradeweb Markets LLC are comparable.</w:t>
      </w:r>
    </w:p>
    <w:p>
      <w:pPr>
        <w:spacing w:after="0" w:line="72" w:lineRule="exact"/>
        <w:rPr>
          <w:sz w:val="20"/>
          <w:szCs w:val="20"/>
          <w:color w:val="auto"/>
        </w:rPr>
      </w:pPr>
    </w:p>
    <w:p>
      <w:pPr>
        <w:ind w:left="60" w:right="799" w:firstLine="360"/>
        <w:spacing w:after="0" w:line="284"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acquisition and Refinitiv Transaction-related depreciation and amortization,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 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w:t>
      </w:r>
    </w:p>
    <w:p>
      <w:pPr>
        <w:spacing w:after="0" w:line="2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0" w:name="page11"/>
    <w:bookmarkEnd w:id="10"/>
    <w:p>
      <w:pPr>
        <w:ind w:left="60" w:right="959"/>
        <w:spacing w:after="0" w:line="286" w:lineRule="auto"/>
        <w:rPr>
          <w:sz w:val="20"/>
          <w:szCs w:val="20"/>
          <w:color w:val="auto"/>
        </w:rPr>
      </w:pPr>
      <w:r>
        <w:rPr>
          <w:rFonts w:ascii="Arial" w:cs="Arial" w:eastAsia="Arial" w:hAnsi="Arial"/>
          <w:sz w:val="17"/>
          <w:szCs w:val="17"/>
          <w:color w:val="auto"/>
        </w:rPr>
        <w:t>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57" w:lineRule="exact"/>
        <w:rPr>
          <w:sz w:val="20"/>
          <w:szCs w:val="20"/>
          <w:color w:val="auto"/>
        </w:rPr>
      </w:pPr>
    </w:p>
    <w:p>
      <w:pPr>
        <w:ind w:left="60" w:right="799" w:firstLine="360"/>
        <w:spacing w:after="0" w:line="268"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77" w:lineRule="exact"/>
        <w:rPr>
          <w:sz w:val="20"/>
          <w:szCs w:val="20"/>
          <w:color w:val="auto"/>
        </w:rPr>
      </w:pPr>
    </w:p>
    <w:p>
      <w:pPr>
        <w:ind w:left="60" w:right="839" w:firstLine="360"/>
        <w:spacing w:after="0" w:line="264"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nine months ended September 30, 2019 and 2018:</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36"/>
        </w:trPr>
        <w:tc>
          <w:tcPr>
            <w:tcW w:w="19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gridSpan w:val="7"/>
            <w:vMerge w:val="restart"/>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1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7"/>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10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Borders>
              <w:left w:val="single" w:sz="8" w:color="auto"/>
            </w:tcBorders>
          </w:tcPr>
          <w:p>
            <w:pPr>
              <w:spacing w:after="0"/>
              <w:rPr>
                <w:sz w:val="15"/>
                <w:szCs w:val="15"/>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Borders>
              <w:left w:val="single" w:sz="8" w:color="auto"/>
            </w:tcBorders>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88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48,578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115,746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45,955</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$ 130,160</w:t>
            </w:r>
          </w:p>
        </w:tc>
        <w:tc>
          <w:tcPr>
            <w:tcW w:w="1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(2,537)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26,830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35,133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102,928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16,362</w:t>
            </w:r>
          </w:p>
        </w:tc>
        <w:tc>
          <w:tcPr>
            <w:tcW w:w="220" w:type="dxa"/>
            <w:vAlign w:val="bottom"/>
          </w:tcPr>
          <w:p>
            <w:pPr>
              <w:spacing w:after="0"/>
              <w:rPr>
                <w:sz w:val="22"/>
                <w:szCs w:val="22"/>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48,808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Stock-based compensation expense associated</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Special Option Award</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lef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10,316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21,413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7,535</w:t>
            </w: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Unrealized foreign exchange (gains) / losses</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500" w:type="dxa"/>
            <w:vAlign w:val="bottom"/>
            <w:gridSpan w:val="2"/>
          </w:tcPr>
          <w:p>
            <w:pPr>
              <w:spacing w:after="0" w:line="192" w:lineRule="exact"/>
              <w:rPr>
                <w:sz w:val="20"/>
                <w:szCs w:val="20"/>
                <w:color w:val="auto"/>
              </w:rPr>
            </w:pPr>
            <w:r>
              <w:rPr>
                <w:rFonts w:ascii="Arial" w:cs="Arial" w:eastAsia="Arial" w:hAnsi="Arial"/>
                <w:sz w:val="18"/>
                <w:szCs w:val="18"/>
                <w:color w:val="auto"/>
              </w:rPr>
              <w:t>(Gain) / loss from revaluation of foreign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3500" w:type="dxa"/>
            <w:vAlign w:val="bottom"/>
            <w:gridSpan w:val="2"/>
          </w:tcPr>
          <w:p>
            <w:pPr>
              <w:ind w:left="180"/>
              <w:spacing w:after="0" w:line="308" w:lineRule="exact"/>
              <w:rPr>
                <w:sz w:val="20"/>
                <w:szCs w:val="20"/>
                <w:color w:val="auto"/>
              </w:rPr>
            </w:pPr>
            <w:r>
              <w:rPr>
                <w:rFonts w:ascii="Arial" w:cs="Arial" w:eastAsia="Arial" w:hAnsi="Arial"/>
                <w:sz w:val="18"/>
                <w:szCs w:val="18"/>
                <w:color w:val="auto"/>
              </w:rPr>
              <w:t>denominated cash</w:t>
            </w:r>
            <w:r>
              <w:rPr>
                <w:rFonts w:ascii="Arial" w:cs="Arial" w:eastAsia="Arial" w:hAnsi="Arial"/>
                <w:sz w:val="27"/>
                <w:szCs w:val="27"/>
                <w:color w:val="auto"/>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gridSpan w:val="2"/>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93,449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260,721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66,583</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$ 214,091</w:t>
            </w:r>
          </w:p>
        </w:tc>
        <w:tc>
          <w:tcPr>
            <w:tcW w:w="1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(35,133)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(102,928)</w:t>
            </w:r>
          </w:p>
        </w:tc>
        <w:tc>
          <w:tcPr>
            <w:tcW w:w="8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(16,362)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(48,808)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5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Add: Acquisition and Refinitiv Transaction</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3500" w:type="dxa"/>
            <w:vAlign w:val="bottom"/>
            <w:gridSpan w:val="2"/>
            <w:shd w:val="clear" w:color="auto" w:fill="CCEEFF"/>
          </w:tcPr>
          <w:p>
            <w:pPr>
              <w:ind w:left="180"/>
              <w:spacing w:after="0" w:line="308" w:lineRule="exact"/>
              <w:rPr>
                <w:sz w:val="20"/>
                <w:szCs w:val="20"/>
                <w:color w:val="auto"/>
              </w:rPr>
            </w:pPr>
            <w:r>
              <w:rPr>
                <w:rFonts w:ascii="Arial" w:cs="Arial" w:eastAsia="Arial" w:hAnsi="Arial"/>
                <w:sz w:val="18"/>
                <w:szCs w:val="18"/>
                <w:color w:val="auto"/>
              </w:rPr>
              <w:t>related D&amp;A</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24,780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00" w:type="dxa"/>
            <w:vAlign w:val="bottom"/>
            <w:gridSpan w:val="2"/>
          </w:tcPr>
          <w:p>
            <w:pPr>
              <w:spacing w:after="0"/>
              <w:rPr>
                <w:sz w:val="20"/>
                <w:szCs w:val="20"/>
                <w:color w:val="auto"/>
              </w:rPr>
            </w:pPr>
            <w:r>
              <w:rPr>
                <w:rFonts w:ascii="Arial" w:cs="Arial" w:eastAsia="Arial" w:hAnsi="Arial"/>
                <w:sz w:val="18"/>
                <w:szCs w:val="18"/>
                <w:color w:val="auto"/>
              </w:rPr>
              <w:t>Adjusted EBIT</w:t>
            </w:r>
          </w:p>
        </w:tc>
        <w:tc>
          <w:tcPr>
            <w:tcW w:w="28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83,096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229,915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56,734</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$ 184,859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(3)</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50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lef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spacing w:after="0" w:line="290"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7"/>
                <w:szCs w:val="27"/>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-1508760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-1508760</wp:posOffset>
            </wp:positionV>
            <wp:extent cx="248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-1508760</wp:posOffset>
            </wp:positionV>
            <wp:extent cx="231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-1508760</wp:posOffset>
            </wp:positionV>
            <wp:extent cx="305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-3249295</wp:posOffset>
            </wp:positionV>
            <wp:extent cx="111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-3249295</wp:posOffset>
            </wp:positionV>
            <wp:extent cx="111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-3249295</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2" w:lineRule="exact"/>
        <w:rPr>
          <w:sz w:val="20"/>
          <w:szCs w:val="20"/>
          <w:color w:val="auto"/>
        </w:rPr>
      </w:pPr>
    </w:p>
    <w:p>
      <w:pPr>
        <w:ind w:left="780" w:right="125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1" w:name="page12"/>
    <w:bookmarkEnd w:id="11"/>
    <w:p>
      <w:pPr>
        <w:ind w:left="780" w:right="819" w:hanging="352"/>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59" w:lineRule="exact"/>
        <w:rPr>
          <w:rFonts w:ascii="Arial" w:cs="Arial" w:eastAsia="Arial" w:hAnsi="Arial"/>
          <w:sz w:val="18"/>
          <w:szCs w:val="18"/>
          <w:color w:val="auto"/>
        </w:rPr>
      </w:pPr>
    </w:p>
    <w:p>
      <w:pPr>
        <w:ind w:left="780" w:right="779" w:hanging="352"/>
        <w:spacing w:after="0" w:line="268"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2019 and 2018, Adjusted EBITDA margin increased compared to the prior year period by 620 basis points, and 276 basis points, respectively, or 672 basis points, and 326 basis points on a constant currency basis. For the three and nine months ended September 30, 2019 and 2018, Adjusted EBIT margin increased compared to the prior year period by 701 basis points and 321 basis points, respectively, or 770 basis points and 386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2" w:name="page13"/>
    <w:bookmarkEnd w:id="12"/>
    <w:p>
      <w:pPr>
        <w:ind w:left="60" w:right="739" w:firstLine="360"/>
        <w:spacing w:after="0" w:line="264"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nine months ended September 30, 2019 and 2018:</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36"/>
        </w:trPr>
        <w:tc>
          <w:tcPr>
            <w:tcW w:w="19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6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06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8"/>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gridSpan w:val="18"/>
          </w:tcPr>
          <w:p>
            <w:pPr>
              <w:ind w:left="3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3"/>
          </w:tcPr>
          <w:p>
            <w:pPr>
              <w:ind w:left="280"/>
              <w:spacing w:after="0" w:line="216" w:lineRule="exact"/>
              <w:rPr>
                <w:sz w:val="20"/>
                <w:szCs w:val="20"/>
                <w:color w:val="auto"/>
              </w:rPr>
            </w:pPr>
            <w:r>
              <w:rPr>
                <w:rFonts w:ascii="Arial" w:cs="Arial" w:eastAsia="Arial" w:hAnsi="Arial"/>
                <w:sz w:val="17"/>
                <w:szCs w:val="17"/>
                <w:color w:val="auto"/>
                <w:w w:val="89"/>
              </w:rPr>
              <w:t>0.19</w:t>
            </w:r>
            <w:r>
              <w:rPr>
                <w:rFonts w:ascii="Arial" w:cs="Arial" w:eastAsia="Arial" w:hAnsi="Arial"/>
                <w:sz w:val="25"/>
                <w:szCs w:val="25"/>
                <w:color w:val="auto"/>
                <w:w w:val="89"/>
                <w:vertAlign w:val="superscript"/>
              </w:rPr>
              <w:t>(a)</w:t>
            </w:r>
            <w:r>
              <w:rPr>
                <w:rFonts w:ascii="Arial" w:cs="Arial" w:eastAsia="Arial" w:hAnsi="Arial"/>
                <w:sz w:val="17"/>
                <w:szCs w:val="17"/>
                <w:color w:val="auto"/>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spacing w:after="0" w:line="257" w:lineRule="exact"/>
              <w:rPr>
                <w:sz w:val="20"/>
                <w:szCs w:val="20"/>
                <w:color w:val="auto"/>
              </w:rPr>
            </w:pPr>
            <w:r>
              <w:rPr>
                <w:rFonts w:ascii="Arial" w:cs="Arial" w:eastAsia="Arial" w:hAnsi="Arial"/>
                <w:sz w:val="18"/>
                <w:szCs w:val="18"/>
                <w:color w:val="auto"/>
              </w:rPr>
              <w:t>Earnings per diluted share</w:t>
            </w:r>
            <w:r>
              <w:rPr>
                <w:rFonts w:ascii="Arial" w:cs="Arial" w:eastAsia="Arial" w:hAnsi="Arial"/>
                <w:sz w:val="27"/>
                <w:szCs w:val="27"/>
                <w:color w:val="auto"/>
                <w:vertAlign w:val="superscript"/>
              </w:rPr>
              <w:t>(1)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57"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r>
              <w:rPr>
                <w:rFonts w:ascii="Arial" w:cs="Arial" w:eastAsia="Arial" w:hAnsi="Arial"/>
                <w:sz w:val="27"/>
                <w:szCs w:val="27"/>
                <w:color w:val="auto"/>
                <w:vertAlign w:val="superscript"/>
              </w:rPr>
              <w:t>(b)</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right w:val="single" w:sz="8" w:color="auto"/>
            </w:tcBorders>
            <w:gridSpan w:val="3"/>
          </w:tcPr>
          <w:p>
            <w:pPr>
              <w:ind w:left="280"/>
              <w:spacing w:after="0" w:line="257" w:lineRule="exact"/>
              <w:rPr>
                <w:sz w:val="20"/>
                <w:szCs w:val="20"/>
                <w:color w:val="auto"/>
              </w:rPr>
            </w:pPr>
            <w:r>
              <w:rPr>
                <w:rFonts w:ascii="Arial" w:cs="Arial" w:eastAsia="Arial" w:hAnsi="Arial"/>
                <w:sz w:val="18"/>
                <w:szCs w:val="18"/>
                <w:color w:val="auto"/>
                <w:w w:val="91"/>
              </w:rPr>
              <w:t>0.28</w:t>
            </w:r>
            <w:r>
              <w:rPr>
                <w:rFonts w:ascii="Arial" w:cs="Arial" w:eastAsia="Arial" w:hAnsi="Arial"/>
                <w:sz w:val="27"/>
                <w:szCs w:val="27"/>
                <w:color w:val="auto"/>
                <w:w w:val="91"/>
                <w:vertAlign w:val="superscript"/>
              </w:rPr>
              <w:t>(b)</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57"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r>
              <w:rPr>
                <w:rFonts w:ascii="Arial" w:cs="Arial" w:eastAsia="Arial" w:hAnsi="Arial"/>
                <w:sz w:val="27"/>
                <w:szCs w:val="27"/>
                <w:color w:val="auto"/>
                <w:vertAlign w:val="superscript"/>
              </w:rPr>
              <w:t>(a)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300"/>
              <w:spacing w:after="0" w:line="257" w:lineRule="exact"/>
              <w:rPr>
                <w:sz w:val="20"/>
                <w:szCs w:val="20"/>
                <w:color w:val="auto"/>
              </w:rPr>
            </w:pPr>
            <w:r>
              <w:rPr>
                <w:rFonts w:ascii="Arial" w:cs="Arial" w:eastAsia="Arial" w:hAnsi="Arial"/>
                <w:sz w:val="18"/>
                <w:szCs w:val="18"/>
                <w:color w:val="auto"/>
                <w:w w:val="77"/>
              </w:rPr>
              <w:t>0.</w:t>
            </w:r>
            <w:r>
              <w:rPr>
                <w:rFonts w:ascii="Arial" w:cs="Arial" w:eastAsia="Arial" w:hAnsi="Arial"/>
                <w:sz w:val="18"/>
                <w:szCs w:val="18"/>
                <w:u w:val="single" w:color="auto"/>
                <w:color w:val="auto"/>
                <w:w w:val="77"/>
              </w:rPr>
              <w:t>60</w:t>
            </w:r>
            <w:r>
              <w:rPr>
                <w:rFonts w:ascii="Arial" w:cs="Arial" w:eastAsia="Arial" w:hAnsi="Arial"/>
                <w:sz w:val="27"/>
                <w:szCs w:val="27"/>
                <w:color w:val="auto"/>
                <w:w w:val="77"/>
                <w:vertAlign w:val="superscript"/>
              </w:rPr>
              <w:t>(a)</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spacing w:after="0" w:line="172" w:lineRule="exact"/>
              <w:rPr>
                <w:sz w:val="20"/>
                <w:szCs w:val="20"/>
                <w:color w:val="auto"/>
              </w:rPr>
            </w:pPr>
            <w:r>
              <w:rPr>
                <w:rFonts w:ascii="Arial" w:cs="Arial" w:eastAsia="Arial" w:hAnsi="Arial"/>
                <w:sz w:val="18"/>
                <w:szCs w:val="18"/>
                <w:color w:val="auto"/>
                <w:w w:val="95"/>
              </w:rPr>
              <w:t>Pre-IPO net income attributable to Tradeweb</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4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Markets LLC</w:t>
            </w:r>
            <w:r>
              <w:rPr>
                <w:rFonts w:ascii="Arial" w:cs="Arial" w:eastAsia="Arial" w:hAnsi="Arial"/>
                <w:sz w:val="27"/>
                <w:szCs w:val="27"/>
                <w:color w:val="auto"/>
                <w:vertAlign w:val="superscript"/>
              </w:rPr>
              <w:t>(1)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45,955</w:t>
            </w: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130,160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Add: Net income attributable to Tradeweb</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42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Markets Inc.</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spacing w:after="0" w:line="192" w:lineRule="exact"/>
              <w:rPr>
                <w:sz w:val="20"/>
                <w:szCs w:val="20"/>
                <w:color w:val="auto"/>
              </w:rPr>
            </w:pPr>
            <w:r>
              <w:rPr>
                <w:rFonts w:ascii="Arial" w:cs="Arial" w:eastAsia="Arial" w:hAnsi="Arial"/>
                <w:sz w:val="18"/>
                <w:szCs w:val="18"/>
                <w:color w:val="auto"/>
              </w:rPr>
              <w:t>Add: Net income attributable to non-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42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7"/>
                <w:szCs w:val="27"/>
                <w:color w:val="auto"/>
                <w:vertAlign w:val="superscript"/>
              </w:rPr>
              <w:t>(1)(2)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18,966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115,746</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45,955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130,160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10,316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21,413</w:t>
            </w:r>
          </w:p>
        </w:tc>
        <w:tc>
          <w:tcPr>
            <w:tcW w:w="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spacing w:after="0" w:line="192" w:lineRule="exact"/>
              <w:rPr>
                <w:sz w:val="20"/>
                <w:szCs w:val="20"/>
                <w:color w:val="auto"/>
              </w:rPr>
            </w:pPr>
            <w:r>
              <w:rPr>
                <w:rFonts w:ascii="Arial" w:cs="Arial" w:eastAsia="Arial" w:hAnsi="Arial"/>
                <w:sz w:val="18"/>
                <w:szCs w:val="18"/>
                <w:color w:val="auto"/>
                <w:w w:val="97"/>
              </w:rPr>
              <w:t>Acquisition and Refinitiv Transaction related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420" w:type="dxa"/>
            <w:vAlign w:val="bottom"/>
            <w:gridSpan w:val="2"/>
          </w:tcPr>
          <w:p>
            <w:pPr>
              <w:ind w:left="180"/>
              <w:spacing w:after="0" w:line="281" w:lineRule="exact"/>
              <w:rPr>
                <w:sz w:val="20"/>
                <w:szCs w:val="20"/>
                <w:color w:val="auto"/>
              </w:rPr>
            </w:pPr>
            <w:r>
              <w:rPr>
                <w:rFonts w:ascii="Arial" w:cs="Arial" w:eastAsia="Arial" w:hAnsi="Arial"/>
                <w:sz w:val="32"/>
                <w:szCs w:val="32"/>
                <w:color w:val="auto"/>
                <w:vertAlign w:val="subscript"/>
              </w:rPr>
              <w:t>D&amp;A</w:t>
            </w:r>
            <w:r>
              <w:rPr>
                <w:rFonts w:ascii="Arial" w:cs="Arial" w:eastAsia="Arial" w:hAnsi="Arial"/>
                <w:sz w:val="13"/>
                <w:szCs w:val="13"/>
                <w:color w:val="auto"/>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24,780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72,122</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Stock-based compensation expense associated</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Special Option Award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rPr>
                <w:sz w:val="20"/>
                <w:szCs w:val="20"/>
                <w:color w:val="auto"/>
              </w:rPr>
            </w:pPr>
            <w:r>
              <w:rPr>
                <w:rFonts w:ascii="Arial" w:cs="Arial" w:eastAsia="Arial" w:hAnsi="Arial"/>
                <w:sz w:val="18"/>
                <w:szCs w:val="18"/>
                <w:color w:val="auto"/>
                <w:w w:val="95"/>
              </w:rPr>
              <w:t>Unrealized foreign exchange (gains) / losses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(Gain) / loss from revaluation of foreign</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4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denominated cash</w:t>
            </w:r>
            <w:r>
              <w:rPr>
                <w:rFonts w:ascii="Arial" w:cs="Arial" w:eastAsia="Arial" w:hAnsi="Arial"/>
                <w:sz w:val="27"/>
                <w:szCs w:val="27"/>
                <w:color w:val="auto"/>
                <w:vertAlign w:val="superscript"/>
              </w:rPr>
              <w:t>(4)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Adjusted Net Income before income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231,584</w:t>
            </w:r>
          </w:p>
        </w:tc>
        <w:tc>
          <w:tcPr>
            <w:tcW w:w="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186,585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(22,105)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(61,138)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(15,155)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(49,258)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61,627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170,446</w:t>
            </w:r>
          </w:p>
        </w:tc>
        <w:tc>
          <w:tcPr>
            <w:tcW w:w="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42,252</w:t>
            </w:r>
          </w:p>
        </w:tc>
        <w:tc>
          <w:tcPr>
            <w:tcW w:w="24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137,327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3"/>
            <w:shd w:val="clear" w:color="auto" w:fill="CCEEFF"/>
          </w:tcPr>
          <w:p>
            <w:pPr>
              <w:ind w:left="280"/>
              <w:spacing w:after="0" w:line="237" w:lineRule="exact"/>
              <w:rPr>
                <w:sz w:val="20"/>
                <w:szCs w:val="20"/>
                <w:color w:val="auto"/>
              </w:rPr>
            </w:pPr>
            <w:r>
              <w:rPr>
                <w:rFonts w:ascii="Arial" w:cs="Arial" w:eastAsia="Arial" w:hAnsi="Arial"/>
                <w:sz w:val="18"/>
                <w:szCs w:val="18"/>
                <w:color w:val="auto"/>
                <w:w w:val="83"/>
              </w:rPr>
              <w:t>0.23</w:t>
            </w:r>
            <w:r>
              <w:rPr>
                <w:rFonts w:ascii="Arial" w:cs="Arial" w:eastAsia="Arial" w:hAnsi="Arial"/>
                <w:sz w:val="27"/>
                <w:szCs w:val="27"/>
                <w:color w:val="auto"/>
                <w:w w:val="83"/>
                <w:vertAlign w:val="superscript"/>
              </w:rPr>
              <w:t>(a)</w:t>
            </w:r>
            <w:r>
              <w:rPr>
                <w:rFonts w:ascii="Arial" w:cs="Arial" w:eastAsia="Arial" w:hAnsi="Arial"/>
                <w:sz w:val="18"/>
                <w:szCs w:val="18"/>
                <w:color w:val="auto"/>
                <w:w w:val="83"/>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2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7"/>
                <w:szCs w:val="27"/>
                <w:color w:val="auto"/>
                <w:vertAlign w:val="superscript"/>
              </w:rPr>
              <w:t>(1)(6)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27</w:t>
            </w:r>
            <w:r>
              <w:rPr>
                <w:rFonts w:ascii="Arial" w:cs="Arial" w:eastAsia="Arial" w:hAnsi="Arial"/>
                <w:sz w:val="27"/>
                <w:szCs w:val="27"/>
                <w:color w:val="auto"/>
                <w:vertAlign w:val="superscript"/>
              </w:rPr>
              <w:t>(b)</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tcBorders>
              <w:right w:val="single" w:sz="8" w:color="auto"/>
            </w:tcBorders>
            <w:gridSpan w:val="3"/>
            <w:shd w:val="clear" w:color="auto" w:fill="CCEEFF"/>
          </w:tcPr>
          <w:p>
            <w:pPr>
              <w:ind w:left="280"/>
              <w:spacing w:after="0" w:line="284" w:lineRule="exact"/>
              <w:rPr>
                <w:sz w:val="20"/>
                <w:szCs w:val="20"/>
                <w:color w:val="auto"/>
              </w:rPr>
            </w:pPr>
            <w:r>
              <w:rPr>
                <w:rFonts w:ascii="Arial" w:cs="Arial" w:eastAsia="Arial" w:hAnsi="Arial"/>
                <w:sz w:val="18"/>
                <w:szCs w:val="18"/>
                <w:color w:val="auto"/>
                <w:w w:val="91"/>
              </w:rPr>
              <w:t>0.51</w:t>
            </w:r>
            <w:r>
              <w:rPr>
                <w:rFonts w:ascii="Arial" w:cs="Arial" w:eastAsia="Arial" w:hAnsi="Arial"/>
                <w:sz w:val="27"/>
                <w:szCs w:val="27"/>
                <w:color w:val="auto"/>
                <w:w w:val="91"/>
                <w:vertAlign w:val="superscript"/>
              </w:rPr>
              <w:t>(b)</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19</w:t>
            </w:r>
            <w:r>
              <w:rPr>
                <w:rFonts w:ascii="Arial" w:cs="Arial" w:eastAsia="Arial" w:hAnsi="Arial"/>
                <w:sz w:val="27"/>
                <w:szCs w:val="27"/>
                <w:color w:val="auto"/>
                <w:vertAlign w:val="superscript"/>
              </w:rPr>
              <w:t>(a)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300"/>
              <w:spacing w:after="0" w:line="284" w:lineRule="exact"/>
              <w:rPr>
                <w:sz w:val="20"/>
                <w:szCs w:val="20"/>
                <w:color w:val="auto"/>
              </w:rPr>
            </w:pPr>
            <w:r>
              <w:rPr>
                <w:rFonts w:ascii="Arial" w:cs="Arial" w:eastAsia="Arial" w:hAnsi="Arial"/>
                <w:sz w:val="18"/>
                <w:szCs w:val="18"/>
                <w:color w:val="auto"/>
                <w:w w:val="77"/>
              </w:rPr>
              <w:t>0.</w:t>
            </w:r>
            <w:r>
              <w:rPr>
                <w:rFonts w:ascii="Arial" w:cs="Arial" w:eastAsia="Arial" w:hAnsi="Arial"/>
                <w:sz w:val="18"/>
                <w:szCs w:val="18"/>
                <w:u w:val="single" w:color="auto"/>
                <w:color w:val="auto"/>
                <w:w w:val="77"/>
              </w:rPr>
              <w:t>64</w:t>
            </w:r>
            <w:r>
              <w:rPr>
                <w:rFonts w:ascii="Arial" w:cs="Arial" w:eastAsia="Arial" w:hAnsi="Arial"/>
                <w:sz w:val="27"/>
                <w:szCs w:val="27"/>
                <w:color w:val="auto"/>
                <w:w w:val="77"/>
                <w:vertAlign w:val="superscript"/>
              </w:rPr>
              <w:t>(a)</w:t>
            </w:r>
          </w:p>
        </w:tc>
        <w:tc>
          <w:tcPr>
            <w:tcW w:w="0" w:type="dxa"/>
            <w:vAlign w:val="bottom"/>
          </w:tcPr>
          <w:p>
            <w:pPr>
              <w:spacing w:after="0"/>
              <w:rPr>
                <w:sz w:val="1"/>
                <w:szCs w:val="1"/>
                <w:color w:val="auto"/>
              </w:rPr>
            </w:pPr>
          </w:p>
        </w:tc>
      </w:tr>
      <w:tr>
        <w:trPr>
          <w:trHeight w:val="116"/>
        </w:trPr>
        <w:tc>
          <w:tcPr>
            <w:tcW w:w="1960" w:type="dxa"/>
            <w:vAlign w:val="bottom"/>
            <w:tcBorders>
              <w:top w:val="single" w:sz="8" w:color="CCEEFF"/>
              <w:bottom w:val="single" w:sz="8" w:color="auto"/>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-3703955</wp:posOffset>
            </wp:positionV>
            <wp:extent cx="207518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75180" cy="308610"/>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-479425</wp:posOffset>
            </wp:positionV>
            <wp:extent cx="1363345" cy="3689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3345" cy="36893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-2494915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-2494915</wp:posOffset>
            </wp:positionV>
            <wp:extent cx="257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-2494915</wp:posOffset>
            </wp:positionV>
            <wp:extent cx="2914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-2494915</wp:posOffset>
            </wp:positionV>
            <wp:extent cx="3018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-3832860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-3832860</wp:posOffset>
            </wp:positionV>
            <wp:extent cx="1543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-3832860</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1" w:lineRule="exact"/>
        <w:rPr>
          <w:sz w:val="20"/>
          <w:szCs w:val="20"/>
          <w:color w:val="auto"/>
        </w:rPr>
      </w:pPr>
    </w:p>
    <w:p>
      <w:pPr>
        <w:ind w:left="780" w:right="959" w:hanging="352"/>
        <w:spacing w:after="0" w:line="34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 result of the Reorganization Transactions and the IPO completed in April 2019, certain earnings information is being presented separately for Tradeweb Markets LLC and Tradeweb Markets Inc.</w:t>
      </w:r>
    </w:p>
    <w:p>
      <w:pPr>
        <w:spacing w:after="0" w:line="2" w:lineRule="exact"/>
        <w:rPr>
          <w:rFonts w:ascii="Arial" w:cs="Arial" w:eastAsia="Arial" w:hAnsi="Arial"/>
          <w:sz w:val="16"/>
          <w:szCs w:val="16"/>
          <w:color w:val="auto"/>
        </w:rPr>
      </w:pPr>
    </w:p>
    <w:p>
      <w:pPr>
        <w:ind w:left="1140" w:hanging="351"/>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rFonts w:ascii="Arial" w:cs="Arial" w:eastAsia="Arial" w:hAnsi="Arial"/>
          <w:sz w:val="18"/>
          <w:szCs w:val="18"/>
          <w:color w:val="auto"/>
        </w:rPr>
      </w:pPr>
    </w:p>
    <w:p>
      <w:pPr>
        <w:ind w:left="1140" w:hanging="351"/>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17" w:lineRule="exact"/>
        <w:rPr>
          <w:sz w:val="20"/>
          <w:szCs w:val="20"/>
          <w:color w:val="auto"/>
        </w:rPr>
      </w:pPr>
    </w:p>
    <w:p>
      <w:pPr>
        <w:ind w:left="780" w:right="859"/>
        <w:spacing w:after="0" w:line="257" w:lineRule="auto"/>
        <w:rPr>
          <w:sz w:val="20"/>
          <w:szCs w:val="20"/>
          <w:color w:val="auto"/>
        </w:rPr>
      </w:pPr>
      <w:r>
        <w:rPr>
          <w:rFonts w:ascii="Arial" w:cs="Arial" w:eastAsia="Arial" w:hAnsi="Arial"/>
          <w:sz w:val="18"/>
          <w:szCs w:val="18"/>
          <w:color w:val="auto"/>
        </w:rPr>
        <w:t>See “Basis of Presentation,” “Note 16 — Earnings Per Share” to the unaudited consolidated financial statements of Tradeweb Markets Inc. included in our Quarterly Report on Form 10-Q for the quarterly period ended June 30, 2019 and “Note 18 — Net Income Per Share” to the audited consolidated financial statements of Tradeweb Markets LLC included in our Current Report on Form 8-K dated June 18, 2019.</w:t>
      </w:r>
    </w:p>
    <w:p>
      <w:pPr>
        <w:spacing w:after="0" w:line="53" w:lineRule="exact"/>
        <w:rPr>
          <w:sz w:val="20"/>
          <w:szCs w:val="20"/>
          <w:color w:val="auto"/>
        </w:rPr>
      </w:pPr>
    </w:p>
    <w:p>
      <w:pPr>
        <w:ind w:left="780" w:right="739" w:hanging="352"/>
        <w:spacing w:after="0" w:line="26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59" w:lineRule="exact"/>
        <w:rPr>
          <w:rFonts w:ascii="Arial" w:cs="Arial" w:eastAsia="Arial" w:hAnsi="Arial"/>
          <w:sz w:val="18"/>
          <w:szCs w:val="18"/>
          <w:color w:val="auto"/>
        </w:rPr>
      </w:pPr>
    </w:p>
    <w:p>
      <w:pPr>
        <w:ind w:left="780" w:right="819" w:hanging="352"/>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3" w:name="page14"/>
    <w:bookmarkEnd w:id="13"/>
    <w:p>
      <w:pPr>
        <w:ind w:left="780" w:right="1259" w:hanging="352"/>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75" w:lineRule="exact"/>
        <w:rPr>
          <w:rFonts w:ascii="Arial" w:cs="Arial" w:eastAsia="Arial" w:hAnsi="Arial"/>
          <w:sz w:val="18"/>
          <w:szCs w:val="18"/>
          <w:color w:val="auto"/>
        </w:rPr>
      </w:pPr>
    </w:p>
    <w:p>
      <w:pPr>
        <w:ind w:left="780" w:right="919" w:hanging="352"/>
        <w:spacing w:after="0" w:line="31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38" w:lineRule="exact"/>
        <w:rPr>
          <w:rFonts w:ascii="Arial" w:cs="Arial" w:eastAsia="Arial" w:hAnsi="Arial"/>
          <w:sz w:val="16"/>
          <w:szCs w:val="16"/>
          <w:color w:val="auto"/>
        </w:rPr>
      </w:pPr>
    </w:p>
    <w:p>
      <w:pPr>
        <w:ind w:left="780" w:right="779" w:hanging="352"/>
        <w:spacing w:after="0" w:line="286"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calculation of Adjusted Diluted EPS for all periods presented:</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Pre-IPO Period</w:t>
            </w:r>
          </w:p>
        </w:tc>
        <w:tc>
          <w:tcPr>
            <w:tcW w:w="40" w:type="dxa"/>
            <w:vAlign w:val="bottom"/>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Post-IPO Period</w:t>
            </w:r>
          </w:p>
        </w:tc>
        <w:tc>
          <w:tcPr>
            <w:tcW w:w="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Diluted Weighted</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21"/>
                <w:szCs w:val="21"/>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Average Shares Outstanding to</w:t>
            </w:r>
          </w:p>
        </w:tc>
        <w:tc>
          <w:tcPr>
            <w:tcW w:w="100" w:type="dxa"/>
            <w:vAlign w:val="bottom"/>
          </w:tcPr>
          <w:p>
            <w:pPr>
              <w:spacing w:after="0"/>
              <w:rPr>
                <w:sz w:val="14"/>
                <w:szCs w:val="14"/>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w w:val="97"/>
              </w:rPr>
              <w:t>Adjusted Diluted Weighted Average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Shares Outstanding</w:t>
            </w:r>
          </w:p>
        </w:tc>
        <w:tc>
          <w:tcPr>
            <w:tcW w:w="100" w:type="dxa"/>
            <w:vAlign w:val="bottom"/>
          </w:tcPr>
          <w:p>
            <w:pPr>
              <w:spacing w:after="0"/>
              <w:rPr>
                <w:sz w:val="16"/>
                <w:szCs w:val="16"/>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4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7"/>
              </w:rPr>
              <w:t>Diluted weighted average TWM</w:t>
            </w: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223,320,457</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219,165,997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215,365,920</w:t>
            </w:r>
          </w:p>
        </w:tc>
        <w:tc>
          <w:tcPr>
            <w:tcW w:w="0" w:type="dxa"/>
            <w:vAlign w:val="bottom"/>
          </w:tcPr>
          <w:p>
            <w:pPr>
              <w:spacing w:after="0"/>
              <w:rPr>
                <w:sz w:val="1"/>
                <w:szCs w:val="1"/>
                <w:color w:val="auto"/>
              </w:rPr>
            </w:pPr>
          </w:p>
        </w:tc>
      </w:tr>
      <w:tr>
        <w:trPr>
          <w:trHeight w:val="189"/>
        </w:trPr>
        <w:tc>
          <w:tcPr>
            <w:tcW w:w="2340" w:type="dxa"/>
            <w:vAlign w:val="bottom"/>
            <w:gridSpan w:val="4"/>
            <w:shd w:val="clear" w:color="auto" w:fill="CCEEFF"/>
          </w:tcPr>
          <w:p>
            <w:pPr>
              <w:ind w:left="180"/>
              <w:spacing w:after="0" w:line="189" w:lineRule="exact"/>
              <w:rPr>
                <w:sz w:val="20"/>
                <w:szCs w:val="20"/>
                <w:color w:val="auto"/>
              </w:rPr>
            </w:pPr>
            <w:r>
              <w:rPr>
                <w:rFonts w:ascii="Arial" w:cs="Arial" w:eastAsia="Arial" w:hAnsi="Arial"/>
                <w:sz w:val="17"/>
                <w:szCs w:val="17"/>
                <w:color w:val="auto"/>
              </w:rPr>
              <w:t>LLC shares outstanding</w:t>
            </w: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340" w:type="dxa"/>
            <w:vAlign w:val="bottom"/>
            <w:gridSpan w:val="4"/>
          </w:tcPr>
          <w:p>
            <w:pPr>
              <w:spacing w:after="0"/>
              <w:rPr>
                <w:sz w:val="20"/>
                <w:szCs w:val="20"/>
                <w:color w:val="auto"/>
              </w:rPr>
            </w:pPr>
            <w:r>
              <w:rPr>
                <w:rFonts w:ascii="Arial" w:cs="Arial" w:eastAsia="Arial" w:hAnsi="Arial"/>
                <w:sz w:val="17"/>
                <w:szCs w:val="17"/>
                <w:color w:val="auto"/>
                <w:w w:val="93"/>
              </w:rPr>
              <w:t>Diluted weighted average shares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ind w:left="180"/>
              <w:spacing w:after="0" w:line="162" w:lineRule="exact"/>
              <w:rPr>
                <w:sz w:val="20"/>
                <w:szCs w:val="20"/>
                <w:color w:val="auto"/>
              </w:rPr>
            </w:pPr>
            <w:r>
              <w:rPr>
                <w:rFonts w:ascii="Arial" w:cs="Arial" w:eastAsia="Arial" w:hAnsi="Arial"/>
                <w:sz w:val="17"/>
                <w:szCs w:val="17"/>
                <w:color w:val="auto"/>
              </w:rPr>
              <w:t>of Class A and Class B</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w w:val="88"/>
              </w:rPr>
              <w:t>151,362,643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w w:val="88"/>
              </w:rPr>
              <w:t>151,158,760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340" w:type="dxa"/>
            <w:vAlign w:val="bottom"/>
            <w:gridSpan w:val="4"/>
          </w:tcPr>
          <w:p>
            <w:pPr>
              <w:ind w:left="180"/>
              <w:spacing w:after="0" w:line="189" w:lineRule="exact"/>
              <w:rPr>
                <w:sz w:val="20"/>
                <w:szCs w:val="20"/>
                <w:color w:val="auto"/>
              </w:rPr>
            </w:pPr>
            <w:r>
              <w:rPr>
                <w:rFonts w:ascii="Arial" w:cs="Arial" w:eastAsia="Arial" w:hAnsi="Arial"/>
                <w:sz w:val="17"/>
                <w:szCs w:val="17"/>
                <w:color w:val="auto"/>
              </w:rPr>
              <w:t>common stock outstanding</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exchange of LLC</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7"/>
                <w:szCs w:val="17"/>
                <w:color w:val="auto"/>
                <w:w w:val="90"/>
              </w:rPr>
              <w:t>Interests for shares of Class A</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180"/>
              <w:spacing w:after="0" w:line="229" w:lineRule="exact"/>
              <w:rPr>
                <w:sz w:val="20"/>
                <w:szCs w:val="20"/>
                <w:color w:val="auto"/>
              </w:rPr>
            </w:pPr>
            <w:r>
              <w:rPr>
                <w:rFonts w:ascii="Arial" w:cs="Arial" w:eastAsia="Arial" w:hAnsi="Arial"/>
                <w:sz w:val="17"/>
                <w:szCs w:val="17"/>
                <w:color w:val="auto"/>
                <w:w w:val="96"/>
              </w:rPr>
              <w:t>or Class B common stock</w:t>
            </w:r>
            <w:r>
              <w:rPr>
                <w:rFonts w:ascii="Arial" w:cs="Arial" w:eastAsia="Arial" w:hAnsi="Arial"/>
                <w:sz w:val="25"/>
                <w:szCs w:val="25"/>
                <w:color w:val="auto"/>
                <w:w w:val="96"/>
                <w:vertAlign w:val="superscript"/>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4"/>
        </w:trPr>
        <w:tc>
          <w:tcPr>
            <w:tcW w:w="234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Adjusted diluted weighted</w:t>
            </w: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230,651,648</w:t>
            </w: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223,320,457</w:t>
            </w: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230,447,765</w:t>
            </w: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219,165,997</w:t>
            </w: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215,365,920</w:t>
            </w: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4"/>
          </w:tcPr>
          <w:p>
            <w:pPr>
              <w:ind w:left="180"/>
              <w:spacing w:after="0"/>
              <w:rPr>
                <w:sz w:val="20"/>
                <w:szCs w:val="20"/>
                <w:color w:val="auto"/>
              </w:rPr>
            </w:pPr>
            <w:r>
              <w:rPr>
                <w:rFonts w:ascii="Arial" w:cs="Arial" w:eastAsia="Arial" w:hAnsi="Arial"/>
                <w:sz w:val="17"/>
                <w:szCs w:val="17"/>
                <w:color w:val="auto"/>
              </w:rPr>
              <w:t>average shares outstanding</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Adjusted Net Income (in</w:t>
            </w:r>
          </w:p>
        </w:tc>
        <w:tc>
          <w:tcPr>
            <w:tcW w:w="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61,627</w:t>
            </w:r>
          </w:p>
        </w:tc>
        <w:tc>
          <w:tcPr>
            <w:tcW w:w="60" w:type="dxa"/>
            <w:vAlign w:val="bottom"/>
            <w:gridSpan w:val="2"/>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52,190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42,252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137,327</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thousands)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340" w:type="dxa"/>
            <w:vAlign w:val="bottom"/>
            <w:gridSpan w:val="4"/>
          </w:tcPr>
          <w:p>
            <w:pPr>
              <w:spacing w:after="0"/>
              <w:rPr>
                <w:sz w:val="20"/>
                <w:szCs w:val="20"/>
                <w:color w:val="auto"/>
              </w:rPr>
            </w:pPr>
            <w:r>
              <w:rPr>
                <w:rFonts w:ascii="Arial" w:cs="Arial" w:eastAsia="Arial" w:hAnsi="Arial"/>
                <w:sz w:val="17"/>
                <w:szCs w:val="17"/>
                <w:color w:val="auto"/>
              </w:rPr>
              <w:t>Adjusted Diluted EPS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0.27</w:t>
            </w: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-2117725</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-2117725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-2117725</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-2117725</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-2117725</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4" w:lineRule="exact"/>
        <w:rPr>
          <w:sz w:val="20"/>
          <w:szCs w:val="20"/>
          <w:color w:val="auto"/>
        </w:rPr>
      </w:pPr>
    </w:p>
    <w:p>
      <w:pPr>
        <w:ind w:left="780" w:right="819" w:hanging="352"/>
        <w:spacing w:after="0" w:line="26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left="60" w:right="899" w:firstLine="360"/>
        <w:spacing w:after="0" w:line="259" w:lineRule="auto"/>
        <w:rPr>
          <w:sz w:val="20"/>
          <w:szCs w:val="20"/>
          <w:color w:val="auto"/>
        </w:rPr>
      </w:pPr>
      <w:r>
        <w:rPr>
          <w:rFonts w:ascii="Arial" w:cs="Arial" w:eastAsia="Arial" w:hAnsi="Arial"/>
          <w:sz w:val="18"/>
          <w:szCs w:val="18"/>
          <w:color w:val="auto"/>
        </w:rPr>
        <w:t>Certain statements contained herein are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w:t>
      </w:r>
    </w:p>
    <w:p>
      <w:pPr>
        <w:spacing w:after="0" w:line="79" w:lineRule="exact"/>
        <w:rPr>
          <w:sz w:val="20"/>
          <w:szCs w:val="20"/>
          <w:color w:val="auto"/>
        </w:rPr>
      </w:pPr>
    </w:p>
    <w:p>
      <w:pPr>
        <w:ind w:left="60" w:right="739" w:firstLine="360"/>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In particular, the preliminary financial results for the third quarter of 2019 are subject to the completion of management’s final review and our other financial closing procedures and therefore are subject to change. Given these risks and uncertainties, you are cautioned not to place undue reliance on such forward-looking statements. The forward-looking statements contained herein are not guarantees of future performance and our actual results of operations,</w:t>
      </w:r>
    </w:p>
    <w:p>
      <w:pPr>
        <w:spacing w:after="0" w:line="25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233680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4" w:name="page15"/>
    <w:bookmarkEnd w:id="14"/>
    <w:p>
      <w:pPr>
        <w:ind w:left="60" w:right="779"/>
        <w:spacing w:after="0" w:line="271" w:lineRule="auto"/>
        <w:rPr>
          <w:sz w:val="20"/>
          <w:szCs w:val="20"/>
          <w:color w:val="auto"/>
        </w:rPr>
      </w:pPr>
      <w:r>
        <w:rPr>
          <w:rFonts w:ascii="Arial" w:cs="Arial" w:eastAsia="Arial" w:hAnsi="Arial"/>
          <w:sz w:val="17"/>
          <w:szCs w:val="17"/>
          <w:color w:val="auto"/>
        </w:rPr>
        <w:t>financial condition or liquidity, and the development of the industry and markets in which we operate, may differ materially from the forward-looking statements contained herein. In addition, even if our results of operations, financial condition, or liquidity, and events in the industry and markets in which we operate, are consistent with the forward-looking statements contained herein, they may not be predictive of results or developments in future periods. Any forward-looking statement that we make herein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2019-12-28T05:39:57Z</dcterms:created>
  <dcterms:modified xsi:type="dcterms:W3CDTF">2019-12-28T05:39:57Z</dcterms:modified>
</cp:coreProperties>
</file>