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778294.xml.htm"/>
      <w:bookmarkStart w:id="1" w:name="kswkform4_17737782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Furber Sara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0"/>
        <w:gridCol w:w="902"/>
        <w:gridCol w:w="772"/>
        <w:gridCol w:w="599"/>
        <w:gridCol w:w="347"/>
        <w:gridCol w:w="927"/>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11,975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35,495</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124.42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30,418</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30,462</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3,716 unvested RSUs in respect of Class A Common Stock that are scheduled on March 15, 2027, (ii) 9,860 unvested RSUs in respect of Class A Common Stock that are scheduled to vest in equal installments on March 17, 2026, March 17, 2027 and March 17, 2028 and (iii) 11,975 unvested RSUs in respect of Class A Common Stock that are scheduled to vest in equal installments on March 15, 2027, March 15, 2028 and March 15, 2029,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by the issuer to satisfy the tax withholding obligation associated with the settlement of RSUs in respect of the Class A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Sara Furber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3180"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4390</Characters>
  <CharactersWithSpaces>5148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