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[FRIED, FRANK, HARRIS, SHRIVER &amp; JACOBSON LLP LETTERHEAD]</w:t>
      </w:r>
    </w:p>
    <w:p>
      <w:pPr>
        <w:spacing w:after="0" w:line="213" w:lineRule="exact"/>
        <w:rPr>
          <w:sz w:val="24"/>
          <w:szCs w:val="24"/>
          <w:color w:val="auto"/>
        </w:rPr>
      </w:pPr>
    </w:p>
    <w:p>
      <w:pPr>
        <w:ind w:left="8940"/>
        <w:spacing w:after="0"/>
        <w:rPr>
          <w:sz w:val="20"/>
          <w:szCs w:val="20"/>
          <w:color w:val="auto"/>
        </w:rPr>
      </w:pPr>
      <w:r>
        <w:rPr>
          <w:rFonts w:ascii="Arial" w:cs="Arial" w:eastAsia="Arial" w:hAnsi="Arial"/>
          <w:sz w:val="18"/>
          <w:szCs w:val="18"/>
          <w:color w:val="auto"/>
        </w:rPr>
        <w:t>Direct Line: (212) 859-8468</w:t>
      </w:r>
    </w:p>
    <w:p>
      <w:pPr>
        <w:spacing w:after="0" w:line="23" w:lineRule="exact"/>
        <w:rPr>
          <w:sz w:val="24"/>
          <w:szCs w:val="24"/>
          <w:color w:val="auto"/>
        </w:rPr>
      </w:pPr>
    </w:p>
    <w:p>
      <w:pPr>
        <w:ind w:left="8940"/>
        <w:spacing w:after="0"/>
        <w:rPr>
          <w:sz w:val="20"/>
          <w:szCs w:val="20"/>
          <w:color w:val="auto"/>
        </w:rPr>
      </w:pPr>
      <w:r>
        <w:rPr>
          <w:rFonts w:ascii="Arial" w:cs="Arial" w:eastAsia="Arial" w:hAnsi="Arial"/>
          <w:sz w:val="18"/>
          <w:szCs w:val="18"/>
          <w:color w:val="auto"/>
        </w:rPr>
        <w:t>Fax: (212) 859-4000</w:t>
      </w:r>
    </w:p>
    <w:p>
      <w:pPr>
        <w:spacing w:after="0" w:line="9" w:lineRule="exact"/>
        <w:rPr>
          <w:sz w:val="24"/>
          <w:szCs w:val="24"/>
          <w:color w:val="auto"/>
        </w:rPr>
      </w:pPr>
    </w:p>
    <w:p>
      <w:pPr>
        <w:ind w:left="8940"/>
        <w:spacing w:after="0"/>
        <w:rPr>
          <w:sz w:val="20"/>
          <w:szCs w:val="20"/>
          <w:color w:val="auto"/>
        </w:rPr>
      </w:pPr>
      <w:r>
        <w:rPr>
          <w:rFonts w:ascii="Arial" w:cs="Arial" w:eastAsia="Arial" w:hAnsi="Arial"/>
          <w:sz w:val="16"/>
          <w:szCs w:val="16"/>
          <w:color w:val="auto"/>
        </w:rPr>
        <w:t>andrew.barkan@friedfrank.com</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March 20, 2019</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COURIER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226"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333-230115</w:t>
      </w:r>
    </w:p>
    <w:p>
      <w:pPr>
        <w:spacing w:after="0" w:line="200" w:lineRule="exact"/>
        <w:rPr>
          <w:sz w:val="24"/>
          <w:szCs w:val="24"/>
          <w:color w:val="auto"/>
        </w:rPr>
      </w:pPr>
    </w:p>
    <w:p>
      <w:pPr>
        <w:sectPr>
          <w:pgSz w:w="11900" w:h="16838" w:orient="portrait"/>
          <w:cols w:equalWidth="0" w:num="2">
            <w:col w:w="920" w:space="380"/>
            <w:col w:w="9940"/>
          </w:cols>
          <w:pgMar w:left="320" w:top="226"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648"/>
        <w:spacing w:after="0" w:line="296" w:lineRule="auto"/>
        <w:rPr>
          <w:sz w:val="20"/>
          <w:szCs w:val="20"/>
          <w:color w:val="auto"/>
        </w:rPr>
      </w:pPr>
      <w:r>
        <w:rPr>
          <w:rFonts w:ascii="Arial" w:cs="Arial" w:eastAsia="Arial" w:hAnsi="Arial"/>
          <w:sz w:val="16"/>
          <w:szCs w:val="16"/>
          <w:color w:val="auto"/>
        </w:rPr>
        <w:t>This letter sets forth the supplemental response of Tradeweb Markets Inc. (the “</w:t>
      </w:r>
      <w:r>
        <w:rPr>
          <w:rFonts w:ascii="Arial" w:cs="Arial" w:eastAsia="Arial" w:hAnsi="Arial"/>
          <w:sz w:val="16"/>
          <w:szCs w:val="16"/>
          <w:u w:val="single" w:color="auto"/>
          <w:color w:val="auto"/>
        </w:rPr>
        <w:t>Company</w:t>
      </w:r>
      <w:r>
        <w:rPr>
          <w:rFonts w:ascii="Arial" w:cs="Arial" w:eastAsia="Arial" w:hAnsi="Arial"/>
          <w:sz w:val="16"/>
          <w:szCs w:val="16"/>
          <w:color w:val="auto"/>
        </w:rPr>
        <w:t>”) to Comment No. 8 as set forth in the comment letter, dated December 11, 2018 of the staff of the Division of Corporation Finance (the “</w:t>
      </w:r>
      <w:r>
        <w:rPr>
          <w:rFonts w:ascii="Arial" w:cs="Arial" w:eastAsia="Arial" w:hAnsi="Arial"/>
          <w:sz w:val="16"/>
          <w:szCs w:val="16"/>
          <w:u w:val="single" w:color="auto"/>
          <w:color w:val="auto"/>
        </w:rPr>
        <w:t>Staff</w:t>
      </w:r>
      <w:r>
        <w:rPr>
          <w:rFonts w:ascii="Arial" w:cs="Arial" w:eastAsia="Arial" w:hAnsi="Arial"/>
          <w:sz w:val="16"/>
          <w:szCs w:val="16"/>
          <w:color w:val="auto"/>
        </w:rPr>
        <w:t>”) with respect to the Company’s Draft Registration Statement on Form S-1, confidentially submitted on November 13, 2018, and subsequently amended on December 20, 2018 and February 12, 2019, and publicly filed on March 7, 2019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 This letter is being submitted with Amendment No. 1 to the Registration Statement (“</w:t>
      </w:r>
      <w:r>
        <w:rPr>
          <w:rFonts w:ascii="Arial" w:cs="Arial" w:eastAsia="Arial" w:hAnsi="Arial"/>
          <w:sz w:val="16"/>
          <w:szCs w:val="16"/>
          <w:u w:val="single" w:color="auto"/>
          <w:color w:val="auto"/>
        </w:rPr>
        <w:t>Amendment No. 1</w:t>
      </w:r>
      <w:r>
        <w:rPr>
          <w:rFonts w:ascii="Arial" w:cs="Arial" w:eastAsia="Arial" w:hAnsi="Arial"/>
          <w:sz w:val="16"/>
          <w:szCs w:val="16"/>
          <w:color w:val="auto"/>
        </w:rPr>
        <w:t>”). In order to facilitate your review, we have reproduced Comment No. 8 in its entirety, with the supplemental response set out below the comment.</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Certain Relationships and Related Party Transactions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Transactions with Refinitiv/Thomson Reuters, page 140</w:t>
      </w:r>
    </w:p>
    <w:p>
      <w:pPr>
        <w:spacing w:after="0" w:line="207" w:lineRule="exact"/>
        <w:rPr>
          <w:sz w:val="24"/>
          <w:szCs w:val="24"/>
          <w:color w:val="auto"/>
        </w:rPr>
      </w:pPr>
    </w:p>
    <w:p>
      <w:pPr>
        <w:ind w:left="660" w:right="12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the referenced agreements with Refinitiv and affiliates of Thomson Reuters as exhibits to your registration statement or tell us why you believe they are not required. Refer to Item 601(b)(10)(ii) for guidance.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Supplemental Response:</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Master Agreement</w:t>
      </w:r>
    </w:p>
    <w:p>
      <w:pPr>
        <w:spacing w:after="0" w:line="225" w:lineRule="exact"/>
        <w:rPr>
          <w:sz w:val="24"/>
          <w:szCs w:val="24"/>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Company’s response letter, dated December 20, 2018, provided that, with respect to the master agreement, one of the referenced agreements with Refinitiv and affiliates of Thomson Reuters, the Company intended to amend such agreement, and that once such agreement had been amended, the Company would evaluate whether the amended master agreement would be required to be filed as an exhibit to the registration statement in accordance with Item 601(b)(10) of Regulation S-K.</w:t>
      </w:r>
    </w:p>
    <w:p>
      <w:pPr>
        <w:spacing w:after="0" w:line="187" w:lineRule="exact"/>
        <w:rPr>
          <w:sz w:val="24"/>
          <w:szCs w:val="24"/>
          <w:color w:val="auto"/>
        </w:rPr>
      </w:pPr>
    </w:p>
    <w:p>
      <w:pPr>
        <w:ind w:right="240" w:firstLine="648"/>
        <w:spacing w:after="0" w:line="279" w:lineRule="auto"/>
        <w:rPr>
          <w:sz w:val="20"/>
          <w:szCs w:val="20"/>
          <w:color w:val="auto"/>
        </w:rPr>
      </w:pPr>
      <w:r>
        <w:rPr>
          <w:rFonts w:ascii="Arial" w:cs="Arial" w:eastAsia="Arial" w:hAnsi="Arial"/>
          <w:sz w:val="17"/>
          <w:szCs w:val="17"/>
          <w:color w:val="auto"/>
        </w:rPr>
        <w:t>The Company respectfully advises the Staff that the master agreement will be terminated in connection with the initial public offering and the Company will enter into a restrictive covenant agreement with affiliates of Refinitiv. The Company intends to update its disclosure under “Certain Relationships and Related Party Transactions—Transactions with Refinitiv/Thomson Reuters” to reflect the foregoing in a subsequent amendment to the registration statement and will file a form of the restrictive covenant agreement as an exhibit thereto.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ind w:left="652"/>
        <w:spacing w:after="0"/>
        <w:rPr>
          <w:sz w:val="20"/>
          <w:szCs w:val="20"/>
          <w:color w:val="auto"/>
        </w:rPr>
      </w:pPr>
      <w:r>
        <w:rPr>
          <w:rFonts w:ascii="Arial" w:cs="Arial" w:eastAsia="Arial" w:hAnsi="Arial"/>
          <w:sz w:val="16"/>
          <w:szCs w:val="16"/>
          <w:color w:val="auto"/>
        </w:rPr>
        <w:t>Should you have any questions or comments, please feel free to call me at (212) 859-8468.</w:t>
      </w:r>
    </w:p>
    <w:p>
      <w:pPr>
        <w:spacing w:after="0" w:line="200" w:lineRule="exact"/>
        <w:rPr>
          <w:sz w:val="20"/>
          <w:szCs w:val="20"/>
          <w:color w:val="auto"/>
        </w:rPr>
      </w:pPr>
    </w:p>
    <w:p>
      <w:pPr>
        <w:spacing w:after="0" w:line="264"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/s/ Andrew B. Barkan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-10160</wp:posOffset>
            </wp:positionV>
            <wp:extent cx="1995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5805" cy="8890"/>
                    </a:xfrm>
                    <a:prstGeom prst="rect">
                      <a:avLst/>
                    </a:prstGeom>
                    <a:noFill/>
                  </pic:spPr>
                </pic:pic>
              </a:graphicData>
            </a:graphic>
          </wp:anchor>
        </w:drawing>
      </w:r>
    </w:p>
    <w:p>
      <w:pPr>
        <w:spacing w:after="0" w:line="205"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Andrew B. Barkan</w:t>
      </w:r>
    </w:p>
    <w:p>
      <w:pPr>
        <w:spacing w:after="0" w:line="200" w:lineRule="exact"/>
        <w:rPr>
          <w:sz w:val="20"/>
          <w:szCs w:val="20"/>
          <w:color w:val="auto"/>
        </w:rPr>
      </w:pPr>
    </w:p>
    <w:p>
      <w:pPr>
        <w:spacing w:after="0" w:line="241" w:lineRule="exact"/>
        <w:rPr>
          <w:sz w:val="20"/>
          <w:szCs w:val="20"/>
          <w:color w:val="auto"/>
        </w:rPr>
      </w:pPr>
    </w:p>
    <w:p>
      <w:pPr>
        <w:ind w:left="652" w:right="6199" w:hanging="652"/>
        <w:spacing w:after="0" w:line="311" w:lineRule="auto"/>
        <w:tabs>
          <w:tab w:leader="none" w:pos="652" w:val="left"/>
        </w:tabs>
        <w:numPr>
          <w:ilvl w:val="0"/>
          <w:numId w:val="2"/>
        </w:numPr>
        <w:rPr>
          <w:rFonts w:ascii="Arial" w:cs="Arial" w:eastAsia="Arial" w:hAnsi="Arial"/>
          <w:sz w:val="16"/>
          <w:szCs w:val="16"/>
          <w:color w:val="auto"/>
        </w:rPr>
      </w:pPr>
      <w:r>
        <w:rPr>
          <w:rFonts w:ascii="Arial" w:cs="Arial" w:eastAsia="Arial" w:hAnsi="Arial"/>
          <w:sz w:val="16"/>
          <w:szCs w:val="16"/>
          <w:color w:val="auto"/>
        </w:rPr>
        <w:t>Lee Olesky (Tradeweb Markets Inc.) Douglas Friedman (Tradeweb Markets Inc.) Michael Kaplan (Davis Polk &amp; Wardwell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1"/>
      </w:cols>
      <w:pgMar w:left="328"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2020-10-07T23:39:02Z</dcterms:created>
  <dcterms:modified xsi:type="dcterms:W3CDTF">2020-10-07T23:39:02Z</dcterms:modified>
</cp:coreProperties>
</file>