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MD, Co-Head of Global Markets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71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03/19/2025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89"/>
              <w:spacing w:after="0"/>
              <w:rPr>
                <w:sz w:val="20"/>
                <w:szCs w:val="20"/>
                <w:color w:val="auto"/>
              </w:rPr>
            </w:pPr>
            <w:r>
              <w:rPr>
                <w:rFonts w:ascii="Times New Roman" w:cs="Times New Roman" w:eastAsia="Times New Roman" w:hAnsi="Times New Roman"/>
                <w:sz w:val="17"/>
                <w:szCs w:val="17"/>
                <w:color w:val="0000FF"/>
              </w:rPr>
              <w:t>1,797</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141.4762</w:t>
            </w:r>
            <w:r>
              <w:rPr>
                <w:rFonts w:ascii="Times New Roman" w:cs="Times New Roman" w:eastAsia="Times New Roman" w:hAnsi="Times New Roman"/>
                <w:sz w:val="22"/>
                <w:szCs w:val="22"/>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90,425</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03/19/2025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89"/>
              <w:spacing w:after="0"/>
              <w:rPr>
                <w:sz w:val="20"/>
                <w:szCs w:val="20"/>
                <w:color w:val="auto"/>
              </w:rPr>
            </w:pPr>
            <w:r>
              <w:rPr>
                <w:rFonts w:ascii="Times New Roman" w:cs="Times New Roman" w:eastAsia="Times New Roman" w:hAnsi="Times New Roman"/>
                <w:sz w:val="17"/>
                <w:szCs w:val="17"/>
                <w:color w:val="0000FF"/>
              </w:rPr>
              <w:t>2,872</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141.5377</w:t>
            </w:r>
            <w:r>
              <w:rPr>
                <w:rFonts w:ascii="Times New Roman" w:cs="Times New Roman" w:eastAsia="Times New Roman" w:hAnsi="Times New Roman"/>
                <w:sz w:val="22"/>
                <w:szCs w:val="22"/>
                <w:color w:val="008000"/>
                <w:vertAlign w:val="superscript"/>
              </w:rPr>
              <w:t>(4)</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87,553</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03/20/2025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89"/>
              <w:spacing w:after="0"/>
              <w:rPr>
                <w:sz w:val="20"/>
                <w:szCs w:val="20"/>
                <w:color w:val="auto"/>
              </w:rPr>
            </w:pPr>
            <w:r>
              <w:rPr>
                <w:rFonts w:ascii="Times New Roman" w:cs="Times New Roman" w:eastAsia="Times New Roman" w:hAnsi="Times New Roman"/>
                <w:sz w:val="17"/>
                <w:szCs w:val="17"/>
                <w:color w:val="0000FF"/>
              </w:rPr>
              <w:t>1,624</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142.7353</w:t>
            </w:r>
            <w:r>
              <w:rPr>
                <w:rFonts w:ascii="Times New Roman" w:cs="Times New Roman" w:eastAsia="Times New Roman" w:hAnsi="Times New Roman"/>
                <w:sz w:val="22"/>
                <w:szCs w:val="22"/>
                <w:color w:val="008000"/>
                <w:vertAlign w:val="superscript"/>
              </w:rPr>
              <w:t>(5)</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85,929</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$139.77 to $142.23,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4 and 5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5,940 unvested restricted stock units ("RSUs") in respect of the issuer's Class A common stock (the "Class A Common Stock") that are scheduled to vest on March 15, 2026, (ii) 32,305 unvested RSUs in respect of Class A Common Stock that are scheduled to vest on January 1, 2026, (iii) 6,741 unvested RSUs in respect of Class A Common Stock that are scheduled to vest in equal installments on March 15, 2026 and March 15, 2027, and (iv) 9,638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$139.77 to $142.36,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$141.16 to $143.44,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03/21/2025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2025-03-21T15:13:19Z</dcterms:created>
  <dcterms:modified xsi:type="dcterms:W3CDTF">2025-03-21T15:13:19Z</dcterms:modified>
</cp:coreProperties>
</file>